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DC87E" w14:textId="77777777" w:rsidR="0075516C" w:rsidRDefault="0075516C">
      <w:pPr>
        <w:jc w:val="center"/>
        <w:rPr>
          <w:rStyle w:val="markedcontent"/>
          <w:rFonts w:cs="Times New Roman"/>
          <w:b/>
          <w:bCs/>
          <w:sz w:val="36"/>
          <w:szCs w:val="36"/>
        </w:rPr>
      </w:pPr>
    </w:p>
    <w:p w14:paraId="21AFA440" w14:textId="77777777" w:rsidR="0075516C" w:rsidRDefault="0075516C" w:rsidP="0075516C">
      <w:pPr>
        <w:jc w:val="center"/>
        <w:rPr>
          <w:rFonts w:cs="Times New Roman"/>
          <w:b/>
          <w:bCs/>
          <w:noProof/>
          <w:sz w:val="32"/>
          <w:szCs w:val="32"/>
        </w:rPr>
      </w:pPr>
    </w:p>
    <w:p w14:paraId="3E1C4184" w14:textId="77777777" w:rsidR="0075516C" w:rsidRDefault="0075516C" w:rsidP="0075516C">
      <w:pPr>
        <w:jc w:val="center"/>
        <w:rPr>
          <w:rFonts w:cs="Times New Roman"/>
          <w:b/>
          <w:bCs/>
          <w:noProof/>
          <w:sz w:val="32"/>
          <w:szCs w:val="32"/>
        </w:rPr>
      </w:pPr>
    </w:p>
    <w:p w14:paraId="6CC1874C" w14:textId="77777777" w:rsidR="0075516C" w:rsidRDefault="0075516C" w:rsidP="0075516C">
      <w:pPr>
        <w:jc w:val="center"/>
        <w:rPr>
          <w:rFonts w:cs="Times New Roman"/>
          <w:b/>
          <w:bCs/>
          <w:noProof/>
          <w:sz w:val="32"/>
          <w:szCs w:val="32"/>
        </w:rPr>
      </w:pPr>
    </w:p>
    <w:p w14:paraId="0ACEA78F" w14:textId="77777777" w:rsidR="0075516C" w:rsidRDefault="0075516C" w:rsidP="0075516C">
      <w:pPr>
        <w:jc w:val="center"/>
        <w:rPr>
          <w:rFonts w:cs="Times New Roman"/>
          <w:b/>
          <w:bCs/>
          <w:noProof/>
          <w:sz w:val="32"/>
          <w:szCs w:val="32"/>
        </w:rPr>
      </w:pPr>
    </w:p>
    <w:p w14:paraId="6135C55C" w14:textId="5770508A" w:rsidR="0075516C" w:rsidRPr="00CB1C1A" w:rsidRDefault="0075516C" w:rsidP="0075516C">
      <w:pPr>
        <w:jc w:val="center"/>
        <w:rPr>
          <w:rFonts w:cs="Times New Roman"/>
          <w:b/>
          <w:bCs/>
          <w:noProof/>
          <w:sz w:val="32"/>
          <w:szCs w:val="32"/>
        </w:rPr>
      </w:pPr>
      <w:r w:rsidRPr="00CB1C1A">
        <w:rPr>
          <w:rFonts w:cs="Times New Roman"/>
          <w:b/>
          <w:bCs/>
          <w:noProof/>
          <w:sz w:val="32"/>
          <w:szCs w:val="32"/>
        </w:rPr>
        <w:t>Programme: BA Business Management</w:t>
      </w:r>
    </w:p>
    <w:p w14:paraId="4744C1D8" w14:textId="77777777" w:rsidR="0075516C" w:rsidRDefault="0075516C" w:rsidP="0075516C">
      <w:pPr>
        <w:jc w:val="center"/>
        <w:rPr>
          <w:rStyle w:val="markedcontent"/>
          <w:rFonts w:cs="Times New Roman"/>
          <w:b/>
          <w:bCs/>
          <w:sz w:val="36"/>
          <w:szCs w:val="36"/>
        </w:rPr>
      </w:pPr>
      <w:r w:rsidRPr="00CB1C1A">
        <w:rPr>
          <w:rFonts w:cs="Times New Roman"/>
          <w:b/>
          <w:bCs/>
          <w:noProof/>
          <w:sz w:val="32"/>
          <w:szCs w:val="32"/>
        </w:rPr>
        <w:t xml:space="preserve">Module: </w:t>
      </w:r>
      <w:r>
        <w:rPr>
          <w:rStyle w:val="markedcontent"/>
          <w:rFonts w:cs="Times New Roman"/>
          <w:b/>
          <w:bCs/>
          <w:sz w:val="36"/>
          <w:szCs w:val="36"/>
        </w:rPr>
        <w:t>International Financial Management</w:t>
      </w:r>
    </w:p>
    <w:p w14:paraId="66E1438B" w14:textId="33CD68DD" w:rsidR="0075516C" w:rsidRPr="00CB1C1A" w:rsidRDefault="0075516C" w:rsidP="0075516C">
      <w:pPr>
        <w:jc w:val="center"/>
        <w:rPr>
          <w:b/>
          <w:bCs/>
          <w:sz w:val="36"/>
          <w:szCs w:val="36"/>
        </w:rPr>
      </w:pPr>
    </w:p>
    <w:p w14:paraId="6AE925A0" w14:textId="525B1C15" w:rsidR="0075516C" w:rsidRPr="00CB1C1A" w:rsidRDefault="0075516C" w:rsidP="0075516C">
      <w:pPr>
        <w:jc w:val="center"/>
        <w:rPr>
          <w:rFonts w:cs="Times New Roman"/>
          <w:b/>
          <w:bCs/>
          <w:noProof/>
          <w:sz w:val="32"/>
          <w:szCs w:val="32"/>
        </w:rPr>
      </w:pPr>
      <w:r w:rsidRPr="00CB1C1A">
        <w:rPr>
          <w:rFonts w:cs="Times New Roman"/>
          <w:b/>
          <w:bCs/>
          <w:noProof/>
          <w:sz w:val="32"/>
          <w:szCs w:val="32"/>
        </w:rPr>
        <w:t>Module code: LCBB</w:t>
      </w:r>
      <w:r>
        <w:rPr>
          <w:rFonts w:cs="Times New Roman"/>
          <w:b/>
          <w:bCs/>
          <w:noProof/>
          <w:sz w:val="32"/>
          <w:szCs w:val="32"/>
        </w:rPr>
        <w:t>6002</w:t>
      </w:r>
    </w:p>
    <w:p w14:paraId="0D556E2E" w14:textId="77777777" w:rsidR="0075516C" w:rsidRPr="00CB1C1A" w:rsidRDefault="0075516C" w:rsidP="0075516C">
      <w:pPr>
        <w:jc w:val="center"/>
        <w:rPr>
          <w:rFonts w:cs="Times New Roman"/>
          <w:b/>
          <w:bCs/>
          <w:noProof/>
          <w:sz w:val="32"/>
          <w:szCs w:val="32"/>
        </w:rPr>
      </w:pPr>
      <w:r w:rsidRPr="00CB1C1A">
        <w:rPr>
          <w:rFonts w:cs="Times New Roman"/>
          <w:b/>
          <w:bCs/>
          <w:noProof/>
          <w:sz w:val="32"/>
          <w:szCs w:val="32"/>
        </w:rPr>
        <w:t xml:space="preserve">Assignment Title: Assessment </w:t>
      </w:r>
      <w:r>
        <w:rPr>
          <w:rFonts w:cs="Times New Roman"/>
          <w:b/>
          <w:bCs/>
          <w:noProof/>
          <w:sz w:val="32"/>
          <w:szCs w:val="32"/>
        </w:rPr>
        <w:t>1</w:t>
      </w:r>
    </w:p>
    <w:p w14:paraId="2170825A" w14:textId="77777777" w:rsidR="0075516C" w:rsidRPr="00CB1C1A" w:rsidRDefault="0075516C" w:rsidP="0075516C">
      <w:pPr>
        <w:jc w:val="center"/>
        <w:rPr>
          <w:rFonts w:cs="Times New Roman"/>
          <w:b/>
          <w:bCs/>
          <w:noProof/>
          <w:sz w:val="32"/>
          <w:szCs w:val="32"/>
        </w:rPr>
      </w:pPr>
    </w:p>
    <w:p w14:paraId="74456D8A" w14:textId="245BDA53" w:rsidR="0075516C" w:rsidRPr="00CB1C1A" w:rsidRDefault="0075516C" w:rsidP="0075516C">
      <w:pPr>
        <w:rPr>
          <w:rFonts w:cs="Times New Roman"/>
          <w:b/>
          <w:sz w:val="32"/>
          <w:szCs w:val="32"/>
        </w:rPr>
      </w:pPr>
      <w:r w:rsidRPr="00CB1C1A">
        <w:rPr>
          <w:rFonts w:cs="Times New Roman"/>
          <w:b/>
          <w:sz w:val="32"/>
          <w:szCs w:val="32"/>
        </w:rPr>
        <w:t>Module tutor:</w:t>
      </w:r>
      <w:r w:rsidRPr="00CB1C1A">
        <w:rPr>
          <w:rFonts w:cs="Times New Roman"/>
          <w:b/>
          <w:bCs/>
          <w:sz w:val="28"/>
        </w:rPr>
        <w:t xml:space="preserve"> </w:t>
      </w:r>
      <w:r>
        <w:rPr>
          <w:rFonts w:ascii="Segoe UI" w:hAnsi="Segoe UI" w:cs="Segoe UI"/>
          <w:b/>
          <w:bCs/>
          <w:color w:val="373A3C"/>
          <w:sz w:val="28"/>
          <w:shd w:val="clear" w:color="auto" w:fill="F9F9F9"/>
        </w:rPr>
        <w:t>Zainab Atta</w:t>
      </w:r>
    </w:p>
    <w:p w14:paraId="268845D7" w14:textId="77777777" w:rsidR="0075516C" w:rsidRDefault="0075516C" w:rsidP="0075516C">
      <w:pPr>
        <w:rPr>
          <w:rFonts w:cs="Times New Roman"/>
          <w:b/>
          <w:sz w:val="28"/>
          <w:szCs w:val="24"/>
        </w:rPr>
      </w:pPr>
      <w:r w:rsidRPr="00CB1C1A">
        <w:rPr>
          <w:rFonts w:cs="Times New Roman"/>
          <w:b/>
          <w:sz w:val="28"/>
          <w:szCs w:val="24"/>
        </w:rPr>
        <w:t xml:space="preserve">Student </w:t>
      </w:r>
      <w:proofErr w:type="spellStart"/>
      <w:proofErr w:type="gramStart"/>
      <w:r w:rsidRPr="00CB1C1A">
        <w:rPr>
          <w:rFonts w:cs="Times New Roman"/>
          <w:b/>
          <w:sz w:val="28"/>
          <w:szCs w:val="24"/>
        </w:rPr>
        <w:t>Name:Adelina</w:t>
      </w:r>
      <w:proofErr w:type="spellEnd"/>
      <w:proofErr w:type="gramEnd"/>
      <w:r w:rsidRPr="00CB1C1A">
        <w:rPr>
          <w:rFonts w:cs="Times New Roman"/>
          <w:b/>
          <w:sz w:val="28"/>
          <w:szCs w:val="24"/>
        </w:rPr>
        <w:t xml:space="preserve"> Camelia Perva</w:t>
      </w:r>
    </w:p>
    <w:p w14:paraId="54EC0293" w14:textId="77777777" w:rsidR="0075516C" w:rsidRPr="00CB1C1A" w:rsidRDefault="0075516C" w:rsidP="0075516C">
      <w:pPr>
        <w:rPr>
          <w:rFonts w:cs="Times New Roman"/>
          <w:b/>
          <w:sz w:val="28"/>
          <w:szCs w:val="24"/>
        </w:rPr>
      </w:pPr>
      <w:r w:rsidRPr="00CB1C1A">
        <w:rPr>
          <w:rFonts w:cs="Times New Roman"/>
          <w:sz w:val="28"/>
          <w:szCs w:val="24"/>
        </w:rPr>
        <w:t xml:space="preserve">       </w:t>
      </w:r>
      <w:r w:rsidRPr="00CB1C1A">
        <w:rPr>
          <w:rFonts w:cs="Times New Roman"/>
          <w:b/>
          <w:sz w:val="28"/>
          <w:szCs w:val="24"/>
        </w:rPr>
        <w:t>Student ID:2020310</w:t>
      </w:r>
    </w:p>
    <w:p w14:paraId="722273EA" w14:textId="77777777" w:rsidR="0075516C" w:rsidRDefault="0075516C">
      <w:pPr>
        <w:jc w:val="center"/>
        <w:rPr>
          <w:rStyle w:val="markedcontent"/>
          <w:rFonts w:cs="Times New Roman"/>
          <w:b/>
          <w:bCs/>
          <w:sz w:val="36"/>
          <w:szCs w:val="36"/>
        </w:rPr>
      </w:pPr>
    </w:p>
    <w:p w14:paraId="483ECBD3" w14:textId="3B5D4AA3" w:rsidR="00170A5C" w:rsidRDefault="00170A5C">
      <w:pPr>
        <w:spacing w:after="160" w:line="259" w:lineRule="auto"/>
        <w:jc w:val="left"/>
      </w:pPr>
    </w:p>
    <w:p w14:paraId="2F02726B" w14:textId="77777777" w:rsidR="0075516C" w:rsidRDefault="0075516C">
      <w:pPr>
        <w:spacing w:after="160" w:line="259" w:lineRule="auto"/>
        <w:jc w:val="left"/>
      </w:pPr>
    </w:p>
    <w:p w14:paraId="02000289" w14:textId="77777777" w:rsidR="0075516C" w:rsidRDefault="0075516C">
      <w:pPr>
        <w:spacing w:after="160" w:line="259" w:lineRule="auto"/>
        <w:jc w:val="left"/>
      </w:pPr>
    </w:p>
    <w:p w14:paraId="77BF340A" w14:textId="77777777" w:rsidR="0075516C" w:rsidRDefault="0075516C">
      <w:pPr>
        <w:spacing w:after="160" w:line="259" w:lineRule="auto"/>
        <w:jc w:val="left"/>
      </w:pPr>
    </w:p>
    <w:p w14:paraId="0F114E76" w14:textId="77777777" w:rsidR="0075516C" w:rsidRDefault="0075516C">
      <w:pPr>
        <w:spacing w:after="160" w:line="259" w:lineRule="auto"/>
        <w:jc w:val="left"/>
      </w:pPr>
    </w:p>
    <w:p w14:paraId="488AAF39" w14:textId="77777777" w:rsidR="0075516C" w:rsidRDefault="0075516C">
      <w:pPr>
        <w:spacing w:after="160" w:line="259" w:lineRule="auto"/>
        <w:jc w:val="left"/>
      </w:pPr>
    </w:p>
    <w:p w14:paraId="066B57D5" w14:textId="77777777" w:rsidR="0075516C" w:rsidRDefault="0075516C">
      <w:pPr>
        <w:spacing w:after="160" w:line="259" w:lineRule="auto"/>
        <w:jc w:val="left"/>
      </w:pPr>
    </w:p>
    <w:p w14:paraId="499BF7C9" w14:textId="77777777" w:rsidR="0075516C" w:rsidRDefault="0075516C">
      <w:pPr>
        <w:spacing w:after="160" w:line="259" w:lineRule="auto"/>
        <w:jc w:val="left"/>
      </w:pPr>
    </w:p>
    <w:p w14:paraId="158F0368" w14:textId="77777777" w:rsidR="0075516C" w:rsidRDefault="0075516C">
      <w:pPr>
        <w:spacing w:after="160" w:line="259" w:lineRule="auto"/>
        <w:jc w:val="left"/>
      </w:pPr>
    </w:p>
    <w:p w14:paraId="66E19394" w14:textId="77777777" w:rsidR="0075516C" w:rsidRDefault="0075516C">
      <w:pPr>
        <w:spacing w:after="160" w:line="259" w:lineRule="auto"/>
        <w:jc w:val="left"/>
      </w:pPr>
    </w:p>
    <w:p w14:paraId="2917B023" w14:textId="77777777" w:rsidR="0075516C" w:rsidRDefault="0075516C">
      <w:pPr>
        <w:spacing w:after="160" w:line="259" w:lineRule="auto"/>
        <w:jc w:val="left"/>
      </w:pPr>
    </w:p>
    <w:p w14:paraId="2BFFB89C" w14:textId="77777777" w:rsidR="0075516C" w:rsidRDefault="0075516C">
      <w:pPr>
        <w:spacing w:after="160" w:line="259" w:lineRule="auto"/>
        <w:jc w:val="left"/>
      </w:pPr>
    </w:p>
    <w:p w14:paraId="76513F96" w14:textId="77777777" w:rsidR="0075516C" w:rsidRDefault="0075516C">
      <w:pPr>
        <w:spacing w:after="160" w:line="259" w:lineRule="auto"/>
        <w:jc w:val="left"/>
      </w:pPr>
    </w:p>
    <w:p w14:paraId="1D014C96" w14:textId="77777777" w:rsidR="0075516C" w:rsidRDefault="0075516C">
      <w:pPr>
        <w:spacing w:after="160" w:line="259" w:lineRule="auto"/>
        <w:jc w:val="left"/>
      </w:pPr>
    </w:p>
    <w:p w14:paraId="217701DC" w14:textId="77777777" w:rsidR="0075516C" w:rsidRDefault="0075516C">
      <w:pPr>
        <w:spacing w:after="160" w:line="259" w:lineRule="auto"/>
        <w:jc w:val="left"/>
      </w:pPr>
    </w:p>
    <w:p w14:paraId="2510CDE8" w14:textId="77777777" w:rsidR="0075516C" w:rsidRDefault="0075516C">
      <w:pPr>
        <w:spacing w:after="160" w:line="259" w:lineRule="auto"/>
        <w:jc w:val="left"/>
      </w:pPr>
    </w:p>
    <w:p w14:paraId="7F9B661B" w14:textId="77777777" w:rsidR="0075516C" w:rsidRDefault="0075516C">
      <w:pPr>
        <w:spacing w:after="160" w:line="259" w:lineRule="auto"/>
        <w:jc w:val="left"/>
      </w:pPr>
    </w:p>
    <w:p w14:paraId="7BE207A5" w14:textId="77777777" w:rsidR="0075516C" w:rsidRDefault="0075516C">
      <w:pPr>
        <w:spacing w:after="160" w:line="259" w:lineRule="auto"/>
        <w:jc w:val="left"/>
      </w:pPr>
    </w:p>
    <w:p w14:paraId="6ECBC530" w14:textId="77777777" w:rsidR="0075516C" w:rsidRDefault="0075516C">
      <w:pPr>
        <w:spacing w:after="160" w:line="259" w:lineRule="auto"/>
        <w:jc w:val="left"/>
      </w:pPr>
    </w:p>
    <w:p w14:paraId="57C01B76" w14:textId="77777777" w:rsidR="0075516C" w:rsidRDefault="0075516C">
      <w:pPr>
        <w:spacing w:after="160" w:line="259" w:lineRule="auto"/>
        <w:jc w:val="left"/>
      </w:pPr>
    </w:p>
    <w:p w14:paraId="60020095" w14:textId="77777777" w:rsidR="0075516C" w:rsidRDefault="0075516C">
      <w:pPr>
        <w:spacing w:after="160" w:line="259" w:lineRule="auto"/>
        <w:jc w:val="left"/>
      </w:pPr>
    </w:p>
    <w:p w14:paraId="0E866EBF" w14:textId="77777777" w:rsidR="0075516C" w:rsidRDefault="0075516C">
      <w:pPr>
        <w:spacing w:after="160" w:line="259" w:lineRule="auto"/>
        <w:jc w:val="left"/>
      </w:pPr>
    </w:p>
    <w:p w14:paraId="5674FD0E" w14:textId="77777777" w:rsidR="0075516C" w:rsidRDefault="0075516C">
      <w:pPr>
        <w:spacing w:after="160" w:line="259" w:lineRule="auto"/>
        <w:jc w:val="left"/>
      </w:pPr>
    </w:p>
    <w:p w14:paraId="2EE27A18" w14:textId="77777777" w:rsidR="0075516C" w:rsidRDefault="0075516C">
      <w:pPr>
        <w:spacing w:after="160" w:line="259" w:lineRule="auto"/>
        <w:jc w:val="left"/>
      </w:pPr>
    </w:p>
    <w:p w14:paraId="68451224" w14:textId="77777777" w:rsidR="0075516C" w:rsidRDefault="0075516C">
      <w:pPr>
        <w:spacing w:after="160" w:line="259" w:lineRule="auto"/>
        <w:jc w:val="left"/>
        <w:rPr>
          <w:rFonts w:eastAsiaTheme="majorEastAsia" w:cstheme="majorBidi"/>
          <w:b/>
          <w:sz w:val="28"/>
          <w:szCs w:val="40"/>
        </w:rPr>
      </w:pPr>
    </w:p>
    <w:sdt>
      <w:sdtPr>
        <w:rPr>
          <w:rFonts w:ascii="Times New Roman" w:eastAsiaTheme="minorHAnsi" w:hAnsi="Times New Roman" w:cs="Shonar Bangla"/>
          <w:color w:val="auto"/>
          <w:sz w:val="24"/>
          <w:szCs w:val="28"/>
          <w:lang w:val="en-GB" w:bidi="bn-BD"/>
        </w:rPr>
        <w:id w:val="1297953011"/>
        <w:docPartObj>
          <w:docPartGallery w:val="Table of Contents"/>
          <w:docPartUnique/>
        </w:docPartObj>
      </w:sdtPr>
      <w:sdtEndPr>
        <w:rPr>
          <w:b/>
          <w:bCs/>
        </w:rPr>
      </w:sdtEndPr>
      <w:sdtContent>
        <w:p w14:paraId="2C1E3A0A" w14:textId="77777777" w:rsidR="00170A5C" w:rsidRDefault="00000000">
          <w:pPr>
            <w:pStyle w:val="TOCHeading1"/>
          </w:pPr>
          <w:r>
            <w:t>Table of Contents</w:t>
          </w:r>
        </w:p>
        <w:p w14:paraId="1EA56A0D" w14:textId="77777777" w:rsidR="00170A5C" w:rsidRDefault="00000000">
          <w:pPr>
            <w:pStyle w:val="TOC1"/>
            <w:tabs>
              <w:tab w:val="right" w:leader="dot" w:pos="9016"/>
            </w:tabs>
          </w:pPr>
          <w:r>
            <w:fldChar w:fldCharType="begin"/>
          </w:r>
          <w:r>
            <w:instrText xml:space="preserve"> TOC \o "1-3" \h \z \u </w:instrText>
          </w:r>
          <w:r>
            <w:fldChar w:fldCharType="separate"/>
          </w:r>
          <w:hyperlink w:anchor="_Toc133267952" w:history="1">
            <w:r>
              <w:rPr>
                <w:rStyle w:val="Hyperlink"/>
              </w:rPr>
              <w:t>Introduction</w:t>
            </w:r>
            <w:r>
              <w:tab/>
            </w:r>
            <w:r>
              <w:fldChar w:fldCharType="begin"/>
            </w:r>
            <w:r>
              <w:instrText xml:space="preserve"> PAGEREF _Toc133267952 \h </w:instrText>
            </w:r>
            <w:r>
              <w:fldChar w:fldCharType="separate"/>
            </w:r>
            <w:r>
              <w:t>3</w:t>
            </w:r>
            <w:r>
              <w:fldChar w:fldCharType="end"/>
            </w:r>
          </w:hyperlink>
        </w:p>
        <w:p w14:paraId="4AE23516" w14:textId="77777777" w:rsidR="00170A5C" w:rsidRDefault="00000000">
          <w:pPr>
            <w:pStyle w:val="TOC1"/>
            <w:tabs>
              <w:tab w:val="right" w:leader="dot" w:pos="9016"/>
            </w:tabs>
          </w:pPr>
          <w:hyperlink w:anchor="_Toc133267953" w:history="1">
            <w:r>
              <w:rPr>
                <w:rStyle w:val="Hyperlink"/>
              </w:rPr>
              <w:t>Dividend Distribution Policy</w:t>
            </w:r>
            <w:r>
              <w:tab/>
            </w:r>
            <w:r>
              <w:fldChar w:fldCharType="begin"/>
            </w:r>
            <w:r>
              <w:instrText xml:space="preserve"> PAGEREF _Toc133267953 \h </w:instrText>
            </w:r>
            <w:r>
              <w:fldChar w:fldCharType="separate"/>
            </w:r>
            <w:r>
              <w:t>4</w:t>
            </w:r>
            <w:r>
              <w:fldChar w:fldCharType="end"/>
            </w:r>
          </w:hyperlink>
        </w:p>
        <w:p w14:paraId="631B67F4" w14:textId="77777777" w:rsidR="00170A5C" w:rsidRDefault="00000000">
          <w:pPr>
            <w:pStyle w:val="TOC1"/>
            <w:tabs>
              <w:tab w:val="right" w:leader="dot" w:pos="9016"/>
            </w:tabs>
          </w:pPr>
          <w:hyperlink w:anchor="_Toc133267954" w:history="1">
            <w:r>
              <w:rPr>
                <w:rStyle w:val="Hyperlink"/>
              </w:rPr>
              <w:t>Market Hypothesis Theory</w:t>
            </w:r>
            <w:r>
              <w:tab/>
            </w:r>
            <w:r>
              <w:fldChar w:fldCharType="begin"/>
            </w:r>
            <w:r>
              <w:instrText xml:space="preserve"> PAGEREF _Toc133267954 \h </w:instrText>
            </w:r>
            <w:r>
              <w:fldChar w:fldCharType="separate"/>
            </w:r>
            <w:r>
              <w:t>5</w:t>
            </w:r>
            <w:r>
              <w:fldChar w:fldCharType="end"/>
            </w:r>
          </w:hyperlink>
        </w:p>
        <w:p w14:paraId="2D6FE91D" w14:textId="77777777" w:rsidR="00170A5C" w:rsidRDefault="00000000">
          <w:pPr>
            <w:pStyle w:val="TOC1"/>
            <w:tabs>
              <w:tab w:val="right" w:leader="dot" w:pos="9016"/>
            </w:tabs>
          </w:pPr>
          <w:hyperlink w:anchor="_Toc133267955" w:history="1">
            <w:r>
              <w:rPr>
                <w:rStyle w:val="Hyperlink"/>
              </w:rPr>
              <w:t>Methods of Appraising Projects</w:t>
            </w:r>
            <w:r>
              <w:tab/>
            </w:r>
            <w:r>
              <w:fldChar w:fldCharType="begin"/>
            </w:r>
            <w:r>
              <w:instrText xml:space="preserve"> PAGEREF _Toc133267955 \h </w:instrText>
            </w:r>
            <w:r>
              <w:fldChar w:fldCharType="separate"/>
            </w:r>
            <w:r>
              <w:t>6</w:t>
            </w:r>
            <w:r>
              <w:fldChar w:fldCharType="end"/>
            </w:r>
          </w:hyperlink>
        </w:p>
        <w:p w14:paraId="394EBF79" w14:textId="77777777" w:rsidR="00170A5C" w:rsidRDefault="00000000">
          <w:pPr>
            <w:pStyle w:val="TOC2"/>
            <w:tabs>
              <w:tab w:val="right" w:leader="dot" w:pos="9016"/>
            </w:tabs>
          </w:pPr>
          <w:hyperlink w:anchor="_Toc133267956" w:history="1">
            <w:r>
              <w:rPr>
                <w:rStyle w:val="Hyperlink"/>
              </w:rPr>
              <w:t>Analysing the Economy</w:t>
            </w:r>
            <w:r>
              <w:tab/>
            </w:r>
            <w:r>
              <w:fldChar w:fldCharType="begin"/>
            </w:r>
            <w:r>
              <w:instrText xml:space="preserve"> PAGEREF _Toc133267956 \h </w:instrText>
            </w:r>
            <w:r>
              <w:fldChar w:fldCharType="separate"/>
            </w:r>
            <w:r>
              <w:t>6</w:t>
            </w:r>
            <w:r>
              <w:fldChar w:fldCharType="end"/>
            </w:r>
          </w:hyperlink>
        </w:p>
        <w:p w14:paraId="1D1458CE" w14:textId="77777777" w:rsidR="00170A5C" w:rsidRDefault="00000000">
          <w:pPr>
            <w:pStyle w:val="TOC2"/>
            <w:tabs>
              <w:tab w:val="right" w:leader="dot" w:pos="9016"/>
            </w:tabs>
          </w:pPr>
          <w:hyperlink w:anchor="_Toc133267957" w:history="1">
            <w:r>
              <w:rPr>
                <w:rStyle w:val="Hyperlink"/>
              </w:rPr>
              <w:t>Evaluating the Budget</w:t>
            </w:r>
            <w:r>
              <w:tab/>
            </w:r>
            <w:r>
              <w:fldChar w:fldCharType="begin"/>
            </w:r>
            <w:r>
              <w:instrText xml:space="preserve"> PAGEREF _Toc133267957 \h </w:instrText>
            </w:r>
            <w:r>
              <w:fldChar w:fldCharType="separate"/>
            </w:r>
            <w:r>
              <w:t>6</w:t>
            </w:r>
            <w:r>
              <w:fldChar w:fldCharType="end"/>
            </w:r>
          </w:hyperlink>
        </w:p>
        <w:p w14:paraId="309F9421" w14:textId="77777777" w:rsidR="00170A5C" w:rsidRDefault="00000000">
          <w:pPr>
            <w:pStyle w:val="TOC1"/>
            <w:tabs>
              <w:tab w:val="right" w:leader="dot" w:pos="9016"/>
            </w:tabs>
          </w:pPr>
          <w:hyperlink w:anchor="_Toc133267958" w:history="1">
            <w:r>
              <w:rPr>
                <w:rStyle w:val="Hyperlink"/>
              </w:rPr>
              <w:t>Conclusion</w:t>
            </w:r>
            <w:r>
              <w:tab/>
            </w:r>
            <w:r>
              <w:fldChar w:fldCharType="begin"/>
            </w:r>
            <w:r>
              <w:instrText xml:space="preserve"> PAGEREF _Toc133267958 \h </w:instrText>
            </w:r>
            <w:r>
              <w:fldChar w:fldCharType="separate"/>
            </w:r>
            <w:r>
              <w:t>7</w:t>
            </w:r>
            <w:r>
              <w:fldChar w:fldCharType="end"/>
            </w:r>
          </w:hyperlink>
        </w:p>
        <w:p w14:paraId="75027FCA" w14:textId="77777777" w:rsidR="00170A5C" w:rsidRDefault="00000000">
          <w:pPr>
            <w:pStyle w:val="TOC1"/>
            <w:tabs>
              <w:tab w:val="right" w:leader="dot" w:pos="9016"/>
            </w:tabs>
          </w:pPr>
          <w:hyperlink w:anchor="_Toc133267959" w:history="1">
            <w:r>
              <w:rPr>
                <w:rStyle w:val="Hyperlink"/>
              </w:rPr>
              <w:t>References</w:t>
            </w:r>
            <w:r>
              <w:tab/>
            </w:r>
            <w:r>
              <w:fldChar w:fldCharType="begin"/>
            </w:r>
            <w:r>
              <w:instrText xml:space="preserve"> PAGEREF _Toc133267959 \h </w:instrText>
            </w:r>
            <w:r>
              <w:fldChar w:fldCharType="separate"/>
            </w:r>
            <w:r>
              <w:t>8</w:t>
            </w:r>
            <w:r>
              <w:fldChar w:fldCharType="end"/>
            </w:r>
          </w:hyperlink>
        </w:p>
        <w:p w14:paraId="7BED655C" w14:textId="77777777" w:rsidR="00170A5C" w:rsidRDefault="00000000">
          <w:r>
            <w:rPr>
              <w:b/>
              <w:bCs/>
            </w:rPr>
            <w:fldChar w:fldCharType="end"/>
          </w:r>
        </w:p>
      </w:sdtContent>
    </w:sdt>
    <w:p w14:paraId="5D5679B9" w14:textId="77777777" w:rsidR="00170A5C" w:rsidRDefault="00000000">
      <w:pPr>
        <w:spacing w:after="160" w:line="259" w:lineRule="auto"/>
        <w:jc w:val="left"/>
        <w:rPr>
          <w:rFonts w:eastAsiaTheme="majorEastAsia" w:cstheme="majorBidi"/>
          <w:b/>
          <w:sz w:val="28"/>
          <w:szCs w:val="40"/>
        </w:rPr>
      </w:pPr>
      <w:r>
        <w:br w:type="page"/>
      </w:r>
    </w:p>
    <w:p w14:paraId="59889F6C" w14:textId="77777777" w:rsidR="00170A5C" w:rsidRDefault="00000000">
      <w:pPr>
        <w:pStyle w:val="Heading1"/>
      </w:pPr>
      <w:bookmarkStart w:id="0" w:name="_Toc133267952"/>
      <w:r>
        <w:lastRenderedPageBreak/>
        <w:t>Introduction</w:t>
      </w:r>
      <w:bookmarkEnd w:id="0"/>
      <w:r>
        <w:t xml:space="preserve"> </w:t>
      </w:r>
    </w:p>
    <w:p w14:paraId="6958DDAE" w14:textId="77777777" w:rsidR="00170A5C" w:rsidRDefault="00000000">
      <w:r>
        <w:t xml:space="preserve">Food, personal care, and household items are just a few examples of the fast-moving consumer goods that Unilever supplies. Several widely recognised and beloved product lines are available from Unilever. Products may be purchased in 150 different countries. Both the London and Rotterdam offices are based in the United Kingdom. In 1930, the margarine businesses of the American and British Lever Brothers corporations merged to form the detergent and shampoo giant Unilever. In 1885, production at the first Lever Brothers factory got underway. The Lever brothers entered the food sector with a bang in 1917, when they bought several companies that canned fish and other foods. These firms used almost identical distribution networks, obtained </w:t>
      </w:r>
      <w:proofErr w:type="gramStart"/>
      <w:r>
        <w:t>the vast majority of</w:t>
      </w:r>
      <w:proofErr w:type="gramEnd"/>
      <w:r>
        <w:t xml:space="preserve"> their primary inputs from the same small set of vendors, and promoted essentially the same consumer items prior to their merger.</w:t>
      </w:r>
    </w:p>
    <w:p w14:paraId="113D4830" w14:textId="77777777" w:rsidR="00170A5C" w:rsidRDefault="00000000">
      <w:pPr>
        <w:spacing w:after="160" w:line="259" w:lineRule="auto"/>
        <w:jc w:val="left"/>
      </w:pPr>
      <w:r>
        <w:br w:type="page"/>
      </w:r>
    </w:p>
    <w:p w14:paraId="77070318" w14:textId="77777777" w:rsidR="00170A5C" w:rsidRDefault="00000000">
      <w:pPr>
        <w:pStyle w:val="Heading1"/>
      </w:pPr>
      <w:bookmarkStart w:id="1" w:name="_Toc133267953"/>
      <w:r>
        <w:lastRenderedPageBreak/>
        <w:t>Dividend Distribution Policy</w:t>
      </w:r>
      <w:bookmarkEnd w:id="1"/>
      <w:r>
        <w:t xml:space="preserve"> </w:t>
      </w:r>
    </w:p>
    <w:p w14:paraId="630EAF9F" w14:textId="77777777" w:rsidR="00170A5C" w:rsidRDefault="00000000">
      <w:r>
        <w:t xml:space="preserve">The organization's Dividend Allocation Policy should guarantee a rate of return on operating cash flow that is greater than the sum of the Company's immediate and long-term cash demands. Furthermore, the Company's Dividend Allocation Policy should return income from activities at a rate greater than the Company's present and projected requirements. In addition, the firm must ensure that its Dividend Distribution Policy yields a rate of earnings from cash through business that is higher than the sum of the firm's present and future cash needs. The firm has stated its intention to provide customers with a </w:t>
      </w:r>
      <w:proofErr w:type="spellStart"/>
      <w:r>
        <w:t>payout</w:t>
      </w:r>
      <w:proofErr w:type="spellEnd"/>
      <w:r>
        <w:t xml:space="preserve"> of dividends that can not only keep up with other </w:t>
      </w:r>
      <w:proofErr w:type="spellStart"/>
      <w:r>
        <w:t>payouts</w:t>
      </w:r>
      <w:proofErr w:type="spellEnd"/>
      <w:r>
        <w:t xml:space="preserve"> on the stock market as well as </w:t>
      </w:r>
      <w:proofErr w:type="gramStart"/>
      <w:r>
        <w:t>has the ability to</w:t>
      </w:r>
      <w:proofErr w:type="gramEnd"/>
      <w:r>
        <w:t xml:space="preserve"> be sustained throughout time, and it has taken steps to make this a reality (</w:t>
      </w:r>
      <w:r>
        <w:rPr>
          <w:lang w:eastAsia="en-GB"/>
        </w:rPr>
        <w:t>Madura, 2020</w:t>
      </w:r>
      <w:r>
        <w:t xml:space="preserve">). Furthermore, the company is determined to do all in its power to extend the duration of its </w:t>
      </w:r>
      <w:proofErr w:type="spellStart"/>
      <w:r>
        <w:t>payouts</w:t>
      </w:r>
      <w:proofErr w:type="spellEnd"/>
      <w:r>
        <w:t>.</w:t>
      </w:r>
    </w:p>
    <w:p w14:paraId="45744300" w14:textId="77777777" w:rsidR="00170A5C" w:rsidRDefault="00000000">
      <w:r>
        <w:t>The Company's Board of Directors can recommend a dividend strategy, specifying the question of if distributions should be paid and at what rate, based on their assessment of the company's present financial status. One such suggestion is the amount and frequency of dividends to be distributed. The issue of whether the dividend must be distributed is another potential topic for guidance. The Company's Board of Directors may declare dividends in accordance with the Operational Value at any given moment, with the ultimate dividend amount being set by the Firm's annual earnings. Both may be calculated from the Operating value. At the Yearly Meetings, stockholders will be granted the chance to accept or reject the Board of Directors' proposed Dividend. Dividends cannot be paid out in excess of the amount asked by the Company's Board of Directors at the meeting of the shareholders, but dividends can be paid out in a sum that is fewer than the quantity sought (</w:t>
      </w:r>
      <w:proofErr w:type="spellStart"/>
      <w:proofErr w:type="gramStart"/>
      <w:r>
        <w:rPr>
          <w:lang w:eastAsia="en-GB"/>
        </w:rPr>
        <w:t>Eun</w:t>
      </w:r>
      <w:proofErr w:type="spellEnd"/>
      <w:r>
        <w:t xml:space="preserve">  </w:t>
      </w:r>
      <w:r>
        <w:rPr>
          <w:lang w:eastAsia="en-GB"/>
        </w:rPr>
        <w:t>and</w:t>
      </w:r>
      <w:proofErr w:type="gramEnd"/>
      <w:r>
        <w:rPr>
          <w:lang w:eastAsia="en-GB"/>
        </w:rPr>
        <w:t xml:space="preserve"> Resnick</w:t>
      </w:r>
      <w:r>
        <w:t>, 2015). Notwithstanding the fact that profits can't be paid out in more than what has been requested, this remains true.</w:t>
      </w:r>
    </w:p>
    <w:p w14:paraId="183B217B" w14:textId="77777777" w:rsidR="00170A5C" w:rsidRDefault="00000000">
      <w:proofErr w:type="gramStart"/>
      <w:r>
        <w:t>In the event that</w:t>
      </w:r>
      <w:proofErr w:type="gramEnd"/>
      <w:r>
        <w:t xml:space="preserve"> a dividend proposal is made, it will likely be based on the after-tax profits of the sector in the current fiscal year. The business is prepared for this scenario. Company retained profits may be distributed as dividends at the discretion of the Board of Directors if and only if there is a decline in earnings after taxes within any fiscal year. All applicable rules and regulations must be met, and the </w:t>
      </w:r>
      <w:proofErr w:type="gramStart"/>
      <w:r>
        <w:t>manner in which</w:t>
      </w:r>
      <w:proofErr w:type="gramEnd"/>
      <w:r>
        <w:t xml:space="preserve"> these payments are made must be legal (Shapiro &amp; </w:t>
      </w:r>
      <w:proofErr w:type="spellStart"/>
      <w:r>
        <w:t>Hanouna</w:t>
      </w:r>
      <w:proofErr w:type="spellEnd"/>
      <w:r>
        <w:t>, 2019). Despite this, the authority in question does not restrict itself to considering this choice to be the one and only legitimate alternative.</w:t>
      </w:r>
    </w:p>
    <w:p w14:paraId="2F80344A" w14:textId="77777777" w:rsidR="00170A5C" w:rsidRDefault="00170A5C"/>
    <w:p w14:paraId="6462D518" w14:textId="77777777" w:rsidR="00170A5C" w:rsidRDefault="00000000">
      <w:pPr>
        <w:pStyle w:val="Heading1"/>
      </w:pPr>
      <w:bookmarkStart w:id="2" w:name="_Toc133267954"/>
      <w:r>
        <w:lastRenderedPageBreak/>
        <w:t>Market Hypothesis Theory</w:t>
      </w:r>
      <w:bookmarkEnd w:id="2"/>
      <w:r>
        <w:t xml:space="preserve"> </w:t>
      </w:r>
    </w:p>
    <w:p w14:paraId="3E95EE3C" w14:textId="77777777" w:rsidR="00170A5C" w:rsidRDefault="00000000">
      <w:r>
        <w:t>As a result of participants' constant competition for limited market shares, efficient markets always have prices that accurately reflect the most recent data. When determining the asking or asking price of a financial instrument, it is customary to take the investor's anticipated rate of return and the associated risk into account. If the stock market is doing its job, Unilever shares should be trading at a price that fairly reflects the company's true value. Since it is impossible to predict the future with certainty, the value of a financial asset may fluctuate at random (</w:t>
      </w:r>
      <w:r>
        <w:rPr>
          <w:lang w:eastAsia="en-GB"/>
        </w:rPr>
        <w:t>Levi, 2012</w:t>
      </w:r>
      <w:r>
        <w:t xml:space="preserve">). The culprit is the widespread loss of faith in the future. If the prices levied in a financial market accurately reflect all relevant market knowledge, then the market is considered efficient. Assuming the price appropriately represents all the major events that have happened up to a certain point in time, just fresh data may influence the retail cost of an item. These distinctions enable us to identify three distinct types of </w:t>
      </w:r>
      <w:proofErr w:type="gramStart"/>
      <w:r>
        <w:t>efficacy</w:t>
      </w:r>
      <w:proofErr w:type="gramEnd"/>
      <w:r>
        <w:t>. At a moderate level of support, the knowledge efficiency hypothesis asserts that market prices accurately reflect all available information. In addition to historical price levels, this data also includes internal economic data, analyst projections, and analyst opinions. Observing the movement of a stock price in response to a significant corporate announcement could be used to verify this hypothesis (</w:t>
      </w:r>
      <w:r>
        <w:rPr>
          <w:lang w:eastAsia="en-GB"/>
        </w:rPr>
        <w:t>Chandra, 2017</w:t>
      </w:r>
      <w:r>
        <w:t>).</w:t>
      </w:r>
    </w:p>
    <w:p w14:paraId="18E13895" w14:textId="77777777" w:rsidR="00170A5C" w:rsidRDefault="00000000">
      <w:r>
        <w:t>The sort of market performance that can be attained by carrying out controlled trials, notwithstanding the fact that such performance is only marginally effective. The experiment's goal is to find out how the presence of unpredictability and adverse choice influences market performance. The investigation plan will look more beneficial if it is managed alongside the data that is saved by the various sectors and their conduct is monitored. There is a possibility that this will make it easier to carry out inquiries into events (Chen, et al., 2010). In addition, the investigative method may help mitigate some of the problems that emerge in event studies, which is a significant contribution. In addition, the strategy may be able to alleviate some of the difficulties that have traditionally been a barrier in the way of event investigations.</w:t>
      </w:r>
    </w:p>
    <w:p w14:paraId="13447C3B" w14:textId="77777777" w:rsidR="00170A5C" w:rsidRDefault="00170A5C"/>
    <w:p w14:paraId="455E9D94" w14:textId="77777777" w:rsidR="00170A5C" w:rsidRDefault="00170A5C"/>
    <w:p w14:paraId="59D00ECE" w14:textId="77777777" w:rsidR="00170A5C" w:rsidRDefault="00000000">
      <w:pPr>
        <w:spacing w:after="160" w:line="259" w:lineRule="auto"/>
        <w:jc w:val="left"/>
      </w:pPr>
      <w:r>
        <w:br w:type="page"/>
      </w:r>
    </w:p>
    <w:p w14:paraId="1DD4DF16" w14:textId="77777777" w:rsidR="00170A5C" w:rsidRDefault="00000000">
      <w:pPr>
        <w:pStyle w:val="Heading1"/>
      </w:pPr>
      <w:bookmarkStart w:id="3" w:name="_Toc133267955"/>
      <w:r>
        <w:lastRenderedPageBreak/>
        <w:t>Methods of Appraising Projects</w:t>
      </w:r>
      <w:bookmarkEnd w:id="3"/>
      <w:r>
        <w:t xml:space="preserve"> </w:t>
      </w:r>
    </w:p>
    <w:p w14:paraId="0A7F1833" w14:textId="77777777" w:rsidR="00170A5C" w:rsidRDefault="00000000">
      <w:r>
        <w:t xml:space="preserve">A bank or other financial institution decides </w:t>
      </w:r>
      <w:proofErr w:type="gramStart"/>
      <w:r>
        <w:t>whether or not</w:t>
      </w:r>
      <w:proofErr w:type="gramEnd"/>
      <w:r>
        <w:t xml:space="preserve"> to invest in a proposed business venture based on an evaluation of the project. The author now discusses the five most common evaluation techniques for financial projects.</w:t>
      </w:r>
    </w:p>
    <w:p w14:paraId="48D021C3" w14:textId="77777777" w:rsidR="00170A5C" w:rsidRDefault="00000000">
      <w:pPr>
        <w:pStyle w:val="Heading2"/>
      </w:pPr>
      <w:bookmarkStart w:id="4" w:name="_Toc133267956"/>
      <w:r>
        <w:t>Analysing the Economy</w:t>
      </w:r>
      <w:bookmarkEnd w:id="4"/>
      <w:r>
        <w:t xml:space="preserve"> </w:t>
      </w:r>
    </w:p>
    <w:p w14:paraId="73AC0962" w14:textId="77777777" w:rsidR="00170A5C" w:rsidRDefault="00000000">
      <w:r>
        <w:t xml:space="preserve">When determining a project's financial viability, economists consider several factors, including but not limited to supply price, capacity utilisation rate, anticipated income, projected costs, and prospective profits. Profit levels are the foundation for all other financial measurements, so knowing them </w:t>
      </w:r>
      <w:proofErr w:type="gramStart"/>
      <w:r>
        <w:t>at all times</w:t>
      </w:r>
      <w:proofErr w:type="gramEnd"/>
      <w:r>
        <w:t xml:space="preserve"> is essential. </w:t>
      </w:r>
      <w:proofErr w:type="gramStart"/>
      <w:r>
        <w:t>Planning ahead</w:t>
      </w:r>
      <w:proofErr w:type="gramEnd"/>
      <w:r>
        <w:t xml:space="preserve"> for the required sales volume is essential for the company to realise its anticipated profit. Sales are primarily influenced by consumer interest (</w:t>
      </w:r>
      <w:proofErr w:type="spellStart"/>
      <w:r>
        <w:rPr>
          <w:lang w:eastAsia="en-GB"/>
        </w:rPr>
        <w:t>Iatridis</w:t>
      </w:r>
      <w:proofErr w:type="spellEnd"/>
      <w:r>
        <w:rPr>
          <w:lang w:eastAsia="en-GB"/>
        </w:rPr>
        <w:t>, 2010</w:t>
      </w:r>
      <w:r>
        <w:t>). Demand for the proposed product is a significant factor in determining the project's likelihood of success. The location of the new company will have a significant impact on the outcome of the undertaking.  During the site selection process, it is essential to evaluate all applicable government restrictions, incentives, and discount programmes. Geography plays a crucial role in the study of economics as a result.</w:t>
      </w:r>
    </w:p>
    <w:p w14:paraId="29F0E2BF" w14:textId="77777777" w:rsidR="00170A5C" w:rsidRDefault="00000000">
      <w:pPr>
        <w:pStyle w:val="Heading2"/>
      </w:pPr>
      <w:bookmarkStart w:id="5" w:name="_Toc133267957"/>
      <w:r>
        <w:t>Evaluating the Budget</w:t>
      </w:r>
      <w:bookmarkEnd w:id="5"/>
      <w:r>
        <w:t xml:space="preserve"> </w:t>
      </w:r>
    </w:p>
    <w:p w14:paraId="193793D4" w14:textId="77777777" w:rsidR="00170A5C" w:rsidRDefault="00000000">
      <w:r>
        <w:t xml:space="preserve">It is crucial for every kind of organisation to have the ability to evaluate their financial situation. Calculating the amount of working capital and fixed capital that will be required by the company is one of the most essential phases involved in determining </w:t>
      </w:r>
      <w:proofErr w:type="gramStart"/>
      <w:r>
        <w:t>whether or not</w:t>
      </w:r>
      <w:proofErr w:type="gramEnd"/>
      <w:r>
        <w:t xml:space="preserve"> a project will be profitable financially. When we talk about a company's "fixed capital," which is also often referred to as the company's "fixed advantages," we are talking to the stockpile of permanent and irrevocable assets that it possesses. The terms "land and building," "vehicle," "plant and machinery," "equipment," and "other fixed assets" are all defined for the reader (</w:t>
      </w:r>
      <w:r>
        <w:rPr>
          <w:lang w:eastAsia="en-GB"/>
        </w:rPr>
        <w:t>Aubert, 2011</w:t>
      </w:r>
      <w:r>
        <w:t xml:space="preserve">). A lot of different things determine how much money, what sort of assets, and for how long an organisation needs to make an investment in fixed capital. The overall amount of Fixed Capital that is necessary should </w:t>
      </w:r>
      <w:proofErr w:type="gramStart"/>
      <w:r>
        <w:t>take into account</w:t>
      </w:r>
      <w:proofErr w:type="gramEnd"/>
      <w:r>
        <w:t xml:space="preserve"> the cost of the resource, designer and engineering fees, power and capital expenditures (about 10% of the value of equipment), degradation, pre-operational spending of trial runs, and other expenses as appropriate. In the report on the project, include </w:t>
      </w:r>
      <w:proofErr w:type="gramStart"/>
      <w:r>
        <w:t>all of</w:t>
      </w:r>
      <w:proofErr w:type="gramEnd"/>
      <w:r>
        <w:t xml:space="preserve"> the expenditures related with the development, renovation, and maintenance of the building.</w:t>
      </w:r>
    </w:p>
    <w:p w14:paraId="042EE8B6" w14:textId="77777777" w:rsidR="00170A5C" w:rsidRDefault="00000000">
      <w:pPr>
        <w:spacing w:after="160" w:line="259" w:lineRule="auto"/>
        <w:jc w:val="left"/>
        <w:rPr>
          <w:rFonts w:eastAsiaTheme="majorEastAsia" w:cstheme="majorBidi"/>
          <w:b/>
          <w:sz w:val="28"/>
          <w:szCs w:val="40"/>
        </w:rPr>
      </w:pPr>
      <w:r>
        <w:br w:type="page"/>
      </w:r>
    </w:p>
    <w:p w14:paraId="16A2468B" w14:textId="77777777" w:rsidR="00170A5C" w:rsidRDefault="00000000">
      <w:pPr>
        <w:pStyle w:val="Heading1"/>
      </w:pPr>
      <w:bookmarkStart w:id="6" w:name="_Toc133267958"/>
      <w:r>
        <w:lastRenderedPageBreak/>
        <w:t>Conclusion</w:t>
      </w:r>
      <w:bookmarkEnd w:id="6"/>
      <w:r>
        <w:t xml:space="preserve"> </w:t>
      </w:r>
    </w:p>
    <w:p w14:paraId="6A78ED5A" w14:textId="77777777" w:rsidR="00170A5C" w:rsidRDefault="00000000">
      <w:r>
        <w:t>Unilever has adopted and implemented a variety of models and concepts within the field of strategic management, as is briefly discussed below. However, the maintenance of product quality and the addition of some variety to marketing and product-related activities should be among the organization's highest priorities (</w:t>
      </w:r>
      <w:r>
        <w:rPr>
          <w:lang w:eastAsia="en-GB"/>
        </w:rPr>
        <w:t>Brown, 2011</w:t>
      </w:r>
      <w:r>
        <w:t>). If Unilever wants to spot and fix any flaws in their own business operations, it must, as a matter of sound financial management theory, pay particular attention to the tactics its rivals adopt. The company must develop an action plan for all aspects of its business, commencing with its core operational responsibilities, supply chain, and personnel. By synchronising the skills of its employees and those of its sister subsidiaries, Unilever will gain a more complete understanding of the market and its position within it.</w:t>
      </w:r>
    </w:p>
    <w:p w14:paraId="3C369200" w14:textId="77777777" w:rsidR="00170A5C" w:rsidRDefault="00000000">
      <w:pPr>
        <w:spacing w:after="160" w:line="259" w:lineRule="auto"/>
        <w:jc w:val="left"/>
      </w:pPr>
      <w:r>
        <w:br w:type="page"/>
      </w:r>
    </w:p>
    <w:p w14:paraId="148BF0F4" w14:textId="77777777" w:rsidR="00170A5C" w:rsidRDefault="00000000">
      <w:pPr>
        <w:pStyle w:val="Heading1"/>
      </w:pPr>
      <w:bookmarkStart w:id="7" w:name="_Toc133267959"/>
      <w:r>
        <w:lastRenderedPageBreak/>
        <w:t>References</w:t>
      </w:r>
      <w:bookmarkEnd w:id="7"/>
      <w:r>
        <w:t xml:space="preserve"> </w:t>
      </w:r>
    </w:p>
    <w:p w14:paraId="57A78A25" w14:textId="77777777" w:rsidR="00170A5C" w:rsidRDefault="00000000">
      <w:pPr>
        <w:rPr>
          <w:lang w:eastAsia="en-GB"/>
        </w:rPr>
      </w:pPr>
      <w:r>
        <w:rPr>
          <w:lang w:eastAsia="en-GB"/>
        </w:rPr>
        <w:t xml:space="preserve">Aubert, F. and </w:t>
      </w:r>
      <w:proofErr w:type="spellStart"/>
      <w:r>
        <w:rPr>
          <w:lang w:eastAsia="en-GB"/>
        </w:rPr>
        <w:t>Grudnitski</w:t>
      </w:r>
      <w:proofErr w:type="spellEnd"/>
      <w:r>
        <w:rPr>
          <w:lang w:eastAsia="en-GB"/>
        </w:rPr>
        <w:t xml:space="preserve">, G., 2011. The impact and importance of mandatory adoption of international financial reporting standards in Europe. </w:t>
      </w:r>
      <w:r>
        <w:rPr>
          <w:i/>
          <w:iCs/>
          <w:lang w:eastAsia="en-GB"/>
        </w:rPr>
        <w:t>Journal of International Financial Management &amp; Accounting</w:t>
      </w:r>
      <w:r>
        <w:rPr>
          <w:lang w:eastAsia="en-GB"/>
        </w:rPr>
        <w:t xml:space="preserve">, </w:t>
      </w:r>
      <w:r>
        <w:rPr>
          <w:i/>
          <w:iCs/>
          <w:lang w:eastAsia="en-GB"/>
        </w:rPr>
        <w:t>22</w:t>
      </w:r>
      <w:r>
        <w:rPr>
          <w:lang w:eastAsia="en-GB"/>
        </w:rPr>
        <w:t>(1), pp.1-26.</w:t>
      </w:r>
    </w:p>
    <w:p w14:paraId="516B8E8C" w14:textId="77777777" w:rsidR="00170A5C" w:rsidRDefault="00000000">
      <w:pPr>
        <w:rPr>
          <w:lang w:eastAsia="en-GB"/>
        </w:rPr>
      </w:pPr>
      <w:r>
        <w:rPr>
          <w:lang w:eastAsia="en-GB"/>
        </w:rPr>
        <w:t xml:space="preserve">Brown, P., 2011. International Financial Reporting Standards: what are the </w:t>
      </w:r>
      <w:proofErr w:type="gramStart"/>
      <w:r>
        <w:rPr>
          <w:lang w:eastAsia="en-GB"/>
        </w:rPr>
        <w:t>benefits?.</w:t>
      </w:r>
      <w:proofErr w:type="gramEnd"/>
      <w:r>
        <w:rPr>
          <w:lang w:eastAsia="en-GB"/>
        </w:rPr>
        <w:t xml:space="preserve"> </w:t>
      </w:r>
      <w:r>
        <w:rPr>
          <w:i/>
          <w:iCs/>
          <w:lang w:eastAsia="en-GB"/>
        </w:rPr>
        <w:t>Accounting and business research</w:t>
      </w:r>
      <w:r>
        <w:rPr>
          <w:lang w:eastAsia="en-GB"/>
        </w:rPr>
        <w:t xml:space="preserve">, </w:t>
      </w:r>
      <w:r>
        <w:rPr>
          <w:i/>
          <w:iCs/>
          <w:lang w:eastAsia="en-GB"/>
        </w:rPr>
        <w:t>41</w:t>
      </w:r>
      <w:r>
        <w:rPr>
          <w:lang w:eastAsia="en-GB"/>
        </w:rPr>
        <w:t>(3), pp.269-285.</w:t>
      </w:r>
    </w:p>
    <w:p w14:paraId="26487A49" w14:textId="77777777" w:rsidR="00170A5C" w:rsidRDefault="00000000">
      <w:pPr>
        <w:rPr>
          <w:lang w:eastAsia="en-GB"/>
        </w:rPr>
      </w:pPr>
      <w:r>
        <w:rPr>
          <w:lang w:eastAsia="en-GB"/>
        </w:rPr>
        <w:t xml:space="preserve">Chandra, P., 2017. </w:t>
      </w:r>
      <w:r>
        <w:rPr>
          <w:i/>
          <w:iCs/>
          <w:lang w:eastAsia="en-GB"/>
        </w:rPr>
        <w:t>Fundamentals of financial management</w:t>
      </w:r>
      <w:r>
        <w:rPr>
          <w:lang w:eastAsia="en-GB"/>
        </w:rPr>
        <w:t>. McGraw Hill Education.</w:t>
      </w:r>
    </w:p>
    <w:p w14:paraId="45880BCD" w14:textId="77777777" w:rsidR="00170A5C" w:rsidRDefault="00000000">
      <w:pPr>
        <w:rPr>
          <w:i/>
          <w:iCs/>
        </w:rPr>
      </w:pPr>
      <w:r>
        <w:t xml:space="preserve">Chen, H., Tang, Q., Jiang, Y. and Lin, Z., 2010. The role of international financial reporting standards in accounting quality: Evidence from the European Union. </w:t>
      </w:r>
      <w:r>
        <w:rPr>
          <w:i/>
          <w:iCs/>
        </w:rPr>
        <w:t xml:space="preserve">Journal of international financial </w:t>
      </w:r>
      <w:proofErr w:type="spellStart"/>
      <w:r>
        <w:rPr>
          <w:i/>
          <w:iCs/>
        </w:rPr>
        <w:t>manag</w:t>
      </w:r>
      <w:proofErr w:type="spellEnd"/>
    </w:p>
    <w:p w14:paraId="0F3983AE" w14:textId="77777777" w:rsidR="00170A5C" w:rsidRDefault="00000000">
      <w:pPr>
        <w:rPr>
          <w:lang w:eastAsia="en-GB"/>
        </w:rPr>
      </w:pPr>
      <w:proofErr w:type="spellStart"/>
      <w:r>
        <w:rPr>
          <w:lang w:eastAsia="en-GB"/>
        </w:rPr>
        <w:t>Eun</w:t>
      </w:r>
      <w:proofErr w:type="spellEnd"/>
      <w:r>
        <w:rPr>
          <w:lang w:eastAsia="en-GB"/>
        </w:rPr>
        <w:t xml:space="preserve">, C.S. and Resnick, B.G., 2015. </w:t>
      </w:r>
      <w:r>
        <w:rPr>
          <w:i/>
          <w:iCs/>
          <w:lang w:eastAsia="en-GB"/>
        </w:rPr>
        <w:t>International financial management</w:t>
      </w:r>
      <w:r>
        <w:rPr>
          <w:lang w:eastAsia="en-GB"/>
        </w:rPr>
        <w:t>. McGraw-Hill Education.</w:t>
      </w:r>
    </w:p>
    <w:p w14:paraId="2C7D5346" w14:textId="77777777" w:rsidR="00170A5C" w:rsidRDefault="00000000">
      <w:pPr>
        <w:rPr>
          <w:lang w:eastAsia="en-GB"/>
        </w:rPr>
      </w:pPr>
      <w:proofErr w:type="spellStart"/>
      <w:r>
        <w:rPr>
          <w:lang w:eastAsia="en-GB"/>
        </w:rPr>
        <w:t>Iatridis</w:t>
      </w:r>
      <w:proofErr w:type="spellEnd"/>
      <w:r>
        <w:rPr>
          <w:lang w:eastAsia="en-GB"/>
        </w:rPr>
        <w:t xml:space="preserve">, G., 2010. International Financial Reporting Standards and the quality of financial statement information. </w:t>
      </w:r>
      <w:r>
        <w:rPr>
          <w:i/>
          <w:iCs/>
          <w:lang w:eastAsia="en-GB"/>
        </w:rPr>
        <w:t>International review of financial analysis</w:t>
      </w:r>
      <w:r>
        <w:rPr>
          <w:lang w:eastAsia="en-GB"/>
        </w:rPr>
        <w:t xml:space="preserve">, </w:t>
      </w:r>
      <w:r>
        <w:rPr>
          <w:i/>
          <w:iCs/>
          <w:lang w:eastAsia="en-GB"/>
        </w:rPr>
        <w:t>19</w:t>
      </w:r>
      <w:r>
        <w:rPr>
          <w:lang w:eastAsia="en-GB"/>
        </w:rPr>
        <w:t>(3), pp.193-204.</w:t>
      </w:r>
    </w:p>
    <w:p w14:paraId="5EF06C96" w14:textId="77777777" w:rsidR="00170A5C" w:rsidRDefault="00000000">
      <w:pPr>
        <w:rPr>
          <w:lang w:eastAsia="en-GB"/>
        </w:rPr>
      </w:pPr>
      <w:r>
        <w:rPr>
          <w:lang w:eastAsia="en-GB"/>
        </w:rPr>
        <w:t xml:space="preserve">Levi, M.D., 2012. </w:t>
      </w:r>
      <w:r>
        <w:rPr>
          <w:i/>
          <w:iCs/>
          <w:lang w:eastAsia="en-GB"/>
        </w:rPr>
        <w:t>International finance</w:t>
      </w:r>
      <w:r>
        <w:rPr>
          <w:lang w:eastAsia="en-GB"/>
        </w:rPr>
        <w:t>. Psychology Press.</w:t>
      </w:r>
    </w:p>
    <w:p w14:paraId="48828D42" w14:textId="77777777" w:rsidR="00170A5C" w:rsidRDefault="00000000">
      <w:pPr>
        <w:rPr>
          <w:lang w:eastAsia="en-GB"/>
        </w:rPr>
      </w:pPr>
      <w:r>
        <w:rPr>
          <w:lang w:eastAsia="en-GB"/>
        </w:rPr>
        <w:t xml:space="preserve">Madura, J., 2020. </w:t>
      </w:r>
      <w:r>
        <w:rPr>
          <w:i/>
          <w:iCs/>
          <w:lang w:eastAsia="en-GB"/>
        </w:rPr>
        <w:t>International financial management</w:t>
      </w:r>
      <w:r>
        <w:rPr>
          <w:lang w:eastAsia="en-GB"/>
        </w:rPr>
        <w:t>. Cengage Learning.</w:t>
      </w:r>
    </w:p>
    <w:p w14:paraId="537203DA" w14:textId="77777777" w:rsidR="00170A5C" w:rsidRDefault="00000000">
      <w:pPr>
        <w:rPr>
          <w:lang w:eastAsia="en-GB"/>
        </w:rPr>
      </w:pPr>
      <w:r>
        <w:rPr>
          <w:lang w:eastAsia="en-GB"/>
        </w:rPr>
        <w:t xml:space="preserve">Shapiro, A.C. and </w:t>
      </w:r>
      <w:proofErr w:type="spellStart"/>
      <w:r>
        <w:rPr>
          <w:lang w:eastAsia="en-GB"/>
        </w:rPr>
        <w:t>Hanouna</w:t>
      </w:r>
      <w:proofErr w:type="spellEnd"/>
      <w:r>
        <w:rPr>
          <w:lang w:eastAsia="en-GB"/>
        </w:rPr>
        <w:t xml:space="preserve">, P., 2019. </w:t>
      </w:r>
      <w:r>
        <w:rPr>
          <w:i/>
          <w:iCs/>
          <w:lang w:eastAsia="en-GB"/>
        </w:rPr>
        <w:t>Multinational financial management</w:t>
      </w:r>
      <w:r>
        <w:rPr>
          <w:lang w:eastAsia="en-GB"/>
        </w:rPr>
        <w:t>. John Wiley &amp; Sons.</w:t>
      </w:r>
    </w:p>
    <w:sectPr w:rsidR="00170A5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71211" w14:textId="77777777" w:rsidR="00025784" w:rsidRDefault="00025784">
      <w:pPr>
        <w:spacing w:line="240" w:lineRule="auto"/>
      </w:pPr>
      <w:r>
        <w:separator/>
      </w:r>
    </w:p>
  </w:endnote>
  <w:endnote w:type="continuationSeparator" w:id="0">
    <w:p w14:paraId="52294524" w14:textId="77777777" w:rsidR="00025784" w:rsidRDefault="000257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honar Bangla">
    <w:altName w:val="Segoe UI Symbol"/>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764F8" w14:textId="77777777" w:rsidR="00170A5C" w:rsidRDefault="00170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D47BA" w14:textId="77777777" w:rsidR="00170A5C" w:rsidRDefault="00170A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DDCF8" w14:textId="77777777" w:rsidR="00170A5C" w:rsidRDefault="00170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5EFC9" w14:textId="77777777" w:rsidR="00025784" w:rsidRDefault="00025784">
      <w:r>
        <w:separator/>
      </w:r>
    </w:p>
  </w:footnote>
  <w:footnote w:type="continuationSeparator" w:id="0">
    <w:p w14:paraId="52A6B743" w14:textId="77777777" w:rsidR="00025784" w:rsidRDefault="000257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D1305" w14:textId="77777777" w:rsidR="00170A5C" w:rsidRDefault="00170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DBAD3" w14:textId="77777777" w:rsidR="00170A5C" w:rsidRDefault="00170A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FD6E2" w14:textId="77777777" w:rsidR="00170A5C" w:rsidRDefault="00170A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2C0"/>
    <w:rsid w:val="00025784"/>
    <w:rsid w:val="00037C68"/>
    <w:rsid w:val="000C4B38"/>
    <w:rsid w:val="00170A5C"/>
    <w:rsid w:val="00190FEE"/>
    <w:rsid w:val="00282072"/>
    <w:rsid w:val="003A19B5"/>
    <w:rsid w:val="0043178C"/>
    <w:rsid w:val="00435192"/>
    <w:rsid w:val="004D54B3"/>
    <w:rsid w:val="005621A2"/>
    <w:rsid w:val="0075516C"/>
    <w:rsid w:val="00895B87"/>
    <w:rsid w:val="008E578C"/>
    <w:rsid w:val="00923E47"/>
    <w:rsid w:val="00950325"/>
    <w:rsid w:val="00A668E1"/>
    <w:rsid w:val="00B96BAB"/>
    <w:rsid w:val="00D87253"/>
    <w:rsid w:val="00DB6A02"/>
    <w:rsid w:val="00DF3F03"/>
    <w:rsid w:val="00F662C0"/>
    <w:rsid w:val="2BB1783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cs="Shonar Bangla"/>
      <w:sz w:val="24"/>
      <w:szCs w:val="28"/>
      <w:lang w:eastAsia="en-US" w:bidi="bn-BD"/>
    </w:rPr>
  </w:style>
  <w:style w:type="paragraph" w:styleId="Heading1">
    <w:name w:val="heading 1"/>
    <w:basedOn w:val="Normal"/>
    <w:next w:val="Normal"/>
    <w:link w:val="Heading1Char"/>
    <w:uiPriority w:val="9"/>
    <w:qFormat/>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6"/>
      <w:szCs w:val="33"/>
    </w:rPr>
  </w:style>
  <w:style w:type="paragraph" w:styleId="NoSpacing">
    <w:name w:val="No Spacing"/>
    <w:uiPriority w:val="1"/>
    <w:qFormat/>
    <w:pPr>
      <w:jc w:val="both"/>
    </w:pPr>
    <w:rPr>
      <w:rFonts w:ascii="Times New Roman" w:hAnsi="Times New Roman" w:cs="Shonar Bangla"/>
      <w:sz w:val="24"/>
      <w:szCs w:val="28"/>
      <w:lang w:eastAsia="en-US" w:bidi="bn-BD"/>
    </w:r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hAnsiTheme="majorHAnsi"/>
      <w:b w:val="0"/>
      <w:color w:val="2E74B5" w:themeColor="accent1" w:themeShade="BF"/>
      <w:sz w:val="32"/>
      <w:szCs w:val="32"/>
      <w:lang w:val="en-US" w:bidi="ar-SA"/>
    </w:rPr>
  </w:style>
  <w:style w:type="character" w:customStyle="1" w:styleId="markedcontent">
    <w:name w:val="markedcontent"/>
    <w:basedOn w:val="DefaultParagraphFont"/>
  </w:style>
  <w:style w:type="character" w:customStyle="1" w:styleId="HeaderChar">
    <w:name w:val="Header Char"/>
    <w:basedOn w:val="DefaultParagraphFont"/>
    <w:link w:val="Header"/>
    <w:uiPriority w:val="99"/>
    <w:qFormat/>
    <w:rPr>
      <w:rFonts w:ascii="Times New Roman" w:hAnsi="Times New Roman" w:cs="Shonar Bangla"/>
      <w:sz w:val="24"/>
    </w:rPr>
  </w:style>
  <w:style w:type="character" w:customStyle="1" w:styleId="FooterChar">
    <w:name w:val="Footer Char"/>
    <w:basedOn w:val="DefaultParagraphFont"/>
    <w:link w:val="Footer"/>
    <w:uiPriority w:val="99"/>
    <w:qFormat/>
    <w:rPr>
      <w:rFonts w:ascii="Times New Roman" w:hAnsi="Times New Roman" w:cs="Shonar Bangl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501427-488C-42F3-84AB-7EBA4AE1B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1709</Words>
  <Characters>9744</Characters>
  <Application>Microsoft Office Word</Application>
  <DocSecurity>0</DocSecurity>
  <Lines>81</Lines>
  <Paragraphs>22</Paragraphs>
  <ScaleCrop>false</ScaleCrop>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2023-04-24T16:32:00Z</dcterms:created>
  <dcterms:modified xsi:type="dcterms:W3CDTF">2023-04-30T09:33:00Z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6A38A60921A149678D8EB360B8C8D0B9</vt:lpwstr>
  </property>
</Properties>
</file>