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49237A" w14:textId="77777777" w:rsidR="00837B90" w:rsidRDefault="0094414A">
      <w:pPr>
        <w:spacing w:after="100"/>
        <w:jc w:val="center"/>
      </w:pPr>
      <w:r>
        <w:rPr>
          <w:b/>
          <w:bCs/>
          <w:sz w:val="30"/>
          <w:szCs w:val="30"/>
        </w:rPr>
        <w:t>Effective Communication, Administrative Practice and Collaborative Working in Health and Social Care</w:t>
      </w:r>
    </w:p>
    <w:p w14:paraId="4CE2E8E5" w14:textId="77777777" w:rsidR="00837B90" w:rsidRDefault="0094414A">
      <w:pPr>
        <w:spacing w:after="400"/>
        <w:jc w:val="center"/>
      </w:pPr>
      <w:r>
        <w:rPr>
          <w:i/>
          <w:iCs/>
        </w:rPr>
        <w:t>A Report Based on the Case Study of Mrs Thompson</w:t>
      </w:r>
    </w:p>
    <w:p w14:paraId="380D707C" w14:textId="77777777" w:rsidR="00837B90" w:rsidRDefault="0094414A">
      <w:pPr>
        <w:pStyle w:val="Heading1"/>
        <w:spacing w:before="280" w:after="140"/>
      </w:pPr>
      <w:r>
        <w:rPr>
          <w:b/>
          <w:bCs/>
        </w:rPr>
        <w:t>Introduction</w:t>
      </w:r>
    </w:p>
    <w:p w14:paraId="76A10FF9" w14:textId="77777777" w:rsidR="00837B90" w:rsidRDefault="0094414A">
      <w:pPr>
        <w:spacing w:after="200" w:line="360" w:lineRule="auto"/>
        <w:jc w:val="both"/>
      </w:pPr>
      <w:r>
        <w:t>This report examines three interconnected areas of professional practice in health and social care through the case study of Mrs Thompson, an 84-year-old woman living with mild dementia in sheltered housing. Following a recent hospital discharge, missed medication doses and an incident in which she was found outside inadequately dressed in cold weather, her case highlights the practical consequences of communication breakdown, poor administrative discipline and fragmented multi-agency working. The report fi</w:t>
      </w:r>
      <w:r>
        <w:t>rst considers the importance of effective communication with Mrs Thompson and her family, applying the Equality Act 2010 and Argyle's Communication Cycle. It then discusses administrative skills and record keeping in light of the Data Protection Act 2018 and relevant sector policy. Finally, it considers the importance of collaborative working between the GP, community nurse and domiciliary care staff involved in Mrs Thompson's care.</w:t>
      </w:r>
    </w:p>
    <w:p w14:paraId="1BEEB5E0" w14:textId="77777777" w:rsidR="00837B90" w:rsidRDefault="0094414A">
      <w:pPr>
        <w:pStyle w:val="Heading1"/>
        <w:spacing w:before="280" w:after="140"/>
      </w:pPr>
      <w:r>
        <w:rPr>
          <w:b/>
          <w:bCs/>
        </w:rPr>
        <w:t>Effective Communication in Mrs Thompson's Care</w:t>
      </w:r>
    </w:p>
    <w:p w14:paraId="2FC413F0" w14:textId="77777777" w:rsidR="00837B90" w:rsidRDefault="0094414A">
      <w:pPr>
        <w:spacing w:after="200" w:line="360" w:lineRule="auto"/>
        <w:jc w:val="both"/>
      </w:pPr>
      <w:r>
        <w:t>Effective communication is central to safe, person-centred care and is particularly critical for Mrs Thompson given her dementia diagnosis, recent hospitalisation and the safeguarding concerns that have since arisen. Poor communication between domiciliary care staff can directly explain how two missed medication doses went unnoticed long enough to cause increased confusion, while the incident of her being found outside without adequate clothing suggests a possible failure to communicate risk, capacity, or c</w:t>
      </w:r>
      <w:r>
        <w:t>hanges in her presentation between shifts and professionals. Clear, consistent and person-centred communication supports early identification of deterioration, reduces the risk of further harm, and upholds Mrs Thompson's dignity and involvement in decisions about her own care.</w:t>
      </w:r>
    </w:p>
    <w:p w14:paraId="103DB58F" w14:textId="77777777" w:rsidR="00837B90" w:rsidRDefault="0094414A">
      <w:pPr>
        <w:spacing w:after="200" w:line="360" w:lineRule="auto"/>
        <w:jc w:val="both"/>
      </w:pPr>
      <w:r>
        <w:t xml:space="preserve">Communicating with Mrs Thompson herself requires adjustments appropriate to her mild dementia: using short, simple sentences, allowing extra time to process information, minimising background distraction, and reinforcing verbal messages with visual or written prompts such as a medication chart by her door. Non-verbal communication, including a calm tone, open posture and unhurried manner, helps to reduce anxiety and supports trust. </w:t>
      </w:r>
      <w:r>
        <w:lastRenderedPageBreak/>
        <w:t>Communication with her family should be handled with equal care, ensuring they are kept appropriately informed and involved as a source of support, while always working within the boundaries of Mrs Thompson's consent and, where relevant, best-interests decision-making.</w:t>
      </w:r>
    </w:p>
    <w:p w14:paraId="2A6ADA7C" w14:textId="77777777" w:rsidR="00837B90" w:rsidRDefault="0094414A">
      <w:pPr>
        <w:spacing w:after="200" w:line="360" w:lineRule="auto"/>
        <w:jc w:val="both"/>
      </w:pPr>
      <w:r>
        <w:t xml:space="preserve">The Equality Act 2010 is directly relevant here. Dementia is generally recognised as a disability under the Act, meaning Mrs Thompson is entitled to reasonable adjustments in how services and information are communicated to her, and must not be discriminated against, directly or indirectly, because of her age or disability (Equality Act 2010; Legislation.gov.uk, </w:t>
      </w:r>
      <w:proofErr w:type="spellStart"/>
      <w:r>
        <w:t>n.d.</w:t>
      </w:r>
      <w:proofErr w:type="spellEnd"/>
      <w:r>
        <w:t>). Age is also a protected characteristic, which is significant given the risk of ageist assumptions influencing how staff interpret her confusion or behaviour. Practitioners have a duty to promote equality, ensure her voice is heard, and avoid making paternalistic decisions on her behalf without appropriate justification and involvement of family or advocates.</w:t>
      </w:r>
    </w:p>
    <w:p w14:paraId="604C8EFA" w14:textId="77777777" w:rsidR="00837B90" w:rsidRDefault="0094414A">
      <w:pPr>
        <w:spacing w:after="200" w:line="360" w:lineRule="auto"/>
        <w:jc w:val="both"/>
      </w:pPr>
      <w:r>
        <w:t xml:space="preserve">Argyle's Communication Cycle, introduced during the teaching session, offers a useful model for analysing communication in this case (Argyle, 1972). Its six stages are: an idea occurs, the message is coded, the message is sent, the message is received, the message is decoded, and the message is understood, with feedback restarting the cycle. Applied to Mrs Thompson, a domiciliary carer noticing her confusion (idea occurs) must code this into a clear, simple message when speaking to her, or into an accurate </w:t>
      </w:r>
      <w:r>
        <w:t>written entry when communicating with colleagues or the GP (message coded and sent). Because Mrs Thompson's dementia can disrupt the decoding and understanding stages, staff must actively check understanding, using repetition, prompts and observation of her response, rather than assuming the message has been received as intended. The same cycle applies in reverse when Mrs Thompson tries to communicate her own needs, and staff must be alert to non-verbal cues if her verbal expression is impaired. Used consis</w:t>
      </w:r>
      <w:r>
        <w:t>tently, the model highlights where breakdowns such as missed medication or unnoticed risk are most likely to occur, and where checking and feedback loops need to be strengthened.</w:t>
      </w:r>
    </w:p>
    <w:p w14:paraId="7415F50B" w14:textId="77777777" w:rsidR="00837B90" w:rsidRDefault="0094414A">
      <w:pPr>
        <w:pStyle w:val="Heading1"/>
        <w:spacing w:before="280" w:after="140"/>
      </w:pPr>
      <w:r>
        <w:rPr>
          <w:b/>
          <w:bCs/>
        </w:rPr>
        <w:t>Administrative Skills and Record Keeping in Mrs Thompson's Care</w:t>
      </w:r>
    </w:p>
    <w:p w14:paraId="09669A3D" w14:textId="77777777" w:rsidR="00837B90" w:rsidRDefault="0094414A">
      <w:pPr>
        <w:spacing w:after="200" w:line="360" w:lineRule="auto"/>
        <w:jc w:val="both"/>
      </w:pPr>
      <w:r>
        <w:t xml:space="preserve">Good administrative practice underpins safe and accountable care, and its absence is visible throughout Mrs Thompson's case. Had medication administration been recorded accurately and reviewed promptly, the two missed doses might have been identified sooner, and her subsequent confusion may have been prevented or reduced. Accurate, timely and legible </w:t>
      </w:r>
      <w:r>
        <w:lastRenderedPageBreak/>
        <w:t>records provide a shared, reliable account of a service user's condition and care across shifts and professionals, support continuity of care, and create an evidence trail that protects both the service user and the organisation should an incident, complaint or investigation occur, as is now the case with the local council review.</w:t>
      </w:r>
    </w:p>
    <w:p w14:paraId="4037D793" w14:textId="77777777" w:rsidR="00837B90" w:rsidRDefault="0094414A">
      <w:pPr>
        <w:spacing w:after="200" w:line="360" w:lineRule="auto"/>
        <w:jc w:val="both"/>
      </w:pPr>
      <w:r>
        <w:t>Administrative discipline also supports professional accountability. The incident reporting process used to flag Mrs Thompson's missed medication and the outdoor incident demonstrates good practice in itself, provided the resulting records are detailed, factual, and completed promptly, and that the requested medication review is followed through and documented. Regulation 17 of the Health and Social Care Act 2008 (Regulated Activities) Regulations 2014 requires providers to maintain securely an accurate, co</w:t>
      </w:r>
      <w:r>
        <w:t>mplete and contemporaneous record for each service user, covering their care and treatment, and this obligation is enforced by the Care Quality Commission (NHS Transformation Directorate, 2021).</w:t>
      </w:r>
    </w:p>
    <w:p w14:paraId="3955EBD5" w14:textId="77777777" w:rsidR="00837B90" w:rsidRDefault="0094414A">
      <w:pPr>
        <w:spacing w:after="200" w:line="360" w:lineRule="auto"/>
        <w:jc w:val="both"/>
      </w:pPr>
      <w:r>
        <w:t>Record keeping in this case must also comply with the Data Protection Act 2018, which incorporates UK GDPR into domestic law and governs how Mrs Thompson's personal and special category health data is collected, stored and shared (Data Protection Act 2018). Its core principles require that data be processed lawfully, fairly and transparently; collected for specified, explicit purposes; limited to what is necessary; kept accurate and up to date; retained no longer than needed; and held securely with appropri</w:t>
      </w:r>
      <w:r>
        <w:t xml:space="preserve">ate confidentiality safeguards, with organisations accountable for demonstrating compliance (Information Commissioner's Office, </w:t>
      </w:r>
      <w:proofErr w:type="spellStart"/>
      <w:r>
        <w:t>n.d.</w:t>
      </w:r>
      <w:proofErr w:type="spellEnd"/>
      <w:r>
        <w:t>). As health information about diagnosis and medication, Mrs Thompson's records fall within the special category of personal data, requiring additional protection and strictly limited, justified sharing between professionals involved in her care (NHS Transformation Directorate, 2021).</w:t>
      </w:r>
    </w:p>
    <w:p w14:paraId="30452485" w14:textId="77777777" w:rsidR="00837B90" w:rsidRDefault="0094414A">
      <w:pPr>
        <w:spacing w:after="200" w:line="360" w:lineRule="auto"/>
        <w:jc w:val="both"/>
      </w:pPr>
      <w:r>
        <w:t xml:space="preserve">These legal duties are reinforced by sector policy, including the NHS Transformation Directorate's Records Management Code of Practice and, for individual practitioners, professional codes such as the Nursing and Midwifery Council's Code, which requires nurses to keep clear and accurate records of the discussions, assessments and care provided (Nursing and Midwifery Council, 2018). Together, this legislative and policy framework means that </w:t>
      </w:r>
      <w:r>
        <w:lastRenderedPageBreak/>
        <w:t>administrative accuracy in Mrs Thompson's case is not simply good practice but a legal and professional requirement, directly relevant to the ongoing safeguarding review.</w:t>
      </w:r>
    </w:p>
    <w:p w14:paraId="6796C97F" w14:textId="77777777" w:rsidR="00837B90" w:rsidRDefault="0094414A">
      <w:pPr>
        <w:pStyle w:val="Heading1"/>
        <w:spacing w:before="280" w:after="140"/>
      </w:pPr>
      <w:r>
        <w:rPr>
          <w:b/>
          <w:bCs/>
        </w:rPr>
        <w:t>Collaborative Working in Mrs Thompson's Care</w:t>
      </w:r>
    </w:p>
    <w:p w14:paraId="1EBCFC68" w14:textId="77777777" w:rsidR="00837B90" w:rsidRDefault="0094414A">
      <w:pPr>
        <w:spacing w:after="200" w:line="360" w:lineRule="auto"/>
        <w:jc w:val="both"/>
      </w:pPr>
      <w:r>
        <w:t>Mrs Thompson's care needs cannot be met by any single professional working in isolation, making collaborative, multidisciplinary working essential. Her GP holds overall clinical responsibility and has now been asked to conduct a medication review following the missed doses and increased confusion, requiring accurate information from domiciliary staff about what was observed and when. The community nurse, likely monitoring her recovery from pneumonia, needs up-to-date information about her physical and cogni</w:t>
      </w:r>
      <w:r>
        <w:t>tive state to adjust care appropriately, while domiciliary care workers, who see Mrs Thompson twice daily, are often the first to notice subtle changes and therefore play a critical early-warning role. The local authority's involvement in reviewing the outdoor incident adds a safeguarding dimension, reflecting duties under the Care Act 2014 for agencies to cooperate and share relevant information to protect adults at risk of harm.</w:t>
      </w:r>
    </w:p>
    <w:p w14:paraId="532BF181" w14:textId="77777777" w:rsidR="00837B90" w:rsidRDefault="0094414A">
      <w:pPr>
        <w:spacing w:after="200" w:line="360" w:lineRule="auto"/>
        <w:jc w:val="both"/>
      </w:pPr>
      <w:r>
        <w:t>Effective collaboration depends on the communication and record-keeping practices discussed above: shared, accurate documentation, clear escalation pathways when concerns arise, and mutual respect between professions. When these connections break down, as appears to have happened here, risks to service users increase and accountability becomes harder to trace, underlining why coordinated, well-documented multi-agency working is fundamental to safe practice in cases such as Mrs Thompson's.</w:t>
      </w:r>
    </w:p>
    <w:p w14:paraId="57DCC5E4" w14:textId="77777777" w:rsidR="00837B90" w:rsidRDefault="0094414A">
      <w:pPr>
        <w:pStyle w:val="Heading1"/>
        <w:spacing w:before="280" w:after="140"/>
      </w:pPr>
      <w:r>
        <w:rPr>
          <w:b/>
          <w:bCs/>
        </w:rPr>
        <w:t>Conclusion</w:t>
      </w:r>
    </w:p>
    <w:p w14:paraId="4BA0A879" w14:textId="77777777" w:rsidR="00837B90" w:rsidRDefault="0094414A">
      <w:pPr>
        <w:spacing w:after="200" w:line="360" w:lineRule="auto"/>
        <w:jc w:val="both"/>
      </w:pPr>
      <w:r>
        <w:t>Mrs Thompson's case illustrates how communication, administration and collaboration are not separate concerns but interdependent elements of safe, person-centred care. Person-centred, rights-based communication, informed by the Equality Act 2010 and models such as Argyle's Communication Cycle, helps ensure her needs and views remain central to decision-making. Rigorous record keeping, compliant with the Data Protection Act 2018 and sector regulation, provides the accurate information base that safe practice</w:t>
      </w:r>
      <w:r>
        <w:t xml:space="preserve"> and accountability depend on. Finally, close collaborative working between her GP, community nurse, domiciliary carers and the local authority is essential to preventing the kind of gaps that </w:t>
      </w:r>
      <w:r>
        <w:lastRenderedPageBreak/>
        <w:t>contributed to her missed medication and the outdoor incident. Strengthening all three areas together offers the clearest route to safer, more consistent care for Mrs Thompson going forward.</w:t>
      </w:r>
    </w:p>
    <w:p w14:paraId="6D6C1254" w14:textId="77777777" w:rsidR="00837B90" w:rsidRDefault="0094414A">
      <w:r>
        <w:br/>
      </w:r>
    </w:p>
    <w:p w14:paraId="660821B1" w14:textId="77777777" w:rsidR="00837B90" w:rsidRDefault="0094414A">
      <w:pPr>
        <w:pStyle w:val="Heading1"/>
        <w:spacing w:before="280" w:after="140"/>
      </w:pPr>
      <w:r>
        <w:rPr>
          <w:b/>
          <w:bCs/>
        </w:rPr>
        <w:t>Reference List</w:t>
      </w:r>
    </w:p>
    <w:p w14:paraId="610162D5" w14:textId="77777777" w:rsidR="00837B90" w:rsidRDefault="0094414A">
      <w:pPr>
        <w:spacing w:after="160" w:line="300" w:lineRule="auto"/>
        <w:ind w:left="720" w:hanging="720"/>
      </w:pPr>
      <w:r>
        <w:t xml:space="preserve">Argyle, M. (1972) The Psychology of Interpersonal Behaviour. </w:t>
      </w:r>
      <w:proofErr w:type="spellStart"/>
      <w:r>
        <w:t>Harmondsworth</w:t>
      </w:r>
      <w:proofErr w:type="spellEnd"/>
      <w:r>
        <w:t>: Penguin.</w:t>
      </w:r>
    </w:p>
    <w:p w14:paraId="0D3975ED" w14:textId="77777777" w:rsidR="00837B90" w:rsidRDefault="0094414A">
      <w:pPr>
        <w:spacing w:after="160" w:line="300" w:lineRule="auto"/>
        <w:ind w:left="720" w:hanging="720"/>
      </w:pPr>
      <w:r>
        <w:t>Care Act 2014. London: The Stationery Office.</w:t>
      </w:r>
    </w:p>
    <w:p w14:paraId="706DB1D4" w14:textId="77777777" w:rsidR="00837B90" w:rsidRDefault="0094414A">
      <w:pPr>
        <w:spacing w:after="160" w:line="300" w:lineRule="auto"/>
        <w:ind w:left="720" w:hanging="720"/>
      </w:pPr>
      <w:r>
        <w:t>Data Protection Act 2018. London: The Stationery Office.</w:t>
      </w:r>
    </w:p>
    <w:p w14:paraId="3B4BFCB7" w14:textId="77777777" w:rsidR="00837B90" w:rsidRDefault="0094414A">
      <w:pPr>
        <w:spacing w:after="160" w:line="300" w:lineRule="auto"/>
        <w:ind w:left="720" w:hanging="720"/>
      </w:pPr>
      <w:r>
        <w:t>Equality Act 2010. London: The Stationery Office.</w:t>
      </w:r>
    </w:p>
    <w:p w14:paraId="6D2AC521" w14:textId="77777777" w:rsidR="00837B90" w:rsidRDefault="0094414A">
      <w:pPr>
        <w:spacing w:after="160" w:line="300" w:lineRule="auto"/>
        <w:ind w:left="720" w:hanging="720"/>
      </w:pPr>
      <w:r>
        <w:t>Health and Social Care Act 2008 (Regulated Activities) Regulations 2014, SI 2014/2936.</w:t>
      </w:r>
    </w:p>
    <w:p w14:paraId="1CD97C3A" w14:textId="77777777" w:rsidR="00837B90" w:rsidRDefault="0094414A">
      <w:pPr>
        <w:spacing w:after="160" w:line="300" w:lineRule="auto"/>
        <w:ind w:left="720" w:hanging="720"/>
      </w:pPr>
      <w:r>
        <w:t>Information Commissioner's Office (</w:t>
      </w:r>
      <w:proofErr w:type="spellStart"/>
      <w:r>
        <w:t>n.d.</w:t>
      </w:r>
      <w:proofErr w:type="spellEnd"/>
      <w:r>
        <w:t>) Guide to the UK General Data Protection Regulation (UK GDPR). Available at: https://ico.org.uk (Accessed: 23 July 2026).</w:t>
      </w:r>
    </w:p>
    <w:p w14:paraId="5E7F6C80" w14:textId="77777777" w:rsidR="00837B90" w:rsidRDefault="0094414A">
      <w:pPr>
        <w:spacing w:after="160" w:line="300" w:lineRule="auto"/>
        <w:ind w:left="720" w:hanging="720"/>
      </w:pPr>
      <w:r>
        <w:t>NHS Transformation Directorate (2021) Records Management Code of Practice for Health and Social Care. Available at: https://transform.england.nhs.uk (Accessed: 23 July 2026).</w:t>
      </w:r>
    </w:p>
    <w:p w14:paraId="59724383" w14:textId="77777777" w:rsidR="00837B90" w:rsidRDefault="0094414A">
      <w:pPr>
        <w:spacing w:after="160" w:line="300" w:lineRule="auto"/>
        <w:ind w:left="720" w:hanging="720"/>
      </w:pPr>
      <w:r>
        <w:t>Nursing and Midwifery Council (2018) The Code: Professional Standards of Practice and Behaviour for Nurses, Midwives and Nursing Associates. London: NMC.</w:t>
      </w:r>
    </w:p>
    <w:p w14:paraId="0F94F0B4" w14:textId="77777777" w:rsidR="00837B90" w:rsidRDefault="0094414A">
      <w:pPr>
        <w:spacing w:after="160" w:line="300" w:lineRule="auto"/>
        <w:ind w:left="720" w:hanging="720"/>
      </w:pPr>
      <w:r>
        <w:t xml:space="preserve">Sheldon, L.K. (2009) Communication for Nurses: Talking with Patients. 2nd </w:t>
      </w:r>
      <w:proofErr w:type="spellStart"/>
      <w:r>
        <w:t>edn</w:t>
      </w:r>
      <w:proofErr w:type="spellEnd"/>
      <w:r>
        <w:t>. Sudbury, MA: Jones and Bartlett.</w:t>
      </w:r>
    </w:p>
    <w:p w14:paraId="5FE2E362" w14:textId="77777777" w:rsidR="00837B90" w:rsidRDefault="0094414A">
      <w:pPr>
        <w:spacing w:after="160" w:line="300" w:lineRule="auto"/>
        <w:ind w:left="720" w:hanging="720"/>
      </w:pPr>
      <w:r>
        <w:t>Skills for Care (2021) Code of Conduct for Healthcare Support Workers and Adult Social Care Workers in England. Leeds: Skills for Care.</w:t>
      </w:r>
    </w:p>
    <w:sectPr w:rsidR="00837B90">
      <w:headerReference w:type="default" r:id="rId7"/>
      <w:footerReference w:type="default" r:id="rId8"/>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D2475D" w14:textId="77777777" w:rsidR="0094414A" w:rsidRDefault="0094414A">
      <w:r>
        <w:separator/>
      </w:r>
    </w:p>
  </w:endnote>
  <w:endnote w:type="continuationSeparator" w:id="0">
    <w:p w14:paraId="18D31475" w14:textId="77777777" w:rsidR="0094414A" w:rsidRDefault="009441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roman"/>
    <w:notTrueType/>
    <w:pitch w:val="default"/>
  </w:font>
  <w:font w:name="Aptos">
    <w:panose1 w:val="020B00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1A47F" w14:textId="77777777" w:rsidR="00837B90" w:rsidRDefault="0094414A">
    <w:pPr>
      <w:jc w:val="center"/>
    </w:pPr>
    <w:r>
      <w:rPr>
        <w:sz w:val="18"/>
        <w:szCs w:val="18"/>
      </w:rPr>
      <w:fldChar w:fldCharType="begin"/>
    </w:r>
    <w:r>
      <w:rPr>
        <w:sz w:val="18"/>
        <w:szCs w:val="18"/>
      </w:rPr>
      <w:instrText>PAGE</w:instrText>
    </w:r>
    <w:r>
      <w:rPr>
        <w:sz w:val="18"/>
        <w:szCs w:val="18"/>
      </w:rPr>
      <w:fldChar w:fldCharType="separate"/>
    </w:r>
    <w:r w:rsidR="00852CCA">
      <w:rPr>
        <w:noProof/>
        <w:sz w:val="18"/>
        <w:szCs w:val="18"/>
      </w:rPr>
      <w:t>1</w:t>
    </w:r>
    <w:r>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93D9AB" w14:textId="77777777" w:rsidR="0094414A" w:rsidRDefault="0094414A">
      <w:r>
        <w:separator/>
      </w:r>
    </w:p>
  </w:footnote>
  <w:footnote w:type="continuationSeparator" w:id="0">
    <w:p w14:paraId="4AD1230B" w14:textId="77777777" w:rsidR="0094414A" w:rsidRDefault="009441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99DB6D" w14:textId="77777777" w:rsidR="00837B90" w:rsidRDefault="0094414A">
    <w:pPr>
      <w:jc w:val="right"/>
    </w:pPr>
    <w:r>
      <w:rPr>
        <w:color w:val="808080"/>
        <w:sz w:val="18"/>
        <w:szCs w:val="18"/>
      </w:rPr>
      <w:t>Mrs Thompson Case Study Report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8818FF"/>
    <w:multiLevelType w:val="hybridMultilevel"/>
    <w:tmpl w:val="FFFFFFFF"/>
    <w:lvl w:ilvl="0" w:tplc="624A0AD0">
      <w:start w:val="1"/>
      <w:numFmt w:val="bullet"/>
      <w:lvlText w:val="●"/>
      <w:lvlJc w:val="left"/>
      <w:pPr>
        <w:ind w:left="720" w:hanging="360"/>
      </w:pPr>
    </w:lvl>
    <w:lvl w:ilvl="1" w:tplc="22987DDE">
      <w:start w:val="1"/>
      <w:numFmt w:val="bullet"/>
      <w:lvlText w:val="○"/>
      <w:lvlJc w:val="left"/>
      <w:pPr>
        <w:ind w:left="1440" w:hanging="360"/>
      </w:pPr>
    </w:lvl>
    <w:lvl w:ilvl="2" w:tplc="3C607CA0">
      <w:start w:val="1"/>
      <w:numFmt w:val="bullet"/>
      <w:lvlText w:val="■"/>
      <w:lvlJc w:val="left"/>
      <w:pPr>
        <w:ind w:left="2160" w:hanging="360"/>
      </w:pPr>
    </w:lvl>
    <w:lvl w:ilvl="3" w:tplc="76E834D2">
      <w:start w:val="1"/>
      <w:numFmt w:val="bullet"/>
      <w:lvlText w:val="●"/>
      <w:lvlJc w:val="left"/>
      <w:pPr>
        <w:ind w:left="2880" w:hanging="360"/>
      </w:pPr>
    </w:lvl>
    <w:lvl w:ilvl="4" w:tplc="C8AAD79C">
      <w:start w:val="1"/>
      <w:numFmt w:val="bullet"/>
      <w:lvlText w:val="○"/>
      <w:lvlJc w:val="left"/>
      <w:pPr>
        <w:ind w:left="3600" w:hanging="360"/>
      </w:pPr>
    </w:lvl>
    <w:lvl w:ilvl="5" w:tplc="080CF98A">
      <w:start w:val="1"/>
      <w:numFmt w:val="bullet"/>
      <w:lvlText w:val="■"/>
      <w:lvlJc w:val="left"/>
      <w:pPr>
        <w:ind w:left="4320" w:hanging="360"/>
      </w:pPr>
    </w:lvl>
    <w:lvl w:ilvl="6" w:tplc="DE2003F8">
      <w:start w:val="1"/>
      <w:numFmt w:val="bullet"/>
      <w:lvlText w:val="●"/>
      <w:lvlJc w:val="left"/>
      <w:pPr>
        <w:ind w:left="5040" w:hanging="360"/>
      </w:pPr>
    </w:lvl>
    <w:lvl w:ilvl="7" w:tplc="AF62C722">
      <w:start w:val="1"/>
      <w:numFmt w:val="bullet"/>
      <w:lvlText w:val="●"/>
      <w:lvlJc w:val="left"/>
      <w:pPr>
        <w:ind w:left="5760" w:hanging="360"/>
      </w:pPr>
    </w:lvl>
    <w:lvl w:ilvl="8" w:tplc="0BC6068C">
      <w:start w:val="1"/>
      <w:numFmt w:val="bullet"/>
      <w:lvlText w:val="●"/>
      <w:lvlJc w:val="left"/>
      <w:pPr>
        <w:ind w:left="6480" w:hanging="360"/>
      </w:pPr>
    </w:lvl>
  </w:abstractNum>
  <w:num w:numId="1" w16cid:durableId="180874117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6"/>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7B90"/>
    <w:rsid w:val="00837B90"/>
    <w:rsid w:val="00852CCA"/>
    <w:rsid w:val="0094414A"/>
    <w:rsid w:val="00DE5E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DCB8F93"/>
  <w15:docId w15:val="{53E0432B-861E-A144-B031-F5E4798035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header" Target="header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1651</Words>
  <Characters>9416</Characters>
  <Application>Microsoft Office Word</Application>
  <DocSecurity>0</DocSecurity>
  <Lines>78</Lines>
  <Paragraphs>22</Paragraphs>
  <ScaleCrop>false</ScaleCrop>
  <Company/>
  <LinksUpToDate>false</LinksUpToDate>
  <CharactersWithSpaces>11045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adetolaogunjimi@ymail.com</cp:lastModifiedBy>
  <cp:revision>2</cp:revision>
  <dcterms:created xsi:type="dcterms:W3CDTF">2026-07-23T22:58:00Z</dcterms:created>
  <dcterms:modified xsi:type="dcterms:W3CDTF">2026-07-23T22:58:00Z</dcterms:modified>
</cp:coreProperties>
</file>