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CDFA9" w14:textId="2724F274" w:rsidR="00F87B8B" w:rsidRDefault="00842463" w:rsidP="00F87B8B">
      <w:pPr>
        <w:jc w:val="center"/>
        <w:rPr>
          <w:b/>
          <w:bCs/>
          <w:sz w:val="32"/>
          <w:szCs w:val="32"/>
        </w:rPr>
      </w:pPr>
      <w:r>
        <w:rPr>
          <w:b/>
          <w:bCs/>
          <w:sz w:val="32"/>
          <w:szCs w:val="32"/>
        </w:rPr>
        <w:t xml:space="preserve">Mohammad </w:t>
      </w:r>
      <w:proofErr w:type="spellStart"/>
      <w:r>
        <w:rPr>
          <w:b/>
          <w:bCs/>
          <w:sz w:val="32"/>
          <w:szCs w:val="32"/>
        </w:rPr>
        <w:t>Assadujjaman</w:t>
      </w:r>
      <w:proofErr w:type="spellEnd"/>
    </w:p>
    <w:p w14:paraId="028AA0A3" w14:textId="3BF0DDFC" w:rsidR="00842463" w:rsidRDefault="00842463" w:rsidP="00F87B8B">
      <w:pPr>
        <w:jc w:val="center"/>
        <w:rPr>
          <w:b/>
          <w:bCs/>
          <w:sz w:val="32"/>
          <w:szCs w:val="32"/>
        </w:rPr>
      </w:pPr>
      <w:r>
        <w:rPr>
          <w:b/>
          <w:bCs/>
          <w:sz w:val="32"/>
          <w:szCs w:val="32"/>
        </w:rPr>
        <w:t>Student ID: 2207975</w:t>
      </w:r>
    </w:p>
    <w:p w14:paraId="462754BB" w14:textId="3477200E" w:rsidR="00842463" w:rsidRDefault="00842463" w:rsidP="00F87B8B">
      <w:pPr>
        <w:jc w:val="center"/>
        <w:rPr>
          <w:b/>
          <w:bCs/>
          <w:sz w:val="32"/>
          <w:szCs w:val="32"/>
        </w:rPr>
      </w:pPr>
      <w:r>
        <w:rPr>
          <w:b/>
          <w:bCs/>
          <w:sz w:val="32"/>
          <w:szCs w:val="32"/>
        </w:rPr>
        <w:t>BA International Hotel Management</w:t>
      </w:r>
    </w:p>
    <w:p w14:paraId="292E7CBD" w14:textId="46CC6E63" w:rsidR="00842463" w:rsidRDefault="00842463" w:rsidP="00F87B8B">
      <w:pPr>
        <w:jc w:val="center"/>
        <w:rPr>
          <w:b/>
          <w:bCs/>
          <w:sz w:val="32"/>
          <w:szCs w:val="32"/>
        </w:rPr>
      </w:pPr>
      <w:r>
        <w:rPr>
          <w:b/>
          <w:bCs/>
          <w:sz w:val="32"/>
          <w:szCs w:val="32"/>
        </w:rPr>
        <w:t>Module: Financial Management for the Hotel Industry</w:t>
      </w:r>
    </w:p>
    <w:p w14:paraId="28062953" w14:textId="475D9880" w:rsidR="00842463" w:rsidRDefault="00842463" w:rsidP="00F87B8B">
      <w:pPr>
        <w:jc w:val="center"/>
        <w:rPr>
          <w:b/>
          <w:bCs/>
          <w:sz w:val="32"/>
          <w:szCs w:val="32"/>
        </w:rPr>
      </w:pPr>
      <w:r>
        <w:rPr>
          <w:b/>
          <w:bCs/>
          <w:sz w:val="32"/>
          <w:szCs w:val="32"/>
        </w:rPr>
        <w:t>Module</w:t>
      </w:r>
      <w:r w:rsidR="00FE60F1">
        <w:rPr>
          <w:b/>
          <w:bCs/>
          <w:sz w:val="32"/>
          <w:szCs w:val="32"/>
        </w:rPr>
        <w:t xml:space="preserve"> Code: BMIH5007</w:t>
      </w:r>
    </w:p>
    <w:p w14:paraId="436CDB13" w14:textId="4F23C691" w:rsidR="00FE60F1" w:rsidRDefault="00FE60F1" w:rsidP="00F87B8B">
      <w:pPr>
        <w:jc w:val="center"/>
        <w:rPr>
          <w:b/>
          <w:bCs/>
          <w:sz w:val="32"/>
          <w:szCs w:val="32"/>
        </w:rPr>
      </w:pPr>
      <w:r>
        <w:rPr>
          <w:b/>
          <w:bCs/>
          <w:sz w:val="32"/>
          <w:szCs w:val="32"/>
        </w:rPr>
        <w:t xml:space="preserve">Module Head: Tristan Hawkins </w:t>
      </w:r>
    </w:p>
    <w:p w14:paraId="3BC1FDBB" w14:textId="77777777" w:rsidR="00FE60F1" w:rsidRDefault="00FE60F1" w:rsidP="00F87B8B">
      <w:pPr>
        <w:jc w:val="center"/>
        <w:rPr>
          <w:b/>
          <w:bCs/>
          <w:sz w:val="32"/>
          <w:szCs w:val="32"/>
        </w:rPr>
      </w:pPr>
      <w:r>
        <w:rPr>
          <w:b/>
          <w:bCs/>
          <w:sz w:val="32"/>
          <w:szCs w:val="32"/>
        </w:rPr>
        <w:t>Assignment Title: Report Case Study: The Seacrest Lodge.</w:t>
      </w:r>
    </w:p>
    <w:p w14:paraId="62598C2E" w14:textId="79AEF490" w:rsidR="00FE60F1" w:rsidRPr="00F87B8B" w:rsidRDefault="00FE60F1" w:rsidP="00F87B8B">
      <w:pPr>
        <w:jc w:val="center"/>
        <w:rPr>
          <w:b/>
          <w:bCs/>
          <w:sz w:val="32"/>
          <w:szCs w:val="32"/>
        </w:rPr>
      </w:pPr>
      <w:r>
        <w:rPr>
          <w:b/>
          <w:bCs/>
          <w:sz w:val="32"/>
          <w:szCs w:val="32"/>
        </w:rPr>
        <w:t xml:space="preserve">Word Counts: 2162 </w:t>
      </w:r>
    </w:p>
    <w:p w14:paraId="075706DD" w14:textId="77777777" w:rsidR="00F87B8B" w:rsidRDefault="00F87B8B" w:rsidP="00F87B8B">
      <w:pPr>
        <w:jc w:val="center"/>
        <w:rPr>
          <w:b/>
          <w:bCs/>
        </w:rPr>
      </w:pPr>
    </w:p>
    <w:p w14:paraId="76AFCA0F" w14:textId="3A11F5E2" w:rsidR="00F87B8B" w:rsidRDefault="00F87B8B" w:rsidP="00FE60F1">
      <w:pPr>
        <w:jc w:val="center"/>
        <w:rPr>
          <w:b/>
          <w:bCs/>
        </w:rPr>
      </w:pPr>
    </w:p>
    <w:p w14:paraId="7AAB3A6A" w14:textId="06376E86" w:rsidR="00F87B8B" w:rsidRPr="00164838" w:rsidRDefault="00F87B8B" w:rsidP="00164838">
      <w:pPr>
        <w:tabs>
          <w:tab w:val="left" w:pos="3375"/>
          <w:tab w:val="center" w:pos="4513"/>
        </w:tabs>
        <w:jc w:val="left"/>
        <w:rPr>
          <w:b/>
          <w:bCs/>
          <w:sz w:val="32"/>
          <w:szCs w:val="32"/>
        </w:rPr>
      </w:pPr>
      <w:r>
        <w:rPr>
          <w:b/>
          <w:bCs/>
        </w:rPr>
        <w:br w:type="column"/>
      </w:r>
      <w:r w:rsidRPr="00164838">
        <w:rPr>
          <w:b/>
          <w:bCs/>
          <w:color w:val="002060"/>
          <w:sz w:val="32"/>
          <w:szCs w:val="32"/>
        </w:rPr>
        <w:lastRenderedPageBreak/>
        <w:t>Executive Summary</w:t>
      </w:r>
    </w:p>
    <w:p w14:paraId="338674C8" w14:textId="36AA103C" w:rsidR="00164838" w:rsidRDefault="00F81696" w:rsidP="00164838">
      <w:r w:rsidRPr="00F81696">
        <w:t>The Seacrest Lodge</w:t>
      </w:r>
      <w:r>
        <w:t xml:space="preserve"> </w:t>
      </w:r>
      <w:r w:rsidRPr="00F81696">
        <w:t xml:space="preserve">has experienced a concerning </w:t>
      </w:r>
      <w:r w:rsidR="00D90DD2">
        <w:t xml:space="preserve">occupancy, revenue, and profitability downturn </w:t>
      </w:r>
      <w:r w:rsidRPr="00F81696">
        <w:t xml:space="preserve">over the past few years due to dated facilities and apparent mismanagement. This report analyses the resort's financial statements and operating metrics from 2021-2023 to identify the key factors causing the precipitous decline in performance. The analysis shows eroding RevPAR, profit margins, liquidity, and solvency driven by revenue decreases, cost issues, and leverage concerns. To </w:t>
      </w:r>
      <w:r w:rsidR="00D90DD2">
        <w:t>revitalise</w:t>
      </w:r>
      <w:r w:rsidRPr="00F81696">
        <w:t xml:space="preserve"> the struggling lodge, the report evaluates the feasibility and components of a turnaround strategy focused on financial restructuring, operational enhancements, asset upgrades, and strategic repositioning. However, the window for successful intervention is closing rapidly. Unless decisive action is taken very soon to inject fresh capital, </w:t>
      </w:r>
      <w:r w:rsidR="00D90DD2">
        <w:t>optimise</w:t>
      </w:r>
      <w:r w:rsidRPr="00F81696">
        <w:t xml:space="preserve"> operations, and renovate the property, the continued cash burn and revenue deterioration will likely make turnaround impossible. This report provides a candid assessment of the </w:t>
      </w:r>
      <w:proofErr w:type="gramStart"/>
      <w:r w:rsidRPr="00F81696">
        <w:t>current status</w:t>
      </w:r>
      <w:proofErr w:type="gramEnd"/>
      <w:r w:rsidRPr="00F81696">
        <w:t xml:space="preserve"> and options to either restore the fictional Seacrest Lodge to viability or guide the optimal financial outcome if failure is inevitable</w:t>
      </w:r>
      <w:r w:rsidR="00164838" w:rsidRPr="00164838">
        <w:t>.</w:t>
      </w:r>
    </w:p>
    <w:p w14:paraId="6F70268D" w14:textId="77777777" w:rsidR="000A399A" w:rsidRDefault="00F87B8B" w:rsidP="00F87B8B">
      <w:pPr>
        <w:jc w:val="center"/>
        <w:rPr>
          <w:b/>
          <w:bCs/>
        </w:rPr>
      </w:pPr>
      <w:r>
        <w:rPr>
          <w:b/>
          <w:bCs/>
        </w:rPr>
        <w:br w:type="column"/>
      </w:r>
    </w:p>
    <w:sdt>
      <w:sdtPr>
        <w:rPr>
          <w:rFonts w:ascii="Times New Roman" w:eastAsiaTheme="minorHAnsi" w:hAnsi="Times New Roman" w:cstheme="minorBidi"/>
          <w:color w:val="auto"/>
          <w:kern w:val="2"/>
          <w:sz w:val="24"/>
          <w:szCs w:val="22"/>
          <w:lang w:val="en-GB"/>
          <w14:ligatures w14:val="standardContextual"/>
        </w:rPr>
        <w:id w:val="178244330"/>
        <w:docPartObj>
          <w:docPartGallery w:val="Table of Contents"/>
          <w:docPartUnique/>
        </w:docPartObj>
      </w:sdtPr>
      <w:sdtEndPr>
        <w:rPr>
          <w:b/>
          <w:bCs/>
          <w:noProof/>
        </w:rPr>
      </w:sdtEndPr>
      <w:sdtContent>
        <w:p w14:paraId="3C83D7F9" w14:textId="68673016" w:rsidR="000A399A" w:rsidRPr="000A399A" w:rsidRDefault="000A399A">
          <w:pPr>
            <w:pStyle w:val="TOCHeading"/>
            <w:rPr>
              <w:rFonts w:ascii="Times New Roman" w:hAnsi="Times New Roman" w:cs="Times New Roman"/>
            </w:rPr>
          </w:pPr>
          <w:r w:rsidRPr="000A399A">
            <w:rPr>
              <w:rFonts w:ascii="Times New Roman" w:hAnsi="Times New Roman" w:cs="Times New Roman"/>
            </w:rPr>
            <w:t>Table of Contents</w:t>
          </w:r>
        </w:p>
        <w:p w14:paraId="2E8C8B88" w14:textId="396B1E45" w:rsidR="005D2CA9" w:rsidRDefault="000A399A">
          <w:pPr>
            <w:pStyle w:val="TOC1"/>
            <w:tabs>
              <w:tab w:val="right" w:leader="dot" w:pos="9016"/>
            </w:tabs>
            <w:rPr>
              <w:rFonts w:asciiTheme="minorHAnsi" w:eastAsiaTheme="minorEastAsia" w:hAnsiTheme="minorHAnsi"/>
              <w:noProof/>
              <w:szCs w:val="24"/>
              <w:lang w:val="en-AU" w:eastAsia="en-AU"/>
            </w:rPr>
          </w:pPr>
          <w:r>
            <w:fldChar w:fldCharType="begin"/>
          </w:r>
          <w:r>
            <w:instrText xml:space="preserve"> TOC \o "1-3" \h \z \u </w:instrText>
          </w:r>
          <w:r>
            <w:fldChar w:fldCharType="separate"/>
          </w:r>
          <w:hyperlink w:anchor="_Toc159460812" w:history="1">
            <w:r w:rsidR="005D2CA9" w:rsidRPr="00BB5F09">
              <w:rPr>
                <w:rStyle w:val="Hyperlink"/>
                <w:noProof/>
              </w:rPr>
              <w:t>Introduction</w:t>
            </w:r>
            <w:r w:rsidR="005D2CA9">
              <w:rPr>
                <w:noProof/>
                <w:webHidden/>
              </w:rPr>
              <w:tab/>
            </w:r>
            <w:r w:rsidR="005D2CA9">
              <w:rPr>
                <w:noProof/>
                <w:webHidden/>
              </w:rPr>
              <w:fldChar w:fldCharType="begin"/>
            </w:r>
            <w:r w:rsidR="005D2CA9">
              <w:rPr>
                <w:noProof/>
                <w:webHidden/>
              </w:rPr>
              <w:instrText xml:space="preserve"> PAGEREF _Toc159460812 \h </w:instrText>
            </w:r>
            <w:r w:rsidR="005D2CA9">
              <w:rPr>
                <w:noProof/>
                <w:webHidden/>
              </w:rPr>
            </w:r>
            <w:r w:rsidR="005D2CA9">
              <w:rPr>
                <w:noProof/>
                <w:webHidden/>
              </w:rPr>
              <w:fldChar w:fldCharType="separate"/>
            </w:r>
            <w:r w:rsidR="005D2CA9">
              <w:rPr>
                <w:noProof/>
                <w:webHidden/>
              </w:rPr>
              <w:t>1</w:t>
            </w:r>
            <w:r w:rsidR="005D2CA9">
              <w:rPr>
                <w:noProof/>
                <w:webHidden/>
              </w:rPr>
              <w:fldChar w:fldCharType="end"/>
            </w:r>
          </w:hyperlink>
        </w:p>
        <w:p w14:paraId="60D1B706" w14:textId="51666275" w:rsidR="005D2CA9" w:rsidRDefault="00000000">
          <w:pPr>
            <w:pStyle w:val="TOC1"/>
            <w:tabs>
              <w:tab w:val="right" w:leader="dot" w:pos="9016"/>
            </w:tabs>
            <w:rPr>
              <w:rFonts w:asciiTheme="minorHAnsi" w:eastAsiaTheme="minorEastAsia" w:hAnsiTheme="minorHAnsi"/>
              <w:noProof/>
              <w:szCs w:val="24"/>
              <w:lang w:val="en-AU" w:eastAsia="en-AU"/>
            </w:rPr>
          </w:pPr>
          <w:hyperlink w:anchor="_Toc159460813" w:history="1">
            <w:r w:rsidR="005D2CA9" w:rsidRPr="00BB5F09">
              <w:rPr>
                <w:rStyle w:val="Hyperlink"/>
                <w:noProof/>
              </w:rPr>
              <w:t>Theoretical Framework</w:t>
            </w:r>
            <w:r w:rsidR="005D2CA9">
              <w:rPr>
                <w:noProof/>
                <w:webHidden/>
              </w:rPr>
              <w:tab/>
            </w:r>
            <w:r w:rsidR="005D2CA9">
              <w:rPr>
                <w:noProof/>
                <w:webHidden/>
              </w:rPr>
              <w:fldChar w:fldCharType="begin"/>
            </w:r>
            <w:r w:rsidR="005D2CA9">
              <w:rPr>
                <w:noProof/>
                <w:webHidden/>
              </w:rPr>
              <w:instrText xml:space="preserve"> PAGEREF _Toc159460813 \h </w:instrText>
            </w:r>
            <w:r w:rsidR="005D2CA9">
              <w:rPr>
                <w:noProof/>
                <w:webHidden/>
              </w:rPr>
            </w:r>
            <w:r w:rsidR="005D2CA9">
              <w:rPr>
                <w:noProof/>
                <w:webHidden/>
              </w:rPr>
              <w:fldChar w:fldCharType="separate"/>
            </w:r>
            <w:r w:rsidR="005D2CA9">
              <w:rPr>
                <w:noProof/>
                <w:webHidden/>
              </w:rPr>
              <w:t>1</w:t>
            </w:r>
            <w:r w:rsidR="005D2CA9">
              <w:rPr>
                <w:noProof/>
                <w:webHidden/>
              </w:rPr>
              <w:fldChar w:fldCharType="end"/>
            </w:r>
          </w:hyperlink>
        </w:p>
        <w:p w14:paraId="68673A1E" w14:textId="5F349806" w:rsidR="005D2CA9" w:rsidRDefault="00000000">
          <w:pPr>
            <w:pStyle w:val="TOC1"/>
            <w:tabs>
              <w:tab w:val="right" w:leader="dot" w:pos="9016"/>
            </w:tabs>
            <w:rPr>
              <w:rFonts w:asciiTheme="minorHAnsi" w:eastAsiaTheme="minorEastAsia" w:hAnsiTheme="minorHAnsi"/>
              <w:noProof/>
              <w:szCs w:val="24"/>
              <w:lang w:val="en-AU" w:eastAsia="en-AU"/>
            </w:rPr>
          </w:pPr>
          <w:hyperlink w:anchor="_Toc159460814" w:history="1">
            <w:r w:rsidR="005D2CA9" w:rsidRPr="00BB5F09">
              <w:rPr>
                <w:rStyle w:val="Hyperlink"/>
                <w:noProof/>
              </w:rPr>
              <w:t>Market Analysis</w:t>
            </w:r>
            <w:r w:rsidR="005D2CA9">
              <w:rPr>
                <w:noProof/>
                <w:webHidden/>
              </w:rPr>
              <w:tab/>
            </w:r>
            <w:r w:rsidR="005D2CA9">
              <w:rPr>
                <w:noProof/>
                <w:webHidden/>
              </w:rPr>
              <w:fldChar w:fldCharType="begin"/>
            </w:r>
            <w:r w:rsidR="005D2CA9">
              <w:rPr>
                <w:noProof/>
                <w:webHidden/>
              </w:rPr>
              <w:instrText xml:space="preserve"> PAGEREF _Toc159460814 \h </w:instrText>
            </w:r>
            <w:r w:rsidR="005D2CA9">
              <w:rPr>
                <w:noProof/>
                <w:webHidden/>
              </w:rPr>
            </w:r>
            <w:r w:rsidR="005D2CA9">
              <w:rPr>
                <w:noProof/>
                <w:webHidden/>
              </w:rPr>
              <w:fldChar w:fldCharType="separate"/>
            </w:r>
            <w:r w:rsidR="005D2CA9">
              <w:rPr>
                <w:noProof/>
                <w:webHidden/>
              </w:rPr>
              <w:t>2</w:t>
            </w:r>
            <w:r w:rsidR="005D2CA9">
              <w:rPr>
                <w:noProof/>
                <w:webHidden/>
              </w:rPr>
              <w:fldChar w:fldCharType="end"/>
            </w:r>
          </w:hyperlink>
        </w:p>
        <w:p w14:paraId="5B2D820A" w14:textId="00652729" w:rsidR="005D2CA9" w:rsidRDefault="00000000">
          <w:pPr>
            <w:pStyle w:val="TOC1"/>
            <w:tabs>
              <w:tab w:val="right" w:leader="dot" w:pos="9016"/>
            </w:tabs>
            <w:rPr>
              <w:rFonts w:asciiTheme="minorHAnsi" w:eastAsiaTheme="minorEastAsia" w:hAnsiTheme="minorHAnsi"/>
              <w:noProof/>
              <w:szCs w:val="24"/>
              <w:lang w:val="en-AU" w:eastAsia="en-AU"/>
            </w:rPr>
          </w:pPr>
          <w:hyperlink w:anchor="_Toc159460815" w:history="1">
            <w:r w:rsidR="005D2CA9" w:rsidRPr="00BB5F09">
              <w:rPr>
                <w:rStyle w:val="Hyperlink"/>
                <w:noProof/>
                <w:lang w:val="en-AU"/>
              </w:rPr>
              <w:t>Financial Analysis</w:t>
            </w:r>
            <w:r w:rsidR="005D2CA9">
              <w:rPr>
                <w:noProof/>
                <w:webHidden/>
              </w:rPr>
              <w:tab/>
            </w:r>
            <w:r w:rsidR="005D2CA9">
              <w:rPr>
                <w:noProof/>
                <w:webHidden/>
              </w:rPr>
              <w:fldChar w:fldCharType="begin"/>
            </w:r>
            <w:r w:rsidR="005D2CA9">
              <w:rPr>
                <w:noProof/>
                <w:webHidden/>
              </w:rPr>
              <w:instrText xml:space="preserve"> PAGEREF _Toc159460815 \h </w:instrText>
            </w:r>
            <w:r w:rsidR="005D2CA9">
              <w:rPr>
                <w:noProof/>
                <w:webHidden/>
              </w:rPr>
            </w:r>
            <w:r w:rsidR="005D2CA9">
              <w:rPr>
                <w:noProof/>
                <w:webHidden/>
              </w:rPr>
              <w:fldChar w:fldCharType="separate"/>
            </w:r>
            <w:r w:rsidR="005D2CA9">
              <w:rPr>
                <w:noProof/>
                <w:webHidden/>
              </w:rPr>
              <w:t>2</w:t>
            </w:r>
            <w:r w:rsidR="005D2CA9">
              <w:rPr>
                <w:noProof/>
                <w:webHidden/>
              </w:rPr>
              <w:fldChar w:fldCharType="end"/>
            </w:r>
          </w:hyperlink>
        </w:p>
        <w:p w14:paraId="7BE29E1C" w14:textId="6716EAD8" w:rsidR="005D2CA9" w:rsidRDefault="00000000">
          <w:pPr>
            <w:pStyle w:val="TOC1"/>
            <w:tabs>
              <w:tab w:val="right" w:leader="dot" w:pos="9016"/>
            </w:tabs>
            <w:rPr>
              <w:rFonts w:asciiTheme="minorHAnsi" w:eastAsiaTheme="minorEastAsia" w:hAnsiTheme="minorHAnsi"/>
              <w:noProof/>
              <w:szCs w:val="24"/>
              <w:lang w:val="en-AU" w:eastAsia="en-AU"/>
            </w:rPr>
          </w:pPr>
          <w:hyperlink w:anchor="_Toc159460816" w:history="1">
            <w:r w:rsidR="005D2CA9" w:rsidRPr="00BB5F09">
              <w:rPr>
                <w:rStyle w:val="Hyperlink"/>
                <w:noProof/>
                <w:lang w:val="en-AU"/>
              </w:rPr>
              <w:t>Risk Assessment</w:t>
            </w:r>
            <w:r w:rsidR="005D2CA9">
              <w:rPr>
                <w:noProof/>
                <w:webHidden/>
              </w:rPr>
              <w:tab/>
            </w:r>
            <w:r w:rsidR="005D2CA9">
              <w:rPr>
                <w:noProof/>
                <w:webHidden/>
              </w:rPr>
              <w:fldChar w:fldCharType="begin"/>
            </w:r>
            <w:r w:rsidR="005D2CA9">
              <w:rPr>
                <w:noProof/>
                <w:webHidden/>
              </w:rPr>
              <w:instrText xml:space="preserve"> PAGEREF _Toc159460816 \h </w:instrText>
            </w:r>
            <w:r w:rsidR="005D2CA9">
              <w:rPr>
                <w:noProof/>
                <w:webHidden/>
              </w:rPr>
            </w:r>
            <w:r w:rsidR="005D2CA9">
              <w:rPr>
                <w:noProof/>
                <w:webHidden/>
              </w:rPr>
              <w:fldChar w:fldCharType="separate"/>
            </w:r>
            <w:r w:rsidR="005D2CA9">
              <w:rPr>
                <w:noProof/>
                <w:webHidden/>
              </w:rPr>
              <w:t>5</w:t>
            </w:r>
            <w:r w:rsidR="005D2CA9">
              <w:rPr>
                <w:noProof/>
                <w:webHidden/>
              </w:rPr>
              <w:fldChar w:fldCharType="end"/>
            </w:r>
          </w:hyperlink>
        </w:p>
        <w:p w14:paraId="3FD88844" w14:textId="508244F2" w:rsidR="005D2CA9" w:rsidRDefault="00000000">
          <w:pPr>
            <w:pStyle w:val="TOC1"/>
            <w:tabs>
              <w:tab w:val="right" w:leader="dot" w:pos="9016"/>
            </w:tabs>
            <w:rPr>
              <w:rFonts w:asciiTheme="minorHAnsi" w:eastAsiaTheme="minorEastAsia" w:hAnsiTheme="minorHAnsi"/>
              <w:noProof/>
              <w:szCs w:val="24"/>
              <w:lang w:val="en-AU" w:eastAsia="en-AU"/>
            </w:rPr>
          </w:pPr>
          <w:hyperlink w:anchor="_Toc159460817" w:history="1">
            <w:r w:rsidR="005D2CA9" w:rsidRPr="00BB5F09">
              <w:rPr>
                <w:rStyle w:val="Hyperlink"/>
                <w:noProof/>
                <w:lang w:val="en-AU"/>
              </w:rPr>
              <w:t>Reasons behind the Decline in Profitability</w:t>
            </w:r>
            <w:r w:rsidR="005D2CA9">
              <w:rPr>
                <w:noProof/>
                <w:webHidden/>
              </w:rPr>
              <w:tab/>
            </w:r>
            <w:r w:rsidR="005D2CA9">
              <w:rPr>
                <w:noProof/>
                <w:webHidden/>
              </w:rPr>
              <w:fldChar w:fldCharType="begin"/>
            </w:r>
            <w:r w:rsidR="005D2CA9">
              <w:rPr>
                <w:noProof/>
                <w:webHidden/>
              </w:rPr>
              <w:instrText xml:space="preserve"> PAGEREF _Toc159460817 \h </w:instrText>
            </w:r>
            <w:r w:rsidR="005D2CA9">
              <w:rPr>
                <w:noProof/>
                <w:webHidden/>
              </w:rPr>
            </w:r>
            <w:r w:rsidR="005D2CA9">
              <w:rPr>
                <w:noProof/>
                <w:webHidden/>
              </w:rPr>
              <w:fldChar w:fldCharType="separate"/>
            </w:r>
            <w:r w:rsidR="005D2CA9">
              <w:rPr>
                <w:noProof/>
                <w:webHidden/>
              </w:rPr>
              <w:t>5</w:t>
            </w:r>
            <w:r w:rsidR="005D2CA9">
              <w:rPr>
                <w:noProof/>
                <w:webHidden/>
              </w:rPr>
              <w:fldChar w:fldCharType="end"/>
            </w:r>
          </w:hyperlink>
        </w:p>
        <w:p w14:paraId="70F06859" w14:textId="7EAB05F7" w:rsidR="005D2CA9" w:rsidRDefault="00000000">
          <w:pPr>
            <w:pStyle w:val="TOC1"/>
            <w:tabs>
              <w:tab w:val="right" w:leader="dot" w:pos="9016"/>
            </w:tabs>
            <w:rPr>
              <w:rFonts w:asciiTheme="minorHAnsi" w:eastAsiaTheme="minorEastAsia" w:hAnsiTheme="minorHAnsi"/>
              <w:noProof/>
              <w:szCs w:val="24"/>
              <w:lang w:val="en-AU" w:eastAsia="en-AU"/>
            </w:rPr>
          </w:pPr>
          <w:hyperlink w:anchor="_Toc159460818" w:history="1">
            <w:r w:rsidR="005D2CA9" w:rsidRPr="00BB5F09">
              <w:rPr>
                <w:rStyle w:val="Hyperlink"/>
                <w:noProof/>
              </w:rPr>
              <w:t>Turnaround Strategy</w:t>
            </w:r>
            <w:r w:rsidR="005D2CA9">
              <w:rPr>
                <w:noProof/>
                <w:webHidden/>
              </w:rPr>
              <w:tab/>
            </w:r>
            <w:r w:rsidR="005D2CA9">
              <w:rPr>
                <w:noProof/>
                <w:webHidden/>
              </w:rPr>
              <w:fldChar w:fldCharType="begin"/>
            </w:r>
            <w:r w:rsidR="005D2CA9">
              <w:rPr>
                <w:noProof/>
                <w:webHidden/>
              </w:rPr>
              <w:instrText xml:space="preserve"> PAGEREF _Toc159460818 \h </w:instrText>
            </w:r>
            <w:r w:rsidR="005D2CA9">
              <w:rPr>
                <w:noProof/>
                <w:webHidden/>
              </w:rPr>
            </w:r>
            <w:r w:rsidR="005D2CA9">
              <w:rPr>
                <w:noProof/>
                <w:webHidden/>
              </w:rPr>
              <w:fldChar w:fldCharType="separate"/>
            </w:r>
            <w:r w:rsidR="005D2CA9">
              <w:rPr>
                <w:noProof/>
                <w:webHidden/>
              </w:rPr>
              <w:t>6</w:t>
            </w:r>
            <w:r w:rsidR="005D2CA9">
              <w:rPr>
                <w:noProof/>
                <w:webHidden/>
              </w:rPr>
              <w:fldChar w:fldCharType="end"/>
            </w:r>
          </w:hyperlink>
        </w:p>
        <w:p w14:paraId="51E021C1" w14:textId="73AC1414" w:rsidR="005D2CA9" w:rsidRDefault="00000000">
          <w:pPr>
            <w:pStyle w:val="TOC1"/>
            <w:tabs>
              <w:tab w:val="right" w:leader="dot" w:pos="9016"/>
            </w:tabs>
            <w:rPr>
              <w:rFonts w:asciiTheme="minorHAnsi" w:eastAsiaTheme="minorEastAsia" w:hAnsiTheme="minorHAnsi"/>
              <w:noProof/>
              <w:szCs w:val="24"/>
              <w:lang w:val="en-AU" w:eastAsia="en-AU"/>
            </w:rPr>
          </w:pPr>
          <w:hyperlink w:anchor="_Toc159460819" w:history="1">
            <w:r w:rsidR="005D2CA9" w:rsidRPr="00BB5F09">
              <w:rPr>
                <w:rStyle w:val="Hyperlink"/>
                <w:noProof/>
                <w:lang w:val="en-AU"/>
              </w:rPr>
              <w:t>Conclusion</w:t>
            </w:r>
            <w:r w:rsidR="005D2CA9">
              <w:rPr>
                <w:noProof/>
                <w:webHidden/>
              </w:rPr>
              <w:tab/>
            </w:r>
            <w:r w:rsidR="005D2CA9">
              <w:rPr>
                <w:noProof/>
                <w:webHidden/>
              </w:rPr>
              <w:fldChar w:fldCharType="begin"/>
            </w:r>
            <w:r w:rsidR="005D2CA9">
              <w:rPr>
                <w:noProof/>
                <w:webHidden/>
              </w:rPr>
              <w:instrText xml:space="preserve"> PAGEREF _Toc159460819 \h </w:instrText>
            </w:r>
            <w:r w:rsidR="005D2CA9">
              <w:rPr>
                <w:noProof/>
                <w:webHidden/>
              </w:rPr>
            </w:r>
            <w:r w:rsidR="005D2CA9">
              <w:rPr>
                <w:noProof/>
                <w:webHidden/>
              </w:rPr>
              <w:fldChar w:fldCharType="separate"/>
            </w:r>
            <w:r w:rsidR="005D2CA9">
              <w:rPr>
                <w:noProof/>
                <w:webHidden/>
              </w:rPr>
              <w:t>7</w:t>
            </w:r>
            <w:r w:rsidR="005D2CA9">
              <w:rPr>
                <w:noProof/>
                <w:webHidden/>
              </w:rPr>
              <w:fldChar w:fldCharType="end"/>
            </w:r>
          </w:hyperlink>
        </w:p>
        <w:p w14:paraId="1E7BDA08" w14:textId="037E1CED" w:rsidR="005D2CA9" w:rsidRDefault="00000000">
          <w:pPr>
            <w:pStyle w:val="TOC1"/>
            <w:tabs>
              <w:tab w:val="right" w:leader="dot" w:pos="9016"/>
            </w:tabs>
            <w:rPr>
              <w:rFonts w:asciiTheme="minorHAnsi" w:eastAsiaTheme="minorEastAsia" w:hAnsiTheme="minorHAnsi"/>
              <w:noProof/>
              <w:szCs w:val="24"/>
              <w:lang w:val="en-AU" w:eastAsia="en-AU"/>
            </w:rPr>
          </w:pPr>
          <w:hyperlink w:anchor="_Toc159460820" w:history="1">
            <w:r w:rsidR="005D2CA9" w:rsidRPr="00BB5F09">
              <w:rPr>
                <w:rStyle w:val="Hyperlink"/>
                <w:noProof/>
              </w:rPr>
              <w:t>References</w:t>
            </w:r>
            <w:r w:rsidR="005D2CA9">
              <w:rPr>
                <w:noProof/>
                <w:webHidden/>
              </w:rPr>
              <w:tab/>
            </w:r>
            <w:r w:rsidR="005D2CA9">
              <w:rPr>
                <w:noProof/>
                <w:webHidden/>
              </w:rPr>
              <w:fldChar w:fldCharType="begin"/>
            </w:r>
            <w:r w:rsidR="005D2CA9">
              <w:rPr>
                <w:noProof/>
                <w:webHidden/>
              </w:rPr>
              <w:instrText xml:space="preserve"> PAGEREF _Toc159460820 \h </w:instrText>
            </w:r>
            <w:r w:rsidR="005D2CA9">
              <w:rPr>
                <w:noProof/>
                <w:webHidden/>
              </w:rPr>
            </w:r>
            <w:r w:rsidR="005D2CA9">
              <w:rPr>
                <w:noProof/>
                <w:webHidden/>
              </w:rPr>
              <w:fldChar w:fldCharType="separate"/>
            </w:r>
            <w:r w:rsidR="005D2CA9">
              <w:rPr>
                <w:noProof/>
                <w:webHidden/>
              </w:rPr>
              <w:t>9</w:t>
            </w:r>
            <w:r w:rsidR="005D2CA9">
              <w:rPr>
                <w:noProof/>
                <w:webHidden/>
              </w:rPr>
              <w:fldChar w:fldCharType="end"/>
            </w:r>
          </w:hyperlink>
        </w:p>
        <w:p w14:paraId="290142E6" w14:textId="1068347C" w:rsidR="000A399A" w:rsidRDefault="000A399A">
          <w:r>
            <w:rPr>
              <w:b/>
              <w:bCs/>
              <w:noProof/>
            </w:rPr>
            <w:fldChar w:fldCharType="end"/>
          </w:r>
        </w:p>
      </w:sdtContent>
    </w:sdt>
    <w:p w14:paraId="1180F38F" w14:textId="38AD67B4" w:rsidR="00F87B8B" w:rsidRDefault="00F87B8B" w:rsidP="00F87B8B">
      <w:pPr>
        <w:jc w:val="center"/>
        <w:rPr>
          <w:b/>
          <w:bCs/>
        </w:rPr>
      </w:pPr>
    </w:p>
    <w:p w14:paraId="013533DD" w14:textId="60D87421" w:rsidR="000A399A" w:rsidRDefault="000A399A" w:rsidP="00F87B8B">
      <w:pPr>
        <w:pStyle w:val="Heading1"/>
        <w:sectPr w:rsidR="000A399A" w:rsidSect="00D31F19">
          <w:footerReference w:type="default" r:id="rId8"/>
          <w:pgSz w:w="11906" w:h="16838"/>
          <w:pgMar w:top="1440" w:right="1440" w:bottom="1440" w:left="1440" w:header="708" w:footer="708" w:gutter="0"/>
          <w:cols w:space="708"/>
          <w:docGrid w:linePitch="360"/>
        </w:sectPr>
      </w:pPr>
    </w:p>
    <w:p w14:paraId="0926C0AE" w14:textId="3664C9B9" w:rsidR="00F87B8B" w:rsidRDefault="00F87B8B" w:rsidP="00F87B8B">
      <w:pPr>
        <w:pStyle w:val="Heading1"/>
      </w:pPr>
      <w:bookmarkStart w:id="0" w:name="_Toc159460812"/>
      <w:r>
        <w:lastRenderedPageBreak/>
        <w:t>Introduction</w:t>
      </w:r>
      <w:bookmarkEnd w:id="0"/>
    </w:p>
    <w:p w14:paraId="0F0E851C" w14:textId="62302127" w:rsidR="00F87B8B" w:rsidRDefault="00D04E48" w:rsidP="00F87B8B">
      <w:r w:rsidRPr="00D04E48">
        <w:t xml:space="preserve">The Seacrest Lodge is a coastal resort located on a picturesque coastline, providing accommodation, a restaurant, </w:t>
      </w:r>
      <w:r>
        <w:t xml:space="preserve">a </w:t>
      </w:r>
      <w:r w:rsidRPr="00D04E48">
        <w:t xml:space="preserve">bar and event facilities. However, it has experienced issues in recent years, due to declining financial results and damage to its reputation as a luxury retreat. The business reported a net loss for 2023, amid competition from other modern vacation destinations. The resort is no longer regarded as a top choice according to many of its reviewers. </w:t>
      </w:r>
      <w:r w:rsidR="00131017" w:rsidRPr="00131017">
        <w:t xml:space="preserve">This report aims to analyse Seacrest Lodge's financial status over the last three years to identify the causes of its decreasing profitability. </w:t>
      </w:r>
      <w:r w:rsidR="004E09A6" w:rsidRPr="004E09A6">
        <w:t>The evaluation will verify the feasibility of making and executing a turnaround strategy to rejuvenate the lodge's monetary well-being and reinstate its reputation as a top vacation spot. The main awareness can be assessing the feasibility of a successful turnaround based totally on the inn's contemporary scenario and marketplace situations (Seal, 2019)</w:t>
      </w:r>
      <w:r w:rsidRPr="00D04E48">
        <w:t>.</w:t>
      </w:r>
    </w:p>
    <w:p w14:paraId="5B0F1A9E" w14:textId="795D4FC3" w:rsidR="007B2AEA" w:rsidRDefault="007B2AEA" w:rsidP="007B2AEA">
      <w:pPr>
        <w:pStyle w:val="Heading1"/>
      </w:pPr>
      <w:bookmarkStart w:id="1" w:name="_Toc159460813"/>
      <w:r>
        <w:t>Theoretical Framework</w:t>
      </w:r>
      <w:bookmarkEnd w:id="1"/>
    </w:p>
    <w:p w14:paraId="5BBFACD8" w14:textId="5A514A20" w:rsidR="004E09A6" w:rsidRDefault="004E09A6" w:rsidP="004E09A6">
      <w:r>
        <w:t xml:space="preserve">This report will utilise many pertinent theories and frameworks to verify Seacrest Lodge’s function and formulate a comprehensive turnaround approach very well. </w:t>
      </w:r>
    </w:p>
    <w:p w14:paraId="1A2201A0" w14:textId="53FA4272" w:rsidR="007B2AEA" w:rsidRPr="007B2AEA" w:rsidRDefault="004E09A6" w:rsidP="004E09A6">
      <w:pPr>
        <w:rPr>
          <w:lang w:val="en-AU"/>
        </w:rPr>
      </w:pPr>
      <w:r>
        <w:t>The resort's market function could be evaluated with the use of Porter's Five Forces model to analyse the aggressive dynamics and enterprise shape (Law et al., 2015). This evaluation will evaluate the bargaining power of customers and suppliers, threats of recent entrants and substitutes, as well as the intensity of rivalry amongst present competitors</w:t>
      </w:r>
      <w:r w:rsidR="007B2AEA" w:rsidRPr="007B2AEA">
        <w:rPr>
          <w:lang w:val="en-AU"/>
        </w:rPr>
        <w:t>.</w:t>
      </w:r>
    </w:p>
    <w:p w14:paraId="25A5171E" w14:textId="046ECA25" w:rsidR="007B2AEA" w:rsidRPr="007B2AEA" w:rsidRDefault="007B2AEA" w:rsidP="007B2AEA">
      <w:pPr>
        <w:rPr>
          <w:lang w:val="en-AU"/>
        </w:rPr>
      </w:pPr>
      <w:r w:rsidRPr="007B2AEA">
        <w:rPr>
          <w:lang w:val="en-AU"/>
        </w:rPr>
        <w:t>The DuPont analysis framework will decompose Seacrest's profitability metrics like Return on Equity (ROE) into its constituent drivers – profit margins, asset efficiency, and financial leverage</w:t>
      </w:r>
      <w:r w:rsidR="001E66EB">
        <w:rPr>
          <w:lang w:val="en-AU"/>
        </w:rPr>
        <w:t xml:space="preserve"> (Turner et al., 2015)</w:t>
      </w:r>
      <w:r w:rsidRPr="007B2AEA">
        <w:rPr>
          <w:lang w:val="en-AU"/>
        </w:rPr>
        <w:t>. This approach will pinpoint areas of strength or weakness contributing to overall returns.</w:t>
      </w:r>
    </w:p>
    <w:p w14:paraId="49749205" w14:textId="235617C0" w:rsidR="007B2AEA" w:rsidRPr="007B2AEA" w:rsidRDefault="007B2AEA" w:rsidP="007B2AEA">
      <w:pPr>
        <w:rPr>
          <w:lang w:val="en-AU"/>
        </w:rPr>
      </w:pPr>
      <w:r w:rsidRPr="007B2AEA">
        <w:rPr>
          <w:lang w:val="en-AU"/>
        </w:rPr>
        <w:t>Additionally, the Balanced Scorecard concept will provide a multi-dimensional perspective for evaluating performance beyond just financial indicators</w:t>
      </w:r>
      <w:r w:rsidR="001E66EB">
        <w:rPr>
          <w:lang w:val="en-AU"/>
        </w:rPr>
        <w:t xml:space="preserve"> (Walker, 2021)</w:t>
      </w:r>
      <w:r w:rsidRPr="007B2AEA">
        <w:rPr>
          <w:lang w:val="en-AU"/>
        </w:rPr>
        <w:t>. This will involve analysing Seacrest's operations from the customer satisfaction, internal process efficiency, organizational learning/growth, and environmental impact standpoints.</w:t>
      </w:r>
    </w:p>
    <w:p w14:paraId="1812A588" w14:textId="77777777" w:rsidR="007B2AEA" w:rsidRPr="007B2AEA" w:rsidRDefault="007B2AEA" w:rsidP="007B2AEA">
      <w:pPr>
        <w:rPr>
          <w:lang w:val="en-AU"/>
        </w:rPr>
      </w:pPr>
      <w:r w:rsidRPr="007B2AEA">
        <w:rPr>
          <w:lang w:val="en-AU"/>
        </w:rPr>
        <w:t>Established risk management protocols will guide the structured identification, assessment, and mitigation planning for key strategic, operational, financial, and compliance risks facing the resort based on the situation analysis findings.</w:t>
      </w:r>
    </w:p>
    <w:p w14:paraId="5092DA1A" w14:textId="120F2AE5" w:rsidR="00D04E48" w:rsidRDefault="00D04E48" w:rsidP="00D04E48">
      <w:pPr>
        <w:pStyle w:val="Heading1"/>
      </w:pPr>
      <w:bookmarkStart w:id="2" w:name="_Toc159460814"/>
      <w:r>
        <w:lastRenderedPageBreak/>
        <w:t>Market Analysis</w:t>
      </w:r>
      <w:bookmarkEnd w:id="2"/>
    </w:p>
    <w:p w14:paraId="26DB5B6E" w14:textId="5E9A9E6E" w:rsidR="00D04E48" w:rsidRPr="00D04E48" w:rsidRDefault="00D04E48" w:rsidP="00D04E48">
      <w:pPr>
        <w:rPr>
          <w:lang w:val="en-AU"/>
        </w:rPr>
      </w:pPr>
      <w:r w:rsidRPr="00D04E48">
        <w:rPr>
          <w:lang w:val="en-AU"/>
        </w:rPr>
        <w:t xml:space="preserve">The hospitality industry has faced various disruptions and evolutions in recent years that have impacted establishments like the Seacrest Lodge. According to Drury (2021), leisure travel trends have shifted with the advent of more budget holiday options and flexible working arrangements. Customers now seek affordable luxuries and unique experiences, leading many resorts to modernize their offerings. The Seacrest Lodge has lagged in these developments. </w:t>
      </w:r>
      <w:r w:rsidR="00D81476">
        <w:rPr>
          <w:lang w:val="en-AU"/>
        </w:rPr>
        <w:t>Pathirana</w:t>
      </w:r>
      <w:r w:rsidRPr="00D04E48">
        <w:rPr>
          <w:lang w:val="en-AU"/>
        </w:rPr>
        <w:t xml:space="preserve"> (202</w:t>
      </w:r>
      <w:r w:rsidR="00D81476">
        <w:rPr>
          <w:lang w:val="en-AU"/>
        </w:rPr>
        <w:t>0</w:t>
      </w:r>
      <w:r w:rsidRPr="00D04E48">
        <w:rPr>
          <w:lang w:val="en-AU"/>
        </w:rPr>
        <w:t>) explains that with newer boutique hotels and vacation rentals in the area providing updated amenities at competitive rates, the Lodge has struggled to attract its former clientele.</w:t>
      </w:r>
    </w:p>
    <w:p w14:paraId="484F4C73" w14:textId="23DBC0E7" w:rsidR="00D04E48" w:rsidRPr="00D04E48" w:rsidRDefault="00D04E48" w:rsidP="00D04E48">
      <w:pPr>
        <w:rPr>
          <w:lang w:val="en-AU"/>
        </w:rPr>
      </w:pPr>
      <w:r w:rsidRPr="00D04E48">
        <w:rPr>
          <w:lang w:val="en-AU"/>
        </w:rPr>
        <w:t xml:space="preserve">Specifically, the increased availability of holiday homes, </w:t>
      </w:r>
      <w:proofErr w:type="gramStart"/>
      <w:r w:rsidRPr="00D04E48">
        <w:rPr>
          <w:lang w:val="en-AU"/>
        </w:rPr>
        <w:t>apartments</w:t>
      </w:r>
      <w:proofErr w:type="gramEnd"/>
      <w:r w:rsidRPr="00D04E48">
        <w:rPr>
          <w:lang w:val="en-AU"/>
        </w:rPr>
        <w:t xml:space="preserve"> and condos for short-term rentals in the region has given </w:t>
      </w:r>
      <w:r>
        <w:rPr>
          <w:lang w:val="en-AU"/>
        </w:rPr>
        <w:t>travellers</w:t>
      </w:r>
      <w:r w:rsidRPr="00D04E48">
        <w:rPr>
          <w:lang w:val="en-AU"/>
        </w:rPr>
        <w:t xml:space="preserve"> more choice. Online travel agencies like Airbnb and VRBO have also expanded the rental market. Research shows that vacationers are now booking more cost-effective and self-catered options rather than traditional hotels (</w:t>
      </w:r>
      <w:proofErr w:type="spellStart"/>
      <w:r w:rsidR="001E66EB">
        <w:rPr>
          <w:lang w:val="en-AU"/>
        </w:rPr>
        <w:t>Hyseni</w:t>
      </w:r>
      <w:proofErr w:type="spellEnd"/>
      <w:r w:rsidR="001E66EB">
        <w:rPr>
          <w:lang w:val="en-AU"/>
        </w:rPr>
        <w:t xml:space="preserve"> et al., 2018</w:t>
      </w:r>
      <w:r w:rsidRPr="00D04E48">
        <w:rPr>
          <w:lang w:val="en-AU"/>
        </w:rPr>
        <w:t>). This has eaten into Seacrest's customer base.</w:t>
      </w:r>
    </w:p>
    <w:p w14:paraId="2534A82D" w14:textId="75AFD040" w:rsidR="00D04E48" w:rsidRPr="00D04E48" w:rsidRDefault="00D04E48" w:rsidP="00D04E48">
      <w:pPr>
        <w:rPr>
          <w:lang w:val="en-AU"/>
        </w:rPr>
      </w:pPr>
      <w:r w:rsidRPr="00D04E48">
        <w:rPr>
          <w:lang w:val="en-AU"/>
        </w:rPr>
        <w:t xml:space="preserve">The recent economic recession and now recovery </w:t>
      </w:r>
      <w:r>
        <w:rPr>
          <w:lang w:val="en-AU"/>
        </w:rPr>
        <w:t>have</w:t>
      </w:r>
      <w:r w:rsidRPr="00D04E48">
        <w:rPr>
          <w:lang w:val="en-AU"/>
        </w:rPr>
        <w:t xml:space="preserve"> also impacted hospitality unevenly (</w:t>
      </w:r>
      <w:r w:rsidR="001E66EB">
        <w:rPr>
          <w:lang w:val="en-AU"/>
        </w:rPr>
        <w:t>Walker, 2021</w:t>
      </w:r>
      <w:r w:rsidRPr="00D04E48">
        <w:rPr>
          <w:lang w:val="en-AU"/>
        </w:rPr>
        <w:t xml:space="preserve">). Budget-conscious customers saved on vacations during harder times. Many competitors developed loyalty programs and deals to </w:t>
      </w:r>
      <w:r w:rsidR="00D90DD2">
        <w:rPr>
          <w:lang w:val="en-AU"/>
        </w:rPr>
        <w:t>incentivise</w:t>
      </w:r>
      <w:r w:rsidRPr="00D04E48">
        <w:rPr>
          <w:lang w:val="en-AU"/>
        </w:rPr>
        <w:t xml:space="preserve"> bookings. However, Seacrest did not adapt its pricing strategy to the conditions. Competitor renovations and service enhancements also made their offerings more attractive.</w:t>
      </w:r>
    </w:p>
    <w:p w14:paraId="70249C5D" w14:textId="63D300DD" w:rsidR="00D04E48" w:rsidRPr="00D04E48" w:rsidRDefault="00D04E48" w:rsidP="00D04E48">
      <w:pPr>
        <w:rPr>
          <w:lang w:val="en-AU"/>
        </w:rPr>
      </w:pPr>
      <w:r w:rsidRPr="00D04E48">
        <w:rPr>
          <w:lang w:val="en-AU"/>
        </w:rPr>
        <w:t xml:space="preserve">In addition, the Lodge’s dated facilities and reports of mediocre service made it seem overpriced in reviews. Customers highlighted poor value for money compared to other </w:t>
      </w:r>
      <w:r w:rsidR="00D90DD2">
        <w:rPr>
          <w:lang w:val="en-AU"/>
        </w:rPr>
        <w:t>nearby modern resorts</w:t>
      </w:r>
      <w:r w:rsidRPr="00D04E48">
        <w:rPr>
          <w:lang w:val="en-AU"/>
        </w:rPr>
        <w:t xml:space="preserve">. Addressing these market factors that have precipitated declining performance is key for financial stability going forward. </w:t>
      </w:r>
      <w:r w:rsidR="00D90DD2">
        <w:t>Capitalising</w:t>
      </w:r>
      <w:r w:rsidR="00F81C8C" w:rsidRPr="00F81C8C">
        <w:t xml:space="preserve"> on the running of the present leisure markets and strengthening its position in the competition are two key areas that the Lodge </w:t>
      </w:r>
      <w:r w:rsidR="001E66EB" w:rsidRPr="00F81C8C">
        <w:t>must</w:t>
      </w:r>
      <w:r w:rsidR="00F81C8C" w:rsidRPr="00F81C8C">
        <w:t xml:space="preserve"> deal with on its way back to glory</w:t>
      </w:r>
      <w:r w:rsidRPr="00D04E48">
        <w:rPr>
          <w:lang w:val="en-AU"/>
        </w:rPr>
        <w:t>.</w:t>
      </w:r>
    </w:p>
    <w:p w14:paraId="2AE269A0" w14:textId="234715D3" w:rsidR="00D04E48" w:rsidRDefault="00D04E48" w:rsidP="00D04E48">
      <w:pPr>
        <w:pStyle w:val="Heading1"/>
        <w:rPr>
          <w:lang w:val="en-AU"/>
        </w:rPr>
      </w:pPr>
      <w:bookmarkStart w:id="3" w:name="_Toc159460815"/>
      <w:r>
        <w:rPr>
          <w:lang w:val="en-AU"/>
        </w:rPr>
        <w:t>Financial Analysis</w:t>
      </w:r>
      <w:bookmarkEnd w:id="3"/>
    </w:p>
    <w:p w14:paraId="7EAD9322" w14:textId="77777777" w:rsidR="00FB274B" w:rsidRPr="00FB274B" w:rsidRDefault="00FB274B" w:rsidP="00FB274B">
      <w:pPr>
        <w:rPr>
          <w:b/>
          <w:bCs/>
          <w:lang w:val="en-AU"/>
        </w:rPr>
      </w:pPr>
      <w:r w:rsidRPr="00FB274B">
        <w:rPr>
          <w:b/>
          <w:bCs/>
          <w:lang w:val="en-AU"/>
        </w:rPr>
        <w:t xml:space="preserve">Profitability Analysis </w:t>
      </w:r>
    </w:p>
    <w:p w14:paraId="69F92E54" w14:textId="70E43AB8" w:rsidR="00FB274B" w:rsidRPr="00FB274B" w:rsidRDefault="00FB274B" w:rsidP="00FB274B">
      <w:pPr>
        <w:rPr>
          <w:lang w:val="en-AU"/>
        </w:rPr>
      </w:pPr>
      <w:r w:rsidRPr="00FB274B">
        <w:rPr>
          <w:lang w:val="en-AU"/>
        </w:rPr>
        <w:t>The declining profitability trends at Seacrest Lodge are evident across multiple metrics:</w:t>
      </w:r>
    </w:p>
    <w:p w14:paraId="1EEE7D2D" w14:textId="595B73A7" w:rsidR="00FB274B" w:rsidRDefault="00FB274B" w:rsidP="00FB274B">
      <w:pPr>
        <w:rPr>
          <w:lang w:val="en-AU"/>
        </w:rPr>
      </w:pPr>
      <w:r w:rsidRPr="00FB274B">
        <w:rPr>
          <w:lang w:val="en-AU"/>
        </w:rPr>
        <w:t>Net Profit Margin = Net Income / Total Revenue</w:t>
      </w:r>
    </w:p>
    <w:p w14:paraId="04020C3A" w14:textId="3C338127" w:rsidR="00FB274B" w:rsidRPr="00FB274B" w:rsidRDefault="00FB274B" w:rsidP="00FB274B">
      <w:pPr>
        <w:pStyle w:val="ListParagraph"/>
        <w:numPr>
          <w:ilvl w:val="0"/>
          <w:numId w:val="1"/>
        </w:numPr>
        <w:rPr>
          <w:lang w:val="en-AU"/>
        </w:rPr>
      </w:pPr>
      <w:r w:rsidRPr="00FB274B">
        <w:rPr>
          <w:b/>
          <w:bCs/>
          <w:lang w:val="en-AU"/>
        </w:rPr>
        <w:t>2021</w:t>
      </w:r>
      <w:r w:rsidRPr="00FB274B">
        <w:rPr>
          <w:lang w:val="en-AU"/>
        </w:rPr>
        <w:t xml:space="preserve">: £300,000 / £1,200,000 = 25% </w:t>
      </w:r>
    </w:p>
    <w:p w14:paraId="58A9695F" w14:textId="763C57D2" w:rsidR="00FB274B" w:rsidRPr="00FB274B" w:rsidRDefault="00FB274B" w:rsidP="00FB274B">
      <w:pPr>
        <w:pStyle w:val="ListParagraph"/>
        <w:numPr>
          <w:ilvl w:val="0"/>
          <w:numId w:val="1"/>
        </w:numPr>
        <w:rPr>
          <w:lang w:val="en-AU"/>
        </w:rPr>
      </w:pPr>
      <w:r w:rsidRPr="00FB274B">
        <w:rPr>
          <w:b/>
          <w:bCs/>
          <w:lang w:val="en-AU"/>
        </w:rPr>
        <w:lastRenderedPageBreak/>
        <w:t>2023</w:t>
      </w:r>
      <w:r w:rsidRPr="00FB274B">
        <w:rPr>
          <w:lang w:val="en-AU"/>
        </w:rPr>
        <w:t>: -£150,000 / £950,000 = -15.8%</w:t>
      </w:r>
    </w:p>
    <w:p w14:paraId="37FABE13" w14:textId="5AD8146B" w:rsidR="00FB274B" w:rsidRPr="00FB274B" w:rsidRDefault="00FB274B" w:rsidP="00FB274B">
      <w:pPr>
        <w:rPr>
          <w:lang w:val="en-AU"/>
        </w:rPr>
      </w:pPr>
      <w:r w:rsidRPr="00FB274B">
        <w:rPr>
          <w:lang w:val="en-AU"/>
        </w:rPr>
        <w:t xml:space="preserve">The negative 2023 margin indicates the resort failed to generate a profit after accounting for all expenses and costs. </w:t>
      </w:r>
      <w:r w:rsidR="00E414CA" w:rsidRPr="00E414CA">
        <w:t>A perilous mix of falling income (20.8%) and increasing expenses (22.2%) caused the shift to net losses. There was a breakdown in cost management as operations declined</w:t>
      </w:r>
      <w:r w:rsidRPr="00FB274B">
        <w:rPr>
          <w:lang w:val="en-AU"/>
        </w:rPr>
        <w:t>.</w:t>
      </w:r>
    </w:p>
    <w:p w14:paraId="5C30B995" w14:textId="77777777" w:rsidR="00FB274B" w:rsidRDefault="00FB274B" w:rsidP="00FB274B">
      <w:pPr>
        <w:rPr>
          <w:lang w:val="en-AU"/>
        </w:rPr>
      </w:pPr>
      <w:r w:rsidRPr="00FB274B">
        <w:rPr>
          <w:lang w:val="en-AU"/>
        </w:rPr>
        <w:t xml:space="preserve">Return on Assets (ROA) = Net Income / Average Total Assets </w:t>
      </w:r>
    </w:p>
    <w:p w14:paraId="271878EF" w14:textId="77777777" w:rsidR="00FB274B" w:rsidRPr="00FB274B" w:rsidRDefault="00FB274B" w:rsidP="00FB274B">
      <w:pPr>
        <w:pStyle w:val="ListParagraph"/>
        <w:numPr>
          <w:ilvl w:val="0"/>
          <w:numId w:val="2"/>
        </w:numPr>
        <w:rPr>
          <w:lang w:val="en-AU"/>
        </w:rPr>
      </w:pPr>
      <w:r w:rsidRPr="00FB274B">
        <w:rPr>
          <w:b/>
          <w:bCs/>
          <w:lang w:val="en-AU"/>
        </w:rPr>
        <w:t>2021</w:t>
      </w:r>
      <w:r w:rsidRPr="00FB274B">
        <w:rPr>
          <w:lang w:val="en-AU"/>
        </w:rPr>
        <w:t>: £300,000 / [(£2,150,000 + £2,120,000)/2] = 13.9%</w:t>
      </w:r>
    </w:p>
    <w:p w14:paraId="295ABD63" w14:textId="150CCCC6" w:rsidR="00FB274B" w:rsidRPr="00FB274B" w:rsidRDefault="00FB274B" w:rsidP="00FB274B">
      <w:pPr>
        <w:pStyle w:val="ListParagraph"/>
        <w:numPr>
          <w:ilvl w:val="0"/>
          <w:numId w:val="2"/>
        </w:numPr>
        <w:rPr>
          <w:lang w:val="en-AU"/>
        </w:rPr>
      </w:pPr>
      <w:r w:rsidRPr="00FB274B">
        <w:rPr>
          <w:b/>
          <w:bCs/>
          <w:lang w:val="en-AU"/>
        </w:rPr>
        <w:t>2023</w:t>
      </w:r>
      <w:r w:rsidRPr="00FB274B">
        <w:rPr>
          <w:lang w:val="en-AU"/>
        </w:rPr>
        <w:t>: -£150,000 / [(£2,120,000 + £1,850,000)/2] = -8.1%</w:t>
      </w:r>
    </w:p>
    <w:p w14:paraId="19205AAE" w14:textId="2E30D97E" w:rsidR="00FB274B" w:rsidRPr="00FB274B" w:rsidRDefault="00E414CA" w:rsidP="00FB274B">
      <w:pPr>
        <w:rPr>
          <w:lang w:val="en-AU"/>
        </w:rPr>
      </w:pPr>
      <w:r w:rsidRPr="00E414CA">
        <w:t xml:space="preserve">Return on assets (ROA) plummeted from 13.9% to -8.1% </w:t>
      </w:r>
      <w:proofErr w:type="gramStart"/>
      <w:r w:rsidRPr="00E414CA">
        <w:t>as a result of</w:t>
      </w:r>
      <w:proofErr w:type="gramEnd"/>
      <w:r w:rsidRPr="00E414CA">
        <w:t xml:space="preserve"> Seacrest's ineptitude in converting its rooms, facilities, and equipment into revenue. When assets are not being used, it shows that there are issues with managing expenses, maximising revenue, and overall operating efficiency</w:t>
      </w:r>
      <w:r w:rsidR="001E66EB">
        <w:t xml:space="preserve"> (</w:t>
      </w:r>
      <w:proofErr w:type="spellStart"/>
      <w:r w:rsidR="001E66EB">
        <w:t>Alshatti</w:t>
      </w:r>
      <w:proofErr w:type="spellEnd"/>
      <w:r w:rsidR="001E66EB">
        <w:t>, 2015)</w:t>
      </w:r>
      <w:r w:rsidR="00FB274B" w:rsidRPr="00FB274B">
        <w:rPr>
          <w:lang w:val="en-AU"/>
        </w:rPr>
        <w:t>.</w:t>
      </w:r>
    </w:p>
    <w:p w14:paraId="1301FD05" w14:textId="77777777" w:rsidR="00E414CA" w:rsidRDefault="00FB274B" w:rsidP="00FB274B">
      <w:pPr>
        <w:rPr>
          <w:lang w:val="en-AU"/>
        </w:rPr>
      </w:pPr>
      <w:r w:rsidRPr="00FB274B">
        <w:rPr>
          <w:b/>
          <w:bCs/>
          <w:lang w:val="en-AU"/>
        </w:rPr>
        <w:t>DuPont Analysis</w:t>
      </w:r>
      <w:r w:rsidRPr="00FB274B">
        <w:rPr>
          <w:lang w:val="en-AU"/>
        </w:rPr>
        <w:t xml:space="preserve">: ROE = Net Profit Margin </w:t>
      </w:r>
      <w:proofErr w:type="gramStart"/>
      <w:r w:rsidRPr="00FB274B">
        <w:rPr>
          <w:lang w:val="en-AU"/>
        </w:rPr>
        <w:t>x</w:t>
      </w:r>
      <w:proofErr w:type="gramEnd"/>
      <w:r w:rsidRPr="00FB274B">
        <w:rPr>
          <w:lang w:val="en-AU"/>
        </w:rPr>
        <w:t xml:space="preserve"> Asset Turnover x Equity Multiplier </w:t>
      </w:r>
    </w:p>
    <w:p w14:paraId="09438547" w14:textId="2A8A3437" w:rsidR="00FB274B" w:rsidRPr="00FB274B" w:rsidRDefault="00FB274B" w:rsidP="00E414CA">
      <w:pPr>
        <w:ind w:firstLine="360"/>
        <w:rPr>
          <w:lang w:val="en-AU"/>
        </w:rPr>
      </w:pPr>
      <w:r w:rsidRPr="00FB274B">
        <w:rPr>
          <w:lang w:val="en-AU"/>
        </w:rPr>
        <w:t>= (Net Income/Revenue) x (Revenue/Average Assets) x (Average Assets/Average Equity)</w:t>
      </w:r>
    </w:p>
    <w:p w14:paraId="3910BA7E" w14:textId="77777777" w:rsidR="00FB274B" w:rsidRPr="00FB274B" w:rsidRDefault="00FB274B" w:rsidP="00FB274B">
      <w:pPr>
        <w:pStyle w:val="ListParagraph"/>
        <w:numPr>
          <w:ilvl w:val="0"/>
          <w:numId w:val="3"/>
        </w:numPr>
        <w:rPr>
          <w:lang w:val="en-AU"/>
        </w:rPr>
      </w:pPr>
      <w:r w:rsidRPr="00FB274B">
        <w:rPr>
          <w:b/>
          <w:bCs/>
          <w:lang w:val="en-AU"/>
        </w:rPr>
        <w:t>2021</w:t>
      </w:r>
      <w:r w:rsidRPr="00FB274B">
        <w:rPr>
          <w:lang w:val="en-AU"/>
        </w:rPr>
        <w:t xml:space="preserve"> ROE = 25% x (£1,200,000/£2,135,000) x (£2,135,000/£600,000) = 48.4% </w:t>
      </w:r>
    </w:p>
    <w:p w14:paraId="7E5CB3E1" w14:textId="4A83B056" w:rsidR="00FB274B" w:rsidRPr="00FB274B" w:rsidRDefault="00FB274B" w:rsidP="00FB274B">
      <w:pPr>
        <w:pStyle w:val="ListParagraph"/>
        <w:numPr>
          <w:ilvl w:val="0"/>
          <w:numId w:val="3"/>
        </w:numPr>
        <w:rPr>
          <w:lang w:val="en-AU"/>
        </w:rPr>
      </w:pPr>
      <w:r w:rsidRPr="00FB274B">
        <w:rPr>
          <w:b/>
          <w:bCs/>
          <w:lang w:val="en-AU"/>
        </w:rPr>
        <w:t>2023</w:t>
      </w:r>
      <w:r w:rsidRPr="00FB274B">
        <w:rPr>
          <w:lang w:val="en-AU"/>
        </w:rPr>
        <w:t xml:space="preserve"> ROE = -15.8% x (£950,000/£1,985,000) x (£1,985,000/£440,000) = -50%</w:t>
      </w:r>
    </w:p>
    <w:p w14:paraId="456DBCB1" w14:textId="3E73829A" w:rsidR="00FB274B" w:rsidRPr="00FB274B" w:rsidRDefault="00FC5788" w:rsidP="00FB274B">
      <w:pPr>
        <w:rPr>
          <w:lang w:val="en-AU"/>
        </w:rPr>
      </w:pPr>
      <w:r w:rsidRPr="00FC5788">
        <w:t xml:space="preserve">The DuPont framework analyses the 98.4% decrease in Seacrest's Return on Equity (ROE) from 48.4% to -50%. </w:t>
      </w:r>
      <w:r w:rsidR="00FB274B" w:rsidRPr="00FB274B">
        <w:rPr>
          <w:lang w:val="en-AU"/>
        </w:rPr>
        <w:t>All three components worsened - profit margins turned negative, asset turnover declined from revenue decreases, and financial leverage increased from lower equity levels.</w:t>
      </w:r>
    </w:p>
    <w:p w14:paraId="1DECB92E" w14:textId="77777777" w:rsidR="00FB274B" w:rsidRPr="00FB274B" w:rsidRDefault="00FB274B" w:rsidP="00FB274B">
      <w:pPr>
        <w:rPr>
          <w:lang w:val="en-AU"/>
        </w:rPr>
      </w:pPr>
      <w:r w:rsidRPr="00FB274B">
        <w:rPr>
          <w:lang w:val="en-AU"/>
        </w:rPr>
        <w:t>This trifecta of underperformance highlights systematic operational deficiencies. Management failed to contain costs, utilize assets productively, and maintain an optimal capital structure. Lack of strategic alignment appears prevalent given the across-the-board deterioration.</w:t>
      </w:r>
    </w:p>
    <w:p w14:paraId="4C263CF1" w14:textId="77777777" w:rsidR="00FB274B" w:rsidRPr="00FB274B" w:rsidRDefault="00FB274B" w:rsidP="00FB274B">
      <w:pPr>
        <w:rPr>
          <w:b/>
          <w:bCs/>
          <w:lang w:val="en-AU"/>
        </w:rPr>
      </w:pPr>
      <w:r w:rsidRPr="00FB274B">
        <w:rPr>
          <w:b/>
          <w:bCs/>
          <w:lang w:val="en-AU"/>
        </w:rPr>
        <w:t>Liquidity Analysis</w:t>
      </w:r>
    </w:p>
    <w:p w14:paraId="07B89253" w14:textId="77777777" w:rsidR="00FB274B" w:rsidRDefault="00FB274B" w:rsidP="00FB274B">
      <w:pPr>
        <w:rPr>
          <w:lang w:val="en-AU"/>
        </w:rPr>
      </w:pPr>
      <w:r w:rsidRPr="00FB274B">
        <w:rPr>
          <w:lang w:val="en-AU"/>
        </w:rPr>
        <w:t xml:space="preserve">Current Ratio = Current Assets / Current Liabilities </w:t>
      </w:r>
    </w:p>
    <w:p w14:paraId="707DC789" w14:textId="77777777" w:rsidR="00FB274B" w:rsidRPr="00FB274B" w:rsidRDefault="00FB274B" w:rsidP="00FB274B">
      <w:pPr>
        <w:pStyle w:val="ListParagraph"/>
        <w:numPr>
          <w:ilvl w:val="0"/>
          <w:numId w:val="4"/>
        </w:numPr>
        <w:rPr>
          <w:lang w:val="en-AU"/>
        </w:rPr>
      </w:pPr>
      <w:r w:rsidRPr="00FB274B">
        <w:rPr>
          <w:b/>
          <w:bCs/>
          <w:lang w:val="en-AU"/>
        </w:rPr>
        <w:t>2021</w:t>
      </w:r>
      <w:r w:rsidRPr="00FB274B">
        <w:rPr>
          <w:lang w:val="en-AU"/>
        </w:rPr>
        <w:t xml:space="preserve">: (£100,000 + £50,000) / £30,000 = 5.0 </w:t>
      </w:r>
    </w:p>
    <w:p w14:paraId="1D88DC40" w14:textId="4ED22FBA" w:rsidR="00FB274B" w:rsidRPr="00FB274B" w:rsidRDefault="00FB274B" w:rsidP="00FB274B">
      <w:pPr>
        <w:pStyle w:val="ListParagraph"/>
        <w:numPr>
          <w:ilvl w:val="0"/>
          <w:numId w:val="4"/>
        </w:numPr>
        <w:rPr>
          <w:lang w:val="en-AU"/>
        </w:rPr>
      </w:pPr>
      <w:r w:rsidRPr="00FB274B">
        <w:rPr>
          <w:b/>
          <w:bCs/>
          <w:lang w:val="en-AU"/>
        </w:rPr>
        <w:t>2023</w:t>
      </w:r>
      <w:r w:rsidRPr="00FB274B">
        <w:rPr>
          <w:lang w:val="en-AU"/>
        </w:rPr>
        <w:t>: (£20,000 + £30,000) / £50,000 = 1.0</w:t>
      </w:r>
    </w:p>
    <w:p w14:paraId="2676421E" w14:textId="77777777" w:rsidR="00FB274B" w:rsidRPr="00FB274B" w:rsidRDefault="00FB274B" w:rsidP="00FB274B">
      <w:pPr>
        <w:rPr>
          <w:lang w:val="en-AU"/>
        </w:rPr>
      </w:pPr>
      <w:r w:rsidRPr="00FB274B">
        <w:rPr>
          <w:lang w:val="en-AU"/>
        </w:rPr>
        <w:lastRenderedPageBreak/>
        <w:t>The current ratio plunged from a very liquid 5.0x level to a minimally sufficient 1.0x over the period. With only £50,000 in current assets, Seacrest's ability to comfortably service short-term obligations has become constrained and risky.</w:t>
      </w:r>
    </w:p>
    <w:p w14:paraId="21D33B96" w14:textId="6BB5846F" w:rsidR="00FB274B" w:rsidRPr="00FB274B" w:rsidRDefault="00FB274B" w:rsidP="00FB274B">
      <w:pPr>
        <w:rPr>
          <w:lang w:val="en-AU"/>
        </w:rPr>
      </w:pPr>
      <w:r w:rsidRPr="00FB274B">
        <w:rPr>
          <w:lang w:val="en-AU"/>
        </w:rPr>
        <w:t xml:space="preserve">Working capital management appears to have weakened. The £80,000 decline in cash coupled with rising accounts payable from £30,000 to £50,000 signals potential issues </w:t>
      </w:r>
      <w:r>
        <w:rPr>
          <w:lang w:val="en-AU"/>
        </w:rPr>
        <w:t xml:space="preserve">in </w:t>
      </w:r>
      <w:r w:rsidRPr="00FB274B">
        <w:rPr>
          <w:lang w:val="en-AU"/>
        </w:rPr>
        <w:t>collecting receivables promptly and paying creditors.</w:t>
      </w:r>
    </w:p>
    <w:p w14:paraId="719E86F8" w14:textId="77777777" w:rsidR="00903148" w:rsidRDefault="00FB274B" w:rsidP="00FB274B">
      <w:pPr>
        <w:rPr>
          <w:b/>
          <w:bCs/>
          <w:lang w:val="en-AU"/>
        </w:rPr>
      </w:pPr>
      <w:r w:rsidRPr="00FB274B">
        <w:rPr>
          <w:b/>
          <w:bCs/>
          <w:lang w:val="en-AU"/>
        </w:rPr>
        <w:t>Solvency</w:t>
      </w:r>
      <w:r w:rsidRPr="00FB274B">
        <w:rPr>
          <w:lang w:val="en-AU"/>
        </w:rPr>
        <w:t xml:space="preserve"> </w:t>
      </w:r>
      <w:r w:rsidRPr="00FB274B">
        <w:rPr>
          <w:b/>
          <w:bCs/>
          <w:lang w:val="en-AU"/>
        </w:rPr>
        <w:t>Analysis</w:t>
      </w:r>
    </w:p>
    <w:p w14:paraId="26183730" w14:textId="77777777" w:rsidR="00903148" w:rsidRDefault="00FB274B" w:rsidP="00FB274B">
      <w:pPr>
        <w:rPr>
          <w:lang w:val="en-AU"/>
        </w:rPr>
      </w:pPr>
      <w:r w:rsidRPr="00FB274B">
        <w:rPr>
          <w:lang w:val="en-AU"/>
        </w:rPr>
        <w:t xml:space="preserve"> Debt-to-Asset Ratio = Total Debt / Total Assets </w:t>
      </w:r>
    </w:p>
    <w:p w14:paraId="29EEC1BC" w14:textId="77777777" w:rsidR="00903148" w:rsidRDefault="00FB274B" w:rsidP="00903148">
      <w:pPr>
        <w:pStyle w:val="ListParagraph"/>
        <w:numPr>
          <w:ilvl w:val="0"/>
          <w:numId w:val="6"/>
        </w:numPr>
        <w:rPr>
          <w:lang w:val="en-AU"/>
        </w:rPr>
      </w:pPr>
      <w:r w:rsidRPr="00903148">
        <w:rPr>
          <w:b/>
          <w:bCs/>
          <w:lang w:val="en-AU"/>
        </w:rPr>
        <w:t>2021</w:t>
      </w:r>
      <w:r w:rsidRPr="00903148">
        <w:rPr>
          <w:lang w:val="en-AU"/>
        </w:rPr>
        <w:t>: £1,500,000 / £2,150,000 = 0.70</w:t>
      </w:r>
    </w:p>
    <w:p w14:paraId="3FA1B64B" w14:textId="3DDEDDC6" w:rsidR="00FB274B" w:rsidRPr="00903148" w:rsidRDefault="00FB274B" w:rsidP="00903148">
      <w:pPr>
        <w:pStyle w:val="ListParagraph"/>
        <w:numPr>
          <w:ilvl w:val="0"/>
          <w:numId w:val="6"/>
        </w:numPr>
        <w:rPr>
          <w:lang w:val="en-AU"/>
        </w:rPr>
      </w:pPr>
      <w:r w:rsidRPr="00903148">
        <w:rPr>
          <w:b/>
          <w:bCs/>
          <w:lang w:val="en-AU"/>
        </w:rPr>
        <w:t>2023</w:t>
      </w:r>
      <w:r w:rsidRPr="00903148">
        <w:rPr>
          <w:lang w:val="en-AU"/>
        </w:rPr>
        <w:t>: £1,500,000 / £1,850,000 = 0.81</w:t>
      </w:r>
    </w:p>
    <w:p w14:paraId="23E1AA2B" w14:textId="77777777" w:rsidR="00903148" w:rsidRDefault="00FB274B" w:rsidP="00FB274B">
      <w:pPr>
        <w:rPr>
          <w:lang w:val="en-AU"/>
        </w:rPr>
      </w:pPr>
      <w:r w:rsidRPr="00FB274B">
        <w:rPr>
          <w:lang w:val="en-AU"/>
        </w:rPr>
        <w:t>Debt-to-Equity Ratio = Total Debt / Total Equity</w:t>
      </w:r>
    </w:p>
    <w:p w14:paraId="68AE93A9" w14:textId="77777777" w:rsidR="00903148" w:rsidRPr="00903148" w:rsidRDefault="00FB274B" w:rsidP="00903148">
      <w:pPr>
        <w:pStyle w:val="ListParagraph"/>
        <w:numPr>
          <w:ilvl w:val="0"/>
          <w:numId w:val="7"/>
        </w:numPr>
        <w:rPr>
          <w:lang w:val="en-AU"/>
        </w:rPr>
      </w:pPr>
      <w:r w:rsidRPr="00903148">
        <w:rPr>
          <w:b/>
          <w:bCs/>
          <w:lang w:val="en-AU"/>
        </w:rPr>
        <w:t>2021</w:t>
      </w:r>
      <w:r w:rsidRPr="00903148">
        <w:rPr>
          <w:lang w:val="en-AU"/>
        </w:rPr>
        <w:t xml:space="preserve">: £1,500,000 / £620,000 = 2.42 </w:t>
      </w:r>
    </w:p>
    <w:p w14:paraId="39DB3C0E" w14:textId="2349FE54" w:rsidR="00FB274B" w:rsidRPr="00903148" w:rsidRDefault="00FB274B" w:rsidP="00903148">
      <w:pPr>
        <w:pStyle w:val="ListParagraph"/>
        <w:numPr>
          <w:ilvl w:val="0"/>
          <w:numId w:val="7"/>
        </w:numPr>
        <w:rPr>
          <w:lang w:val="en-AU"/>
        </w:rPr>
      </w:pPr>
      <w:r w:rsidRPr="00903148">
        <w:rPr>
          <w:b/>
          <w:bCs/>
          <w:lang w:val="en-AU"/>
        </w:rPr>
        <w:t>2023</w:t>
      </w:r>
      <w:r w:rsidRPr="00903148">
        <w:rPr>
          <w:lang w:val="en-AU"/>
        </w:rPr>
        <w:t>: £1,500,000 / £300,000 = 5.0</w:t>
      </w:r>
    </w:p>
    <w:p w14:paraId="2A9BB2A3" w14:textId="77777777" w:rsidR="00FB274B" w:rsidRPr="00FB274B" w:rsidRDefault="00FB274B" w:rsidP="00FB274B">
      <w:pPr>
        <w:rPr>
          <w:lang w:val="en-AU"/>
        </w:rPr>
      </w:pPr>
      <w:r w:rsidRPr="00FB274B">
        <w:rPr>
          <w:lang w:val="en-AU"/>
        </w:rPr>
        <w:t>The solvency picture raises red flags about Seacrest's future viability. While total debt remained stagnant, declining asset values from £2,150,000 to £1,850,000 resulted in a higher 0.81 debt-to-asset ratio in 2023. More critically, equity plunged from £620,000 to £300,000, ballooning the debt-to-equity leverage to an exceedingly risky 5.0x.</w:t>
      </w:r>
    </w:p>
    <w:p w14:paraId="3220F0FB" w14:textId="77777777" w:rsidR="00FB274B" w:rsidRPr="00FB274B" w:rsidRDefault="00FB274B" w:rsidP="00FB274B">
      <w:pPr>
        <w:rPr>
          <w:lang w:val="en-AU"/>
        </w:rPr>
      </w:pPr>
      <w:r w:rsidRPr="00FB274B">
        <w:rPr>
          <w:lang w:val="en-AU"/>
        </w:rPr>
        <w:t>With interest costs consuming an ever-larger portion of the remaining income, this debt burden appears unsustainable if current cash flow trends persist. Seacrest has severely depleted its capital buffer to withstand additional losses.</w:t>
      </w:r>
    </w:p>
    <w:p w14:paraId="18465C75" w14:textId="77777777" w:rsidR="00903148" w:rsidRDefault="00FB274B" w:rsidP="00FB274B">
      <w:pPr>
        <w:rPr>
          <w:lang w:val="en-AU"/>
        </w:rPr>
      </w:pPr>
      <w:r w:rsidRPr="00FB274B">
        <w:rPr>
          <w:b/>
          <w:bCs/>
          <w:lang w:val="en-AU"/>
        </w:rPr>
        <w:t>RevPAR and Operating Metrics</w:t>
      </w:r>
      <w:r w:rsidRPr="00FB274B">
        <w:rPr>
          <w:lang w:val="en-AU"/>
        </w:rPr>
        <w:t xml:space="preserve"> </w:t>
      </w:r>
    </w:p>
    <w:p w14:paraId="5EA04560" w14:textId="45924AA4" w:rsidR="00903148" w:rsidRDefault="00FB274B" w:rsidP="00FB274B">
      <w:pPr>
        <w:rPr>
          <w:lang w:val="en-AU"/>
        </w:rPr>
      </w:pPr>
      <w:r w:rsidRPr="00FB274B">
        <w:rPr>
          <w:lang w:val="en-AU"/>
        </w:rPr>
        <w:t xml:space="preserve">RevPAR = (Occupancy Rate x Average Daily Rate) </w:t>
      </w:r>
    </w:p>
    <w:p w14:paraId="74A7E3F8" w14:textId="77777777" w:rsidR="00903148" w:rsidRPr="00903148" w:rsidRDefault="00FB274B" w:rsidP="00903148">
      <w:pPr>
        <w:pStyle w:val="ListParagraph"/>
        <w:numPr>
          <w:ilvl w:val="0"/>
          <w:numId w:val="8"/>
        </w:numPr>
        <w:rPr>
          <w:lang w:val="en-AU"/>
        </w:rPr>
      </w:pPr>
      <w:r w:rsidRPr="00903148">
        <w:rPr>
          <w:b/>
          <w:bCs/>
          <w:lang w:val="en-AU"/>
        </w:rPr>
        <w:t>2021</w:t>
      </w:r>
      <w:r w:rsidRPr="00903148">
        <w:rPr>
          <w:lang w:val="en-AU"/>
        </w:rPr>
        <w:t>: 65% x £260 = £169</w:t>
      </w:r>
    </w:p>
    <w:p w14:paraId="34C997E3" w14:textId="195BDFDD" w:rsidR="00FB274B" w:rsidRPr="00903148" w:rsidRDefault="00FB274B" w:rsidP="00903148">
      <w:pPr>
        <w:pStyle w:val="ListParagraph"/>
        <w:numPr>
          <w:ilvl w:val="0"/>
          <w:numId w:val="8"/>
        </w:numPr>
        <w:rPr>
          <w:lang w:val="en-AU"/>
        </w:rPr>
      </w:pPr>
      <w:r w:rsidRPr="00903148">
        <w:rPr>
          <w:b/>
          <w:bCs/>
          <w:lang w:val="en-AU"/>
        </w:rPr>
        <w:t>2023</w:t>
      </w:r>
      <w:r w:rsidRPr="00903148">
        <w:rPr>
          <w:lang w:val="en-AU"/>
        </w:rPr>
        <w:t>: 50% x £210 = £105</w:t>
      </w:r>
    </w:p>
    <w:p w14:paraId="34D4BCFA" w14:textId="53C9EE4A" w:rsidR="00FB274B" w:rsidRPr="00FB274B" w:rsidRDefault="00FB274B" w:rsidP="00FB274B">
      <w:pPr>
        <w:rPr>
          <w:lang w:val="en-AU"/>
        </w:rPr>
      </w:pPr>
      <w:r w:rsidRPr="00FB274B">
        <w:rPr>
          <w:lang w:val="en-AU"/>
        </w:rPr>
        <w:t xml:space="preserve">The 37.9% RevPAR decline from £169 to £105 underscores Seacrest's failure to maximize revenue from its available rental inventory. Both occupancy and pricing deteriorated, indicating potential market share losses and </w:t>
      </w:r>
      <w:r w:rsidR="000F6BC1">
        <w:rPr>
          <w:lang w:val="en-AU"/>
        </w:rPr>
        <w:t xml:space="preserve">a </w:t>
      </w:r>
      <w:r w:rsidRPr="00FB274B">
        <w:rPr>
          <w:lang w:val="en-AU"/>
        </w:rPr>
        <w:t>lack of revenue management capabilities</w:t>
      </w:r>
      <w:r w:rsidR="001E66EB">
        <w:rPr>
          <w:lang w:val="en-AU"/>
        </w:rPr>
        <w:t xml:space="preserve"> (Leoni and Nilsson, 2021)</w:t>
      </w:r>
      <w:r w:rsidRPr="00FB274B">
        <w:rPr>
          <w:lang w:val="en-AU"/>
        </w:rPr>
        <w:t>.</w:t>
      </w:r>
    </w:p>
    <w:p w14:paraId="2EE1BCFC" w14:textId="63D97114" w:rsidR="007627C3" w:rsidRDefault="00FB274B" w:rsidP="007627C3">
      <w:pPr>
        <w:rPr>
          <w:lang w:val="en-AU"/>
        </w:rPr>
      </w:pPr>
      <w:r w:rsidRPr="00FB274B">
        <w:rPr>
          <w:lang w:val="en-AU"/>
        </w:rPr>
        <w:lastRenderedPageBreak/>
        <w:t>The comprehensive financial picture reveals that Seacrest Lodge's performance has deteriorated at an alarming rate due to flaws in its operating model and strategy. Urgent intervention is required to cut costs, restructure obligations, improve pricing mechanisms, reinvigorate demand, and overall enhance operational efficiency to regain profitability and restore credibility before it suffers a terminal cash flow insolvency</w:t>
      </w:r>
      <w:r w:rsidR="007627C3" w:rsidRPr="007627C3">
        <w:rPr>
          <w:lang w:val="en-AU"/>
        </w:rPr>
        <w:t>.</w:t>
      </w:r>
    </w:p>
    <w:p w14:paraId="5939DA2C" w14:textId="345510DA" w:rsidR="00A76292" w:rsidRDefault="00A76292" w:rsidP="00A76292">
      <w:pPr>
        <w:pStyle w:val="Heading1"/>
        <w:rPr>
          <w:lang w:val="en-AU"/>
        </w:rPr>
      </w:pPr>
      <w:bookmarkStart w:id="4" w:name="_Toc159460816"/>
      <w:r>
        <w:rPr>
          <w:lang w:val="en-AU"/>
        </w:rPr>
        <w:t>Risk Assessment</w:t>
      </w:r>
      <w:bookmarkEnd w:id="4"/>
    </w:p>
    <w:p w14:paraId="5A6FF9DF" w14:textId="77777777" w:rsidR="00FC5788" w:rsidRDefault="00A76292" w:rsidP="00FC5788">
      <w:r w:rsidRPr="00A76292">
        <w:t xml:space="preserve">Seacrest Lodge has severe strategic, operational, and financial threats that require immediate action. The hotel's earlier approach didn't adjust to market and consumer changes. </w:t>
      </w:r>
      <w:r w:rsidR="00FC5788" w:rsidRPr="00FC5788">
        <w:t xml:space="preserve">Its reputation has suffered since it failed to differentiate itself from other vacation rental companies or boutique hotels. </w:t>
      </w:r>
    </w:p>
    <w:p w14:paraId="211ED3B5" w14:textId="77777777" w:rsidR="00FC5788" w:rsidRDefault="00FC5788" w:rsidP="00FC5788">
      <w:r w:rsidRPr="00FC5788">
        <w:t xml:space="preserve">Asset degradation is connected to resort operational issues and costly restoration costs. If occupancy and RevPAR are low, the revenue management plan is flawed. Supply chain concerns and high worker turnover due to poor performance may affect operations. </w:t>
      </w:r>
    </w:p>
    <w:p w14:paraId="4327A9B3" w14:textId="34A0B6AD" w:rsidR="00A76292" w:rsidRDefault="00FC5788" w:rsidP="00FC5788">
      <w:r w:rsidRPr="00FC5788">
        <w:t>Seacrest's finances are a major worry. Lack of capital and liquidity makes meeting financial obligations difficult. Capital structure debt and equity reserve reduction increase insolvency risk</w:t>
      </w:r>
      <w:r w:rsidR="001E66EB">
        <w:t xml:space="preserve"> (Conlon et al., 2020)</w:t>
      </w:r>
      <w:r w:rsidR="00A76292" w:rsidRPr="00A76292">
        <w:t xml:space="preserve">. </w:t>
      </w:r>
      <w:r w:rsidR="00D90DD2">
        <w:t>Insolvency and default are imminent if cash burn rates are not addressed</w:t>
      </w:r>
      <w:r w:rsidR="00A76292" w:rsidRPr="00A76292">
        <w:t xml:space="preserve"> due to the unsustainable cost structure and wasteful operations. Despite its best efforts, the resort may struggle to get financing. </w:t>
      </w:r>
    </w:p>
    <w:p w14:paraId="0CAE688B" w14:textId="48C76FF8" w:rsidR="00A76292" w:rsidRPr="00A76292" w:rsidRDefault="00FC5788" w:rsidP="00A76292">
      <w:pPr>
        <w:rPr>
          <w:lang w:val="en-AU"/>
        </w:rPr>
      </w:pPr>
      <w:r>
        <w:t>The absence</w:t>
      </w:r>
      <w:r w:rsidR="00A76292" w:rsidRPr="00A76292">
        <w:t xml:space="preserve"> of a thorough plan to manage financial, operational, and strategic risks could lead to collapse and bankruptcy</w:t>
      </w:r>
      <w:r w:rsidR="006415C9">
        <w:t xml:space="preserve"> (</w:t>
      </w:r>
      <w:proofErr w:type="spellStart"/>
      <w:r w:rsidR="006415C9">
        <w:t>Sadgrove</w:t>
      </w:r>
      <w:proofErr w:type="spellEnd"/>
      <w:r w:rsidR="006415C9">
        <w:t>, 2016)</w:t>
      </w:r>
      <w:r w:rsidR="00A76292" w:rsidRPr="00A76292">
        <w:t>. Legal and regulatory concerns about safety, compliance, and insolvency would worsen it. A complete plan must include reorganisation, financial restructuring, operational optimisation, and strategic repositioning. If Seacrest is to survive this existential threat and recover, it needs strong risk management.</w:t>
      </w:r>
    </w:p>
    <w:p w14:paraId="5C55CCE9" w14:textId="77777777" w:rsidR="007627C3" w:rsidRPr="007627C3" w:rsidRDefault="007627C3" w:rsidP="007627C3">
      <w:pPr>
        <w:pStyle w:val="Heading1"/>
        <w:rPr>
          <w:lang w:val="en-AU"/>
        </w:rPr>
      </w:pPr>
      <w:bookmarkStart w:id="5" w:name="_Toc159460817"/>
      <w:r w:rsidRPr="007627C3">
        <w:rPr>
          <w:lang w:val="en-AU"/>
        </w:rPr>
        <w:t>Reasons behind the Decline in Profitability</w:t>
      </w:r>
      <w:bookmarkEnd w:id="5"/>
    </w:p>
    <w:p w14:paraId="7F4A80F6" w14:textId="77777777" w:rsidR="007627C3" w:rsidRPr="007627C3" w:rsidRDefault="007627C3" w:rsidP="007627C3">
      <w:pPr>
        <w:rPr>
          <w:b/>
          <w:bCs/>
          <w:lang w:val="en-AU"/>
        </w:rPr>
      </w:pPr>
      <w:r w:rsidRPr="007627C3">
        <w:rPr>
          <w:b/>
          <w:bCs/>
          <w:lang w:val="en-AU"/>
        </w:rPr>
        <w:t xml:space="preserve">Impact of External Events </w:t>
      </w:r>
    </w:p>
    <w:p w14:paraId="62A2EAAC" w14:textId="5021A8EA" w:rsidR="007627C3" w:rsidRPr="007627C3" w:rsidRDefault="007627C3" w:rsidP="007627C3">
      <w:pPr>
        <w:rPr>
          <w:lang w:val="en-AU"/>
        </w:rPr>
      </w:pPr>
      <w:r w:rsidRPr="007627C3">
        <w:rPr>
          <w:lang w:val="en-AU"/>
        </w:rPr>
        <w:t>The hospitality industry faced massive disruptions from the global pandemic and economic recession (</w:t>
      </w:r>
      <w:r w:rsidR="00A02062">
        <w:rPr>
          <w:lang w:val="en-AU"/>
        </w:rPr>
        <w:t>Dube et al., 2021</w:t>
      </w:r>
      <w:r w:rsidRPr="007627C3">
        <w:rPr>
          <w:lang w:val="en-AU"/>
        </w:rPr>
        <w:t xml:space="preserve">). Travel restrictions and lockdowns between 2020-2021 halted </w:t>
      </w:r>
      <w:r w:rsidR="00A02062">
        <w:rPr>
          <w:lang w:val="en-AU"/>
        </w:rPr>
        <w:t xml:space="preserve">the </w:t>
      </w:r>
      <w:r w:rsidRPr="007627C3">
        <w:rPr>
          <w:lang w:val="en-AU"/>
        </w:rPr>
        <w:t>leisure business, with ripple effects for years after. The Seacrest Lodge had to close entirely during lockdowns, causing significant revenue loss</w:t>
      </w:r>
      <w:r w:rsidR="00D90DD2">
        <w:rPr>
          <w:lang w:val="en-AU"/>
        </w:rPr>
        <w:t>,</w:t>
      </w:r>
      <w:r w:rsidRPr="007627C3">
        <w:rPr>
          <w:lang w:val="en-AU"/>
        </w:rPr>
        <w:t xml:space="preserve"> according to industry data. While competitors with larger operating </w:t>
      </w:r>
      <w:r w:rsidR="00A02062">
        <w:rPr>
          <w:lang w:val="en-AU"/>
        </w:rPr>
        <w:t>capacities</w:t>
      </w:r>
      <w:r w:rsidRPr="007627C3">
        <w:rPr>
          <w:lang w:val="en-AU"/>
        </w:rPr>
        <w:t xml:space="preserve"> could absorb the shocks, smaller independent </w:t>
      </w:r>
      <w:r w:rsidRPr="007627C3">
        <w:rPr>
          <w:lang w:val="en-AU"/>
        </w:rPr>
        <w:lastRenderedPageBreak/>
        <w:t xml:space="preserve">resorts like the Lodge faced </w:t>
      </w:r>
      <w:r w:rsidR="00A02062">
        <w:rPr>
          <w:lang w:val="en-AU"/>
        </w:rPr>
        <w:t xml:space="preserve">an </w:t>
      </w:r>
      <w:r w:rsidRPr="007627C3">
        <w:rPr>
          <w:lang w:val="en-AU"/>
        </w:rPr>
        <w:t>existential threat. Recovery has also varied for regional players. These external events explain the initial profit slump.</w:t>
      </w:r>
    </w:p>
    <w:p w14:paraId="527FF911" w14:textId="77777777" w:rsidR="007627C3" w:rsidRDefault="007627C3" w:rsidP="007627C3">
      <w:pPr>
        <w:rPr>
          <w:lang w:val="en-AU"/>
        </w:rPr>
      </w:pPr>
      <w:r w:rsidRPr="007627C3">
        <w:rPr>
          <w:b/>
          <w:bCs/>
          <w:lang w:val="en-AU"/>
        </w:rPr>
        <w:t>Shifting Customer Preferences</w:t>
      </w:r>
      <w:r w:rsidRPr="007627C3">
        <w:rPr>
          <w:lang w:val="en-AU"/>
        </w:rPr>
        <w:t xml:space="preserve"> </w:t>
      </w:r>
    </w:p>
    <w:p w14:paraId="1F11B522" w14:textId="58E450DA" w:rsidR="007627C3" w:rsidRDefault="007627C3" w:rsidP="007627C3">
      <w:pPr>
        <w:rPr>
          <w:lang w:val="en-AU"/>
        </w:rPr>
      </w:pPr>
      <w:r w:rsidRPr="007627C3">
        <w:rPr>
          <w:lang w:val="en-AU"/>
        </w:rPr>
        <w:t xml:space="preserve">Besides </w:t>
      </w:r>
      <w:r w:rsidR="003302B7">
        <w:rPr>
          <w:lang w:val="en-AU"/>
        </w:rPr>
        <w:t xml:space="preserve">the </w:t>
      </w:r>
      <w:r w:rsidRPr="007627C3">
        <w:rPr>
          <w:lang w:val="en-AU"/>
        </w:rPr>
        <w:t xml:space="preserve">pandemic impact, consumer preferences now orient towards greater value, </w:t>
      </w:r>
      <w:proofErr w:type="gramStart"/>
      <w:r w:rsidRPr="007627C3">
        <w:rPr>
          <w:lang w:val="en-AU"/>
        </w:rPr>
        <w:t>flexibility</w:t>
      </w:r>
      <w:proofErr w:type="gramEnd"/>
      <w:r w:rsidRPr="007627C3">
        <w:rPr>
          <w:lang w:val="en-AU"/>
        </w:rPr>
        <w:t xml:space="preserve"> and wellness priorities in leisure trips. Travellers seek authentic cultural immersion, eco-conscious </w:t>
      </w:r>
      <w:proofErr w:type="gramStart"/>
      <w:r w:rsidRPr="007627C3">
        <w:rPr>
          <w:lang w:val="en-AU"/>
        </w:rPr>
        <w:t>options</w:t>
      </w:r>
      <w:proofErr w:type="gramEnd"/>
      <w:r w:rsidRPr="007627C3">
        <w:rPr>
          <w:lang w:val="en-AU"/>
        </w:rPr>
        <w:t xml:space="preserve"> and more freedom to customize activities (</w:t>
      </w:r>
      <w:r w:rsidR="003302B7">
        <w:rPr>
          <w:lang w:val="en-AU"/>
        </w:rPr>
        <w:t>Smith, 2023</w:t>
      </w:r>
      <w:r w:rsidRPr="007627C3">
        <w:rPr>
          <w:lang w:val="en-AU"/>
        </w:rPr>
        <w:t>). The Seacrest Lodge’s dated luxury offerings have less appeal. Its set packages and dining do not match experience-driven demand. Customized private rentals like holiday homes have become more alluring than its standard hotel-style accommodation (</w:t>
      </w:r>
      <w:r w:rsidR="003302B7">
        <w:rPr>
          <w:lang w:val="en-AU"/>
        </w:rPr>
        <w:t>Congel et al., 2019</w:t>
      </w:r>
      <w:r w:rsidRPr="007627C3">
        <w:rPr>
          <w:lang w:val="en-AU"/>
        </w:rPr>
        <w:t>). Unless the Lodge reinvents its proposition, it cannot attract today’s vacationers.</w:t>
      </w:r>
    </w:p>
    <w:p w14:paraId="3DA9B691" w14:textId="77777777" w:rsidR="00D90DD2" w:rsidRPr="007627C3" w:rsidRDefault="00D90DD2" w:rsidP="007627C3">
      <w:pPr>
        <w:rPr>
          <w:lang w:val="en-AU"/>
        </w:rPr>
      </w:pPr>
    </w:p>
    <w:p w14:paraId="433E016D" w14:textId="77777777" w:rsidR="007627C3" w:rsidRDefault="007627C3" w:rsidP="007627C3">
      <w:pPr>
        <w:rPr>
          <w:lang w:val="en-AU"/>
        </w:rPr>
      </w:pPr>
      <w:r w:rsidRPr="007627C3">
        <w:rPr>
          <w:b/>
          <w:bCs/>
          <w:lang w:val="en-AU"/>
        </w:rPr>
        <w:t>Property Maintenance Challenges</w:t>
      </w:r>
      <w:r w:rsidRPr="007627C3">
        <w:rPr>
          <w:lang w:val="en-AU"/>
        </w:rPr>
        <w:t xml:space="preserve"> </w:t>
      </w:r>
    </w:p>
    <w:p w14:paraId="3229EE59" w14:textId="05241E6B" w:rsidR="00D90DD2" w:rsidRPr="007627C3" w:rsidRDefault="007627C3" w:rsidP="007627C3">
      <w:pPr>
        <w:rPr>
          <w:lang w:val="en-AU"/>
        </w:rPr>
      </w:pPr>
      <w:r w:rsidRPr="007627C3">
        <w:rPr>
          <w:lang w:val="en-AU"/>
        </w:rPr>
        <w:t xml:space="preserve">Per customer reviews, the Seacrest Lodge’s </w:t>
      </w:r>
      <w:r w:rsidR="00240EDA">
        <w:rPr>
          <w:lang w:val="en-AU"/>
        </w:rPr>
        <w:t>ageing</w:t>
      </w:r>
      <w:r w:rsidRPr="007627C3">
        <w:rPr>
          <w:lang w:val="en-AU"/>
        </w:rPr>
        <w:t xml:space="preserve"> property and amenities require investment. Outdated room décor and fixtures were highlighted. With newer competing resorts in the vicinity providing modern, luxury features, dissatisfaction arose on perceived value for money. Poor maintenance also has </w:t>
      </w:r>
      <w:r>
        <w:rPr>
          <w:lang w:val="en-AU"/>
        </w:rPr>
        <w:t xml:space="preserve">an </w:t>
      </w:r>
      <w:r w:rsidRPr="007627C3">
        <w:rPr>
          <w:lang w:val="en-AU"/>
        </w:rPr>
        <w:t>operational impact regarding higher utility and repair costs. Without upgrading its infrastructure and ambience, both guest satisfaction and profit margins suffer (</w:t>
      </w:r>
      <w:proofErr w:type="spellStart"/>
      <w:r w:rsidR="008B49C6">
        <w:rPr>
          <w:lang w:val="en-AU"/>
        </w:rPr>
        <w:t>Bisui</w:t>
      </w:r>
      <w:proofErr w:type="spellEnd"/>
      <w:r w:rsidR="008B49C6">
        <w:rPr>
          <w:lang w:val="en-AU"/>
        </w:rPr>
        <w:t xml:space="preserve"> et al.</w:t>
      </w:r>
      <w:r w:rsidRPr="007627C3">
        <w:rPr>
          <w:lang w:val="en-AU"/>
        </w:rPr>
        <w:t>, 2022).</w:t>
      </w:r>
    </w:p>
    <w:p w14:paraId="18127969" w14:textId="77777777" w:rsidR="007627C3" w:rsidRDefault="007627C3" w:rsidP="007627C3">
      <w:pPr>
        <w:rPr>
          <w:lang w:val="en-AU"/>
        </w:rPr>
      </w:pPr>
      <w:r w:rsidRPr="007627C3">
        <w:rPr>
          <w:b/>
          <w:bCs/>
          <w:lang w:val="en-AU"/>
        </w:rPr>
        <w:t>Management</w:t>
      </w:r>
      <w:r w:rsidRPr="007627C3">
        <w:rPr>
          <w:lang w:val="en-AU"/>
        </w:rPr>
        <w:t xml:space="preserve"> </w:t>
      </w:r>
      <w:r w:rsidRPr="007627C3">
        <w:rPr>
          <w:b/>
          <w:bCs/>
          <w:lang w:val="en-AU"/>
        </w:rPr>
        <w:t>Inefficiencies</w:t>
      </w:r>
      <w:r w:rsidRPr="007627C3">
        <w:rPr>
          <w:lang w:val="en-AU"/>
        </w:rPr>
        <w:t xml:space="preserve"> </w:t>
      </w:r>
    </w:p>
    <w:p w14:paraId="5532132B" w14:textId="32CDA58E" w:rsidR="00D90DD2" w:rsidRPr="007627C3" w:rsidRDefault="007627C3" w:rsidP="007627C3">
      <w:pPr>
        <w:rPr>
          <w:lang w:val="en-AU"/>
        </w:rPr>
      </w:pPr>
      <w:r w:rsidRPr="007627C3">
        <w:rPr>
          <w:lang w:val="en-AU"/>
        </w:rPr>
        <w:t>The significant rise in operating expenses while revenues declined points to potential management inefficiencies as well (</w:t>
      </w:r>
      <w:proofErr w:type="spellStart"/>
      <w:r w:rsidR="008B49C6">
        <w:rPr>
          <w:lang w:val="en-AU"/>
        </w:rPr>
        <w:t>Wheelen</w:t>
      </w:r>
      <w:proofErr w:type="spellEnd"/>
      <w:r w:rsidR="008B49C6">
        <w:rPr>
          <w:lang w:val="en-AU"/>
        </w:rPr>
        <w:t xml:space="preserve"> et al., 2018</w:t>
      </w:r>
      <w:r w:rsidRPr="007627C3">
        <w:rPr>
          <w:lang w:val="en-AU"/>
        </w:rPr>
        <w:t xml:space="preserve">). Leadership may have failed to control costs or drive demand through sales, </w:t>
      </w:r>
      <w:r>
        <w:rPr>
          <w:lang w:val="en-AU"/>
        </w:rPr>
        <w:t xml:space="preserve">and </w:t>
      </w:r>
      <w:r w:rsidRPr="007627C3">
        <w:rPr>
          <w:lang w:val="en-AU"/>
        </w:rPr>
        <w:t>marketing initiatives. Lacking innovation and effective pricing strategies also contributed to the brink of unprofitability. Tighter expense control, better marketing and strategic decision-making are imperative going forward.</w:t>
      </w:r>
    </w:p>
    <w:p w14:paraId="66ED1E8F" w14:textId="55807E4E" w:rsidR="00D04E48" w:rsidRDefault="007627C3" w:rsidP="007627C3">
      <w:pPr>
        <w:pStyle w:val="Heading1"/>
      </w:pPr>
      <w:bookmarkStart w:id="6" w:name="_Toc159460818"/>
      <w:r w:rsidRPr="007627C3">
        <w:t>Turnaround Strategy</w:t>
      </w:r>
      <w:bookmarkEnd w:id="6"/>
    </w:p>
    <w:p w14:paraId="56C5F41C" w14:textId="4C9C142C" w:rsidR="00D90DD2" w:rsidRDefault="00E533F5" w:rsidP="00E533F5">
      <w:r w:rsidRPr="00E533F5">
        <w:t>To address the declining occupancy, outdated facilities, rising costs, and debt burden, the following multi-pronged turnaround strategy is recommended:</w:t>
      </w:r>
    </w:p>
    <w:p w14:paraId="4ED63365" w14:textId="77777777" w:rsidR="00D90DD2" w:rsidRDefault="00D90DD2" w:rsidP="00E533F5"/>
    <w:p w14:paraId="617FF264" w14:textId="77777777" w:rsidR="00D90DD2" w:rsidRPr="00E533F5" w:rsidRDefault="00D90DD2" w:rsidP="00E533F5"/>
    <w:p w14:paraId="2E59E903" w14:textId="1FE2A51A" w:rsidR="00E533F5" w:rsidRPr="00D90DD2" w:rsidRDefault="00E533F5" w:rsidP="00E533F5">
      <w:pPr>
        <w:rPr>
          <w:b/>
          <w:bCs/>
          <w:lang w:val="en-AU"/>
        </w:rPr>
      </w:pPr>
      <w:r w:rsidRPr="00E533F5">
        <w:rPr>
          <w:b/>
          <w:bCs/>
          <w:lang w:val="en-AU"/>
        </w:rPr>
        <w:lastRenderedPageBreak/>
        <w:t>Upgrade Amenities and Ambiance (Financial and Customer Perspectives)</w:t>
      </w:r>
    </w:p>
    <w:p w14:paraId="4A4CEEEE" w14:textId="7FCCAC80" w:rsidR="00E533F5" w:rsidRDefault="00E533F5" w:rsidP="00E533F5">
      <w:pPr>
        <w:rPr>
          <w:lang w:val="en-AU"/>
        </w:rPr>
      </w:pPr>
      <w:r w:rsidRPr="00E533F5">
        <w:rPr>
          <w:lang w:val="en-AU"/>
        </w:rPr>
        <w:t>The insufficient capital expenditures in recent years have led to outdated and unattractive facilities, causing customer dissatisfaction and occupancy declines. Investing £75,000-£100,000 over two years in room renovations, lobby upgrades, and dining enhancements will boost appeal. It targets the feedback on dated décor and the need for a refreshed, modernized property. Though capex investments are financially intensive upfront, maintaining facility quality is imperative for positioning, RevPAR growth, and long-term profitability in hospitality</w:t>
      </w:r>
      <w:r w:rsidR="006415C9">
        <w:rPr>
          <w:lang w:val="en-AU"/>
        </w:rPr>
        <w:t xml:space="preserve"> (Vogel, 2021)</w:t>
      </w:r>
      <w:r w:rsidRPr="00E533F5">
        <w:rPr>
          <w:lang w:val="en-AU"/>
        </w:rPr>
        <w:t>.</w:t>
      </w:r>
    </w:p>
    <w:p w14:paraId="131F5FDD" w14:textId="77777777" w:rsidR="00D90DD2" w:rsidRPr="00E533F5" w:rsidRDefault="00D90DD2" w:rsidP="00E533F5">
      <w:pPr>
        <w:rPr>
          <w:lang w:val="en-AU"/>
        </w:rPr>
      </w:pPr>
    </w:p>
    <w:p w14:paraId="04770E4F" w14:textId="77777777" w:rsidR="00E533F5" w:rsidRPr="00E533F5" w:rsidRDefault="00E533F5" w:rsidP="00E533F5">
      <w:pPr>
        <w:rPr>
          <w:lang w:val="en-AU"/>
        </w:rPr>
      </w:pPr>
      <w:r w:rsidRPr="00E533F5">
        <w:rPr>
          <w:b/>
          <w:bCs/>
          <w:lang w:val="en-AU"/>
        </w:rPr>
        <w:t>Implement Revenue Management Software (Internal Process Perspective)</w:t>
      </w:r>
    </w:p>
    <w:p w14:paraId="666CAB1D" w14:textId="342EC03F" w:rsidR="00E533F5" w:rsidRDefault="00E533F5" w:rsidP="00E533F5">
      <w:pPr>
        <w:rPr>
          <w:lang w:val="en-AU"/>
        </w:rPr>
      </w:pPr>
      <w:r w:rsidRPr="00E533F5">
        <w:rPr>
          <w:lang w:val="en-AU"/>
        </w:rPr>
        <w:t>The revenue management limitations and inability to optimize pricing have resulted in plummeting RevPAR. Implementing sophisticated yield management software will enable demand-based dynamic pricing to maximize revenue</w:t>
      </w:r>
      <w:r w:rsidR="006415C9">
        <w:rPr>
          <w:lang w:val="en-AU"/>
        </w:rPr>
        <w:t xml:space="preserve"> (Ivanov et al., 2021)</w:t>
      </w:r>
      <w:r w:rsidRPr="00E533F5">
        <w:rPr>
          <w:lang w:val="en-AU"/>
        </w:rPr>
        <w:t>. Given the 35% revenue growth target by 2025, the optimized pricing and inventory control will be key to improving RevPAR and margins. Industry benchmarks show 10-15% potential RevPAR lift from implementing such systems.</w:t>
      </w:r>
    </w:p>
    <w:p w14:paraId="72081ECE" w14:textId="77777777" w:rsidR="00D90DD2" w:rsidRPr="00E533F5" w:rsidRDefault="00D90DD2" w:rsidP="00E533F5">
      <w:pPr>
        <w:rPr>
          <w:lang w:val="en-AU"/>
        </w:rPr>
      </w:pPr>
    </w:p>
    <w:p w14:paraId="71ED5D23" w14:textId="77777777" w:rsidR="00E533F5" w:rsidRPr="00E533F5" w:rsidRDefault="00E533F5" w:rsidP="00E533F5">
      <w:pPr>
        <w:rPr>
          <w:lang w:val="en-AU"/>
        </w:rPr>
      </w:pPr>
      <w:r w:rsidRPr="00E533F5">
        <w:rPr>
          <w:b/>
          <w:bCs/>
          <w:lang w:val="en-AU"/>
        </w:rPr>
        <w:t>Expand Digital Marketing and Strategic Partnerships (Customer Perspective, Learning &amp; Growth Perspective)</w:t>
      </w:r>
    </w:p>
    <w:p w14:paraId="3A1AED3E" w14:textId="55AFB0E2" w:rsidR="00E533F5" w:rsidRPr="00E533F5" w:rsidRDefault="00E533F5" w:rsidP="00E533F5">
      <w:pPr>
        <w:rPr>
          <w:lang w:val="en-AU"/>
        </w:rPr>
      </w:pPr>
      <w:r w:rsidRPr="00E533F5">
        <w:rPr>
          <w:lang w:val="en-AU"/>
        </w:rPr>
        <w:t xml:space="preserve">The lack of marketing innovation has contributed to occupancy declines as customer preferences </w:t>
      </w:r>
      <w:r w:rsidR="00D90DD2">
        <w:rPr>
          <w:lang w:val="en-AU"/>
        </w:rPr>
        <w:t xml:space="preserve">have </w:t>
      </w:r>
      <w:r w:rsidRPr="00E533F5">
        <w:rPr>
          <w:lang w:val="en-AU"/>
        </w:rPr>
        <w:t>shifted. Launching promotions on OTA platforms and targeted digital campaigns will expand awareness and convert more potential guests</w:t>
      </w:r>
      <w:r w:rsidR="006415C9">
        <w:rPr>
          <w:lang w:val="en-AU"/>
        </w:rPr>
        <w:t xml:space="preserve"> (Chaudhary, 2019)</w:t>
      </w:r>
      <w:r w:rsidRPr="00E533F5">
        <w:rPr>
          <w:lang w:val="en-AU"/>
        </w:rPr>
        <w:t>. Strategic partnerships with key OTAs, local tourism boards, and event planners can bolster sales and confer an improved brand image. By reinforcing Seacrest's renewed value proposition and competitive position, marketing is imperative to rebuild occupancy to 78% by 2025.</w:t>
      </w:r>
    </w:p>
    <w:p w14:paraId="0ABF1F8C" w14:textId="66DAEB38" w:rsidR="007627C3" w:rsidRDefault="00A10387" w:rsidP="007627C3">
      <w:pPr>
        <w:rPr>
          <w:lang w:val="en-AU"/>
        </w:rPr>
      </w:pPr>
      <w:r w:rsidRPr="00A10387">
        <w:t xml:space="preserve">Each project's financial, customer, process, and learning objectives are detailed in this turnaround strategy, which also tackles the challenges. Investments and upgrades are informed by the prior study </w:t>
      </w:r>
      <w:r>
        <w:t>to</w:t>
      </w:r>
      <w:r w:rsidRPr="00A10387">
        <w:t xml:space="preserve"> address the causes of the decline</w:t>
      </w:r>
      <w:r w:rsidR="00E533F5">
        <w:rPr>
          <w:lang w:val="en-AU"/>
        </w:rPr>
        <w:t>.</w:t>
      </w:r>
    </w:p>
    <w:p w14:paraId="4446FDAE" w14:textId="77777777" w:rsidR="00D90DD2" w:rsidRDefault="00D90DD2" w:rsidP="007627C3">
      <w:pPr>
        <w:rPr>
          <w:lang w:val="en-AU"/>
        </w:rPr>
      </w:pPr>
    </w:p>
    <w:p w14:paraId="05C70F55" w14:textId="77777777" w:rsidR="00D90DD2" w:rsidRDefault="00D90DD2" w:rsidP="007627C3">
      <w:pPr>
        <w:rPr>
          <w:lang w:val="en-AU"/>
        </w:rPr>
      </w:pPr>
    </w:p>
    <w:p w14:paraId="2B4EB28A" w14:textId="77777777" w:rsidR="00D90DD2" w:rsidRPr="007627C3" w:rsidRDefault="00D90DD2" w:rsidP="007627C3">
      <w:pPr>
        <w:rPr>
          <w:lang w:val="en-AU"/>
        </w:rPr>
      </w:pPr>
    </w:p>
    <w:p w14:paraId="66621479" w14:textId="628D10D9" w:rsidR="007627C3" w:rsidRDefault="007627C3" w:rsidP="007627C3">
      <w:pPr>
        <w:pStyle w:val="Heading1"/>
        <w:rPr>
          <w:lang w:val="en-AU"/>
        </w:rPr>
      </w:pPr>
      <w:bookmarkStart w:id="7" w:name="_Toc159460819"/>
      <w:r>
        <w:rPr>
          <w:lang w:val="en-AU"/>
        </w:rPr>
        <w:t>Conclusion</w:t>
      </w:r>
      <w:bookmarkEnd w:id="7"/>
    </w:p>
    <w:p w14:paraId="6ECCFFE9" w14:textId="53B3A26D" w:rsidR="00F81696" w:rsidRPr="00F81696" w:rsidRDefault="00A10387" w:rsidP="00F81696">
      <w:pPr>
        <w:rPr>
          <w:lang w:val="en-AU"/>
        </w:rPr>
      </w:pPr>
      <w:r>
        <w:t>In conclusion, a</w:t>
      </w:r>
      <w:r w:rsidRPr="00A10387">
        <w:t xml:space="preserve">fter years of bad leadership, funding, and adaptation, the Seacrest Lodge is in trouble. Its financial situation is strained by dwindling occupancy, ageing infrastructure, rising debt, and declining profitability. We can fix things if we act quickly and decisively. A holistic approach that optimises processes, repositions the company, enhances assets, and reorganises finances can boost performance. This includes revamping products and services, reducing expenses, renegotiating debt, and building infrastructure. Remodelling buildings, improving revenue management, increasing marketing, and raising </w:t>
      </w:r>
      <w:r w:rsidR="0029003C">
        <w:t>finances</w:t>
      </w:r>
      <w:r w:rsidRPr="00A10387">
        <w:t xml:space="preserve"> may help the Seacrest Lodge reduce debt and make a profit again. The Seacrest Lodge might become a top beach resort again with proper planning and implementation. But we must act quickly before things worsen</w:t>
      </w:r>
      <w:r w:rsidR="00F81696" w:rsidRPr="00F81696">
        <w:t>.</w:t>
      </w:r>
    </w:p>
    <w:p w14:paraId="44F3999B" w14:textId="4CA77C9B" w:rsidR="00240EDA" w:rsidRDefault="000A399A" w:rsidP="001E66EB">
      <w:pPr>
        <w:pStyle w:val="Heading1"/>
        <w:tabs>
          <w:tab w:val="left" w:pos="1965"/>
        </w:tabs>
      </w:pPr>
      <w:r>
        <w:br w:type="column"/>
      </w:r>
      <w:bookmarkStart w:id="8" w:name="_Toc159460820"/>
      <w:r w:rsidR="008B49C6">
        <w:lastRenderedPageBreak/>
        <w:t>References</w:t>
      </w:r>
      <w:bookmarkEnd w:id="8"/>
      <w:r w:rsidR="001E66EB">
        <w:tab/>
      </w:r>
    </w:p>
    <w:p w14:paraId="0BFBA8AA" w14:textId="77777777" w:rsidR="006415C9" w:rsidRPr="006415C9" w:rsidRDefault="006415C9" w:rsidP="006415C9">
      <w:pPr>
        <w:tabs>
          <w:tab w:val="left" w:pos="7890"/>
        </w:tabs>
        <w:ind w:left="567" w:hanging="567"/>
      </w:pPr>
      <w:proofErr w:type="spellStart"/>
      <w:r w:rsidRPr="006415C9">
        <w:t>Alshatti</w:t>
      </w:r>
      <w:proofErr w:type="spellEnd"/>
      <w:r w:rsidRPr="006415C9">
        <w:t>, A.S., (2015). The effect of the liquidity management on profitability in the Jordanian commercial banks. </w:t>
      </w:r>
      <w:r w:rsidRPr="006415C9">
        <w:rPr>
          <w:i/>
          <w:iCs/>
        </w:rPr>
        <w:t>International journal of business and management</w:t>
      </w:r>
      <w:r w:rsidRPr="006415C9">
        <w:t>, </w:t>
      </w:r>
      <w:r w:rsidRPr="006415C9">
        <w:rPr>
          <w:i/>
          <w:iCs/>
        </w:rPr>
        <w:t>10</w:t>
      </w:r>
      <w:r w:rsidRPr="006415C9">
        <w:t>(1), p.62.</w:t>
      </w:r>
    </w:p>
    <w:p w14:paraId="50822DF7" w14:textId="77777777" w:rsidR="006415C9" w:rsidRPr="006415C9" w:rsidRDefault="006415C9" w:rsidP="006415C9">
      <w:pPr>
        <w:tabs>
          <w:tab w:val="left" w:pos="7890"/>
        </w:tabs>
        <w:ind w:left="567" w:hanging="567"/>
      </w:pPr>
      <w:proofErr w:type="spellStart"/>
      <w:r w:rsidRPr="006415C9">
        <w:t>Bisui</w:t>
      </w:r>
      <w:proofErr w:type="spellEnd"/>
      <w:r w:rsidRPr="006415C9">
        <w:t xml:space="preserve">, R., </w:t>
      </w:r>
      <w:proofErr w:type="spellStart"/>
      <w:r w:rsidRPr="006415C9">
        <w:t>Uniyal</w:t>
      </w:r>
      <w:proofErr w:type="spellEnd"/>
      <w:r w:rsidRPr="006415C9">
        <w:t>, M.C. and Sharma, N., (2022, May). A systematic review of papers on guest satisfaction practices in food &amp; beverage service department and its impact on customer satisfaction and retention. In </w:t>
      </w:r>
      <w:r w:rsidRPr="006415C9">
        <w:rPr>
          <w:i/>
          <w:iCs/>
        </w:rPr>
        <w:t>AIP Conference Proceedings</w:t>
      </w:r>
      <w:r w:rsidRPr="006415C9">
        <w:t> (Vol. 2393, No. 1). AIP Publishing.</w:t>
      </w:r>
    </w:p>
    <w:p w14:paraId="2D2A3D04" w14:textId="77777777" w:rsidR="006415C9" w:rsidRDefault="006415C9" w:rsidP="006415C9">
      <w:pPr>
        <w:tabs>
          <w:tab w:val="left" w:pos="7890"/>
        </w:tabs>
        <w:ind w:left="567" w:hanging="567"/>
      </w:pPr>
      <w:r w:rsidRPr="006415C9">
        <w:t xml:space="preserve">Chaudhary, D., </w:t>
      </w:r>
      <w:r>
        <w:t>(</w:t>
      </w:r>
      <w:r w:rsidRPr="006415C9">
        <w:t>2019</w:t>
      </w:r>
      <w:r>
        <w:t>)</w:t>
      </w:r>
      <w:r w:rsidRPr="006415C9">
        <w:t>. </w:t>
      </w:r>
      <w:r w:rsidRPr="006415C9">
        <w:rPr>
          <w:i/>
          <w:iCs/>
        </w:rPr>
        <w:t>Digital Marketing Tactics &amp; Strategies for Hotel Industry-To Convert Third Party Business to Direct Channel</w:t>
      </w:r>
      <w:r w:rsidRPr="006415C9">
        <w:t> (Doctoral dissertation).</w:t>
      </w:r>
    </w:p>
    <w:p w14:paraId="48738597" w14:textId="77777777" w:rsidR="006415C9" w:rsidRPr="006415C9" w:rsidRDefault="006415C9" w:rsidP="006415C9">
      <w:pPr>
        <w:tabs>
          <w:tab w:val="left" w:pos="7890"/>
        </w:tabs>
        <w:ind w:left="567" w:hanging="567"/>
      </w:pPr>
      <w:r w:rsidRPr="006415C9">
        <w:t xml:space="preserve">Congel, S., Clark, K. and </w:t>
      </w:r>
      <w:proofErr w:type="spellStart"/>
      <w:r w:rsidRPr="006415C9">
        <w:t>Cizeau</w:t>
      </w:r>
      <w:proofErr w:type="spellEnd"/>
      <w:r w:rsidRPr="006415C9">
        <w:t>, M., (2019). How Three Millennials Revolutionized a Global Industry.</w:t>
      </w:r>
    </w:p>
    <w:p w14:paraId="3B7DA2A3" w14:textId="77777777" w:rsidR="00707409" w:rsidRDefault="006415C9" w:rsidP="00707409">
      <w:pPr>
        <w:tabs>
          <w:tab w:val="left" w:pos="7890"/>
        </w:tabs>
        <w:ind w:left="567" w:hanging="567"/>
        <w:rPr>
          <w:lang w:val="en-AU"/>
        </w:rPr>
      </w:pPr>
      <w:r w:rsidRPr="006415C9">
        <w:t>Conlon, T., Cotter, J. and Molyneux, P., (2020). Beyond common equity: The influence of secondary capital on bank insolvency risk. </w:t>
      </w:r>
      <w:r w:rsidRPr="006415C9">
        <w:rPr>
          <w:i/>
          <w:iCs/>
        </w:rPr>
        <w:t>Journal of Financial Stability</w:t>
      </w:r>
      <w:r w:rsidRPr="006415C9">
        <w:t>, </w:t>
      </w:r>
      <w:r w:rsidRPr="006415C9">
        <w:rPr>
          <w:i/>
          <w:iCs/>
        </w:rPr>
        <w:t>47</w:t>
      </w:r>
      <w:r w:rsidRPr="006415C9">
        <w:t>, p.100732.</w:t>
      </w:r>
    </w:p>
    <w:p w14:paraId="209B4DE4" w14:textId="5FE6FCD0" w:rsidR="006415C9" w:rsidRPr="006415C9" w:rsidRDefault="006415C9" w:rsidP="00707409">
      <w:pPr>
        <w:tabs>
          <w:tab w:val="left" w:pos="7890"/>
        </w:tabs>
        <w:ind w:left="567" w:hanging="567"/>
        <w:rPr>
          <w:lang w:val="en-AU"/>
        </w:rPr>
      </w:pPr>
      <w:r w:rsidRPr="006415C9">
        <w:rPr>
          <w:lang w:val="en-AU"/>
        </w:rPr>
        <w:t>Drury, C., (2021). Management and Cost Accounting. 11th ed. London: Prentice Hall.</w:t>
      </w:r>
    </w:p>
    <w:p w14:paraId="0107F3A2" w14:textId="77777777" w:rsidR="006415C9" w:rsidRPr="006415C9" w:rsidRDefault="006415C9" w:rsidP="006415C9">
      <w:pPr>
        <w:tabs>
          <w:tab w:val="left" w:pos="7890"/>
        </w:tabs>
        <w:ind w:left="567" w:hanging="567"/>
      </w:pPr>
      <w:r w:rsidRPr="006415C9">
        <w:t xml:space="preserve">Dube, K., </w:t>
      </w:r>
      <w:proofErr w:type="spellStart"/>
      <w:r w:rsidRPr="006415C9">
        <w:t>Nhamo</w:t>
      </w:r>
      <w:proofErr w:type="spellEnd"/>
      <w:r w:rsidRPr="006415C9">
        <w:t xml:space="preserve">, G. and </w:t>
      </w:r>
      <w:proofErr w:type="spellStart"/>
      <w:r w:rsidRPr="006415C9">
        <w:t>Chikodzi</w:t>
      </w:r>
      <w:proofErr w:type="spellEnd"/>
      <w:r w:rsidRPr="006415C9">
        <w:t xml:space="preserve">, D., (2021). COVID-19 </w:t>
      </w:r>
      <w:proofErr w:type="gramStart"/>
      <w:r w:rsidRPr="006415C9">
        <w:t>cripples</w:t>
      </w:r>
      <w:proofErr w:type="gramEnd"/>
      <w:r w:rsidRPr="006415C9">
        <w:t xml:space="preserve"> global restaurant and hospitality industry. </w:t>
      </w:r>
      <w:r w:rsidRPr="006415C9">
        <w:rPr>
          <w:i/>
          <w:iCs/>
        </w:rPr>
        <w:t>Current Issues in Tourism</w:t>
      </w:r>
      <w:r w:rsidRPr="006415C9">
        <w:t>, </w:t>
      </w:r>
      <w:r w:rsidRPr="006415C9">
        <w:rPr>
          <w:i/>
          <w:iCs/>
        </w:rPr>
        <w:t>24</w:t>
      </w:r>
      <w:r w:rsidRPr="006415C9">
        <w:t>(11), pp.1487-1490.</w:t>
      </w:r>
    </w:p>
    <w:p w14:paraId="291A2C20" w14:textId="77777777" w:rsidR="006415C9" w:rsidRPr="006415C9" w:rsidRDefault="006415C9" w:rsidP="006415C9">
      <w:pPr>
        <w:tabs>
          <w:tab w:val="left" w:pos="7890"/>
        </w:tabs>
        <w:ind w:left="567" w:hanging="567"/>
      </w:pPr>
      <w:proofErr w:type="spellStart"/>
      <w:r w:rsidRPr="006415C9">
        <w:t>Hyseni</w:t>
      </w:r>
      <w:proofErr w:type="spellEnd"/>
      <w:r w:rsidRPr="006415C9">
        <w:t>, B., Abid, M. and Nadda, V., (2018). Tourism Potential and Future Implications of Airbnb in Lake District National Park, UK. </w:t>
      </w:r>
      <w:r w:rsidRPr="006415C9">
        <w:rPr>
          <w:i/>
          <w:iCs/>
        </w:rPr>
        <w:t>International Journal of Entrepreneurship Management Innovation and Development</w:t>
      </w:r>
      <w:r w:rsidRPr="006415C9">
        <w:t>, </w:t>
      </w:r>
      <w:r w:rsidRPr="006415C9">
        <w:rPr>
          <w:i/>
          <w:iCs/>
        </w:rPr>
        <w:t>1</w:t>
      </w:r>
      <w:r w:rsidRPr="006415C9">
        <w:t>(1), pp.127-162.</w:t>
      </w:r>
    </w:p>
    <w:p w14:paraId="6C1B89C9" w14:textId="77777777" w:rsidR="006415C9" w:rsidRPr="006415C9" w:rsidRDefault="006415C9" w:rsidP="006415C9">
      <w:pPr>
        <w:tabs>
          <w:tab w:val="left" w:pos="7890"/>
        </w:tabs>
        <w:ind w:left="567" w:hanging="567"/>
      </w:pPr>
      <w:r w:rsidRPr="006415C9">
        <w:t xml:space="preserve">Ivanov, D., </w:t>
      </w:r>
      <w:proofErr w:type="spellStart"/>
      <w:r w:rsidRPr="006415C9">
        <w:t>Tsipoulanidis</w:t>
      </w:r>
      <w:proofErr w:type="spellEnd"/>
      <w:r w:rsidRPr="006415C9">
        <w:t xml:space="preserve">, A., </w:t>
      </w:r>
      <w:proofErr w:type="spellStart"/>
      <w:r w:rsidRPr="006415C9">
        <w:t>Schönberger</w:t>
      </w:r>
      <w:proofErr w:type="spellEnd"/>
      <w:r w:rsidRPr="006415C9">
        <w:t xml:space="preserve">, J., Ivanov, D., </w:t>
      </w:r>
      <w:proofErr w:type="spellStart"/>
      <w:r w:rsidRPr="006415C9">
        <w:t>Tsipoulanidis</w:t>
      </w:r>
      <w:proofErr w:type="spellEnd"/>
      <w:r w:rsidRPr="006415C9">
        <w:t xml:space="preserve">, A. and </w:t>
      </w:r>
      <w:proofErr w:type="spellStart"/>
      <w:r w:rsidRPr="006415C9">
        <w:t>Schönberger</w:t>
      </w:r>
      <w:proofErr w:type="spellEnd"/>
      <w:r w:rsidRPr="006415C9">
        <w:t>, J., (2021). Yield Management. </w:t>
      </w:r>
      <w:r w:rsidRPr="006415C9">
        <w:rPr>
          <w:i/>
          <w:iCs/>
        </w:rPr>
        <w:t>Global Supply Chain and Operations Management: A Decision-Oriented Introduction to the Creation of Value</w:t>
      </w:r>
      <w:r w:rsidRPr="006415C9">
        <w:t>, pp.625-658.</w:t>
      </w:r>
    </w:p>
    <w:p w14:paraId="7781D845" w14:textId="77777777" w:rsidR="006415C9" w:rsidRDefault="006415C9" w:rsidP="006415C9">
      <w:pPr>
        <w:tabs>
          <w:tab w:val="left" w:pos="7890"/>
        </w:tabs>
        <w:ind w:left="567" w:hanging="567"/>
      </w:pPr>
      <w:r w:rsidRPr="001E66EB">
        <w:t xml:space="preserve">Law, V.T., </w:t>
      </w:r>
      <w:proofErr w:type="spellStart"/>
      <w:r w:rsidRPr="001E66EB">
        <w:t>Tavitiyaman</w:t>
      </w:r>
      <w:proofErr w:type="spellEnd"/>
      <w:r w:rsidRPr="001E66EB">
        <w:t xml:space="preserve">, P. and Zhang, H.Q., </w:t>
      </w:r>
      <w:r>
        <w:t>(</w:t>
      </w:r>
      <w:r w:rsidRPr="001E66EB">
        <w:t>2015</w:t>
      </w:r>
      <w:r>
        <w:t>)</w:t>
      </w:r>
      <w:r w:rsidRPr="001E66EB">
        <w:t>. An analysis of industry forces, strategic implementation, and performance: Evidence from state-owned hotels in China. </w:t>
      </w:r>
      <w:r w:rsidRPr="001E66EB">
        <w:rPr>
          <w:i/>
          <w:iCs/>
        </w:rPr>
        <w:t>Journal of China Tourism Research</w:t>
      </w:r>
      <w:r w:rsidRPr="001E66EB">
        <w:t>, </w:t>
      </w:r>
      <w:r w:rsidRPr="001E66EB">
        <w:rPr>
          <w:i/>
          <w:iCs/>
        </w:rPr>
        <w:t>11</w:t>
      </w:r>
      <w:r w:rsidRPr="001E66EB">
        <w:t>(3), pp.315-336.</w:t>
      </w:r>
    </w:p>
    <w:p w14:paraId="4B52B50B" w14:textId="77777777" w:rsidR="006415C9" w:rsidRPr="006415C9" w:rsidRDefault="006415C9" w:rsidP="006415C9">
      <w:pPr>
        <w:tabs>
          <w:tab w:val="left" w:pos="7890"/>
        </w:tabs>
        <w:ind w:left="567" w:hanging="567"/>
      </w:pPr>
      <w:r w:rsidRPr="006415C9">
        <w:t>Leoni, V. and Nilsson, W., (2021). Dynamic pricing and revenues of Airbnb listings: Estimating heterogeneous causal effects. </w:t>
      </w:r>
      <w:r w:rsidRPr="006415C9">
        <w:rPr>
          <w:i/>
          <w:iCs/>
        </w:rPr>
        <w:t>International Journal of Hospitality Management</w:t>
      </w:r>
      <w:r w:rsidRPr="006415C9">
        <w:t>, </w:t>
      </w:r>
      <w:r w:rsidRPr="006415C9">
        <w:rPr>
          <w:i/>
          <w:iCs/>
        </w:rPr>
        <w:t>95</w:t>
      </w:r>
      <w:r w:rsidRPr="006415C9">
        <w:t>, p.102914.</w:t>
      </w:r>
    </w:p>
    <w:p w14:paraId="3EF84914" w14:textId="77777777" w:rsidR="006415C9" w:rsidRPr="006415C9" w:rsidRDefault="006415C9" w:rsidP="006415C9">
      <w:pPr>
        <w:tabs>
          <w:tab w:val="left" w:pos="7890"/>
        </w:tabs>
        <w:ind w:left="567" w:hanging="567"/>
      </w:pPr>
      <w:proofErr w:type="spellStart"/>
      <w:r w:rsidRPr="006415C9">
        <w:t>Sadgrove</w:t>
      </w:r>
      <w:proofErr w:type="spellEnd"/>
      <w:r w:rsidRPr="006415C9">
        <w:t>, K., (2016). </w:t>
      </w:r>
      <w:r w:rsidRPr="006415C9">
        <w:rPr>
          <w:i/>
          <w:iCs/>
        </w:rPr>
        <w:t>The complete guide to business risk management</w:t>
      </w:r>
      <w:r w:rsidRPr="006415C9">
        <w:t>. Routledge.</w:t>
      </w:r>
    </w:p>
    <w:p w14:paraId="56185530" w14:textId="77777777" w:rsidR="006415C9" w:rsidRDefault="006415C9" w:rsidP="006415C9">
      <w:pPr>
        <w:tabs>
          <w:tab w:val="left" w:pos="7890"/>
        </w:tabs>
        <w:ind w:left="567" w:hanging="567"/>
        <w:rPr>
          <w:lang w:val="en-AU"/>
        </w:rPr>
      </w:pPr>
      <w:r w:rsidRPr="001E66EB">
        <w:rPr>
          <w:lang w:val="en-AU"/>
        </w:rPr>
        <w:lastRenderedPageBreak/>
        <w:t>Seal, W., (2019). Management Accounting. 6th ed. London: McGraw Hill.</w:t>
      </w:r>
    </w:p>
    <w:p w14:paraId="7E88F2DE" w14:textId="77777777" w:rsidR="006415C9" w:rsidRPr="006415C9" w:rsidRDefault="006415C9" w:rsidP="006415C9">
      <w:pPr>
        <w:tabs>
          <w:tab w:val="left" w:pos="7890"/>
        </w:tabs>
        <w:ind w:left="567" w:hanging="567"/>
      </w:pPr>
      <w:r w:rsidRPr="006415C9">
        <w:t>Smith, C.J., (2023). </w:t>
      </w:r>
      <w:r w:rsidRPr="006415C9">
        <w:rPr>
          <w:i/>
          <w:iCs/>
        </w:rPr>
        <w:t xml:space="preserve">Greening the Getaway: Designing a Luxury Resort for the Eco-Conscious </w:t>
      </w:r>
      <w:proofErr w:type="spellStart"/>
      <w:r w:rsidRPr="006415C9">
        <w:rPr>
          <w:i/>
          <w:iCs/>
        </w:rPr>
        <w:t>Traveler</w:t>
      </w:r>
      <w:proofErr w:type="spellEnd"/>
      <w:r w:rsidRPr="006415C9">
        <w:t> (Doctoral dissertation, University of Maryland, College Park).</w:t>
      </w:r>
    </w:p>
    <w:p w14:paraId="66DA2615" w14:textId="77777777" w:rsidR="006415C9" w:rsidRPr="006415C9" w:rsidRDefault="006415C9" w:rsidP="006415C9">
      <w:pPr>
        <w:tabs>
          <w:tab w:val="left" w:pos="7890"/>
        </w:tabs>
        <w:ind w:left="567" w:hanging="567"/>
      </w:pPr>
      <w:r w:rsidRPr="006415C9">
        <w:t xml:space="preserve">Turner, J., Broom, K., Elliott, </w:t>
      </w:r>
      <w:proofErr w:type="gramStart"/>
      <w:r w:rsidRPr="006415C9">
        <w:t>M.</w:t>
      </w:r>
      <w:proofErr w:type="gramEnd"/>
      <w:r w:rsidRPr="006415C9">
        <w:t xml:space="preserve"> and Lee, J.F., (2015). A decomposition of hospital profitability: An application of DuPont analysis to the US market. </w:t>
      </w:r>
      <w:r w:rsidRPr="006415C9">
        <w:rPr>
          <w:i/>
          <w:iCs/>
        </w:rPr>
        <w:t>Health Services Research and Managerial Epidemiology</w:t>
      </w:r>
      <w:r w:rsidRPr="006415C9">
        <w:t>, </w:t>
      </w:r>
      <w:r w:rsidRPr="006415C9">
        <w:rPr>
          <w:i/>
          <w:iCs/>
        </w:rPr>
        <w:t>2</w:t>
      </w:r>
      <w:r w:rsidRPr="006415C9">
        <w:t>, p.2333392815590397.</w:t>
      </w:r>
    </w:p>
    <w:p w14:paraId="59F3E226" w14:textId="77777777" w:rsidR="006415C9" w:rsidRPr="006415C9" w:rsidRDefault="006415C9" w:rsidP="006415C9">
      <w:pPr>
        <w:tabs>
          <w:tab w:val="left" w:pos="7890"/>
        </w:tabs>
        <w:ind w:left="567" w:hanging="567"/>
      </w:pPr>
      <w:r w:rsidRPr="006415C9">
        <w:t>Vogel, H.L., (2021). Hotels. </w:t>
      </w:r>
      <w:r w:rsidRPr="006415C9">
        <w:rPr>
          <w:i/>
          <w:iCs/>
        </w:rPr>
        <w:t>Travel Industry Economics: A Guide for Financial Analysis</w:t>
      </w:r>
      <w:r w:rsidRPr="006415C9">
        <w:t>, pp.191-242.</w:t>
      </w:r>
    </w:p>
    <w:p w14:paraId="7C37A291" w14:textId="77777777" w:rsidR="006415C9" w:rsidRDefault="006415C9" w:rsidP="006415C9">
      <w:pPr>
        <w:tabs>
          <w:tab w:val="left" w:pos="7890"/>
        </w:tabs>
        <w:ind w:left="567" w:hanging="567"/>
        <w:rPr>
          <w:lang w:val="en-AU"/>
        </w:rPr>
      </w:pPr>
      <w:r w:rsidRPr="001E66EB">
        <w:rPr>
          <w:lang w:val="en-AU"/>
        </w:rPr>
        <w:t>Walker, J., (2021). Introduction to Hospitality. Harlow: Pearson.</w:t>
      </w:r>
    </w:p>
    <w:p w14:paraId="7D64A1EA" w14:textId="77777777" w:rsidR="006415C9" w:rsidRPr="00240EDA" w:rsidRDefault="006415C9" w:rsidP="006415C9">
      <w:pPr>
        <w:tabs>
          <w:tab w:val="left" w:pos="7890"/>
        </w:tabs>
        <w:ind w:left="567" w:hanging="567"/>
      </w:pPr>
      <w:proofErr w:type="spellStart"/>
      <w:r w:rsidRPr="006415C9">
        <w:t>Wheelen</w:t>
      </w:r>
      <w:proofErr w:type="spellEnd"/>
      <w:r w:rsidRPr="006415C9">
        <w:t>, T.L., Hunger, J.D., Hoffman, A.N. and Bamford, C.E., (2018). </w:t>
      </w:r>
      <w:r w:rsidRPr="006415C9">
        <w:rPr>
          <w:i/>
          <w:iCs/>
        </w:rPr>
        <w:t>Strategic management and business policy: Globalization, innovation, and sustainability</w:t>
      </w:r>
      <w:r w:rsidRPr="006415C9">
        <w:t xml:space="preserve">. </w:t>
      </w:r>
      <w:proofErr w:type="spellStart"/>
      <w:r w:rsidRPr="006415C9">
        <w:t>pearson</w:t>
      </w:r>
      <w:proofErr w:type="spellEnd"/>
      <w:r w:rsidRPr="006415C9">
        <w:t>.</w:t>
      </w:r>
    </w:p>
    <w:p w14:paraId="2DF33977" w14:textId="77777777" w:rsidR="007627C3" w:rsidRPr="007627C3" w:rsidRDefault="007627C3" w:rsidP="007627C3">
      <w:pPr>
        <w:rPr>
          <w:lang w:val="en-AU"/>
        </w:rPr>
      </w:pPr>
    </w:p>
    <w:p w14:paraId="37400568" w14:textId="77777777" w:rsidR="00D04E48" w:rsidRPr="00F87B8B" w:rsidRDefault="00D04E48" w:rsidP="00F87B8B"/>
    <w:sectPr w:rsidR="00D04E48" w:rsidRPr="00F87B8B" w:rsidSect="00D31F19">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BC1ED" w14:textId="77777777" w:rsidR="00D31F19" w:rsidRDefault="00D31F19" w:rsidP="000A399A">
      <w:pPr>
        <w:spacing w:after="0" w:line="240" w:lineRule="auto"/>
      </w:pPr>
      <w:r>
        <w:separator/>
      </w:r>
    </w:p>
  </w:endnote>
  <w:endnote w:type="continuationSeparator" w:id="0">
    <w:p w14:paraId="6B88465E" w14:textId="77777777" w:rsidR="00D31F19" w:rsidRDefault="00D31F19" w:rsidP="000A39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B0159" w14:textId="790A63A5" w:rsidR="000A399A" w:rsidRDefault="000A399A">
    <w:pPr>
      <w:pStyle w:val="Footer"/>
      <w:jc w:val="center"/>
    </w:pPr>
  </w:p>
  <w:p w14:paraId="39DEDF53" w14:textId="77777777" w:rsidR="000A399A" w:rsidRDefault="000A39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056732"/>
      <w:docPartObj>
        <w:docPartGallery w:val="Page Numbers (Bottom of Page)"/>
        <w:docPartUnique/>
      </w:docPartObj>
    </w:sdtPr>
    <w:sdtEndPr>
      <w:rPr>
        <w:noProof/>
      </w:rPr>
    </w:sdtEndPr>
    <w:sdtContent>
      <w:p w14:paraId="667A7518" w14:textId="77777777" w:rsidR="000A399A" w:rsidRDefault="000A39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EB1880" w14:textId="77777777" w:rsidR="000A399A" w:rsidRDefault="000A39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10753" w14:textId="77777777" w:rsidR="00D31F19" w:rsidRDefault="00D31F19" w:rsidP="000A399A">
      <w:pPr>
        <w:spacing w:after="0" w:line="240" w:lineRule="auto"/>
      </w:pPr>
      <w:r>
        <w:separator/>
      </w:r>
    </w:p>
  </w:footnote>
  <w:footnote w:type="continuationSeparator" w:id="0">
    <w:p w14:paraId="6A3C87A0" w14:textId="77777777" w:rsidR="00D31F19" w:rsidRDefault="00D31F19" w:rsidP="000A39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B589C"/>
    <w:multiLevelType w:val="hybridMultilevel"/>
    <w:tmpl w:val="25520EA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411166F1"/>
    <w:multiLevelType w:val="hybridMultilevel"/>
    <w:tmpl w:val="1478812C"/>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4F536AEE"/>
    <w:multiLevelType w:val="hybridMultilevel"/>
    <w:tmpl w:val="DF8459B6"/>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50742668"/>
    <w:multiLevelType w:val="hybridMultilevel"/>
    <w:tmpl w:val="57A237B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 w15:restartNumberingAfterBreak="0">
    <w:nsid w:val="53437B64"/>
    <w:multiLevelType w:val="hybridMultilevel"/>
    <w:tmpl w:val="FFC23FF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5ACE68B6"/>
    <w:multiLevelType w:val="hybridMultilevel"/>
    <w:tmpl w:val="C7909BD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6" w15:restartNumberingAfterBreak="0">
    <w:nsid w:val="6DB92A6B"/>
    <w:multiLevelType w:val="hybridMultilevel"/>
    <w:tmpl w:val="FD3EBAC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7" w15:restartNumberingAfterBreak="0">
    <w:nsid w:val="7C040BA3"/>
    <w:multiLevelType w:val="hybridMultilevel"/>
    <w:tmpl w:val="21CE5F7C"/>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910312536">
    <w:abstractNumId w:val="0"/>
  </w:num>
  <w:num w:numId="2" w16cid:durableId="2099867420">
    <w:abstractNumId w:val="2"/>
  </w:num>
  <w:num w:numId="3" w16cid:durableId="162398854">
    <w:abstractNumId w:val="6"/>
  </w:num>
  <w:num w:numId="4" w16cid:durableId="625426732">
    <w:abstractNumId w:val="7"/>
  </w:num>
  <w:num w:numId="5" w16cid:durableId="237902724">
    <w:abstractNumId w:val="4"/>
  </w:num>
  <w:num w:numId="6" w16cid:durableId="1965378573">
    <w:abstractNumId w:val="3"/>
  </w:num>
  <w:num w:numId="7" w16cid:durableId="66807305">
    <w:abstractNumId w:val="1"/>
  </w:num>
  <w:num w:numId="8" w16cid:durableId="2074972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B8B"/>
    <w:rsid w:val="000A399A"/>
    <w:rsid w:val="000F6BC1"/>
    <w:rsid w:val="00114985"/>
    <w:rsid w:val="00131017"/>
    <w:rsid w:val="00164838"/>
    <w:rsid w:val="00170A09"/>
    <w:rsid w:val="001E66EB"/>
    <w:rsid w:val="00210745"/>
    <w:rsid w:val="00240EDA"/>
    <w:rsid w:val="0029003C"/>
    <w:rsid w:val="003302B7"/>
    <w:rsid w:val="004E09A6"/>
    <w:rsid w:val="00580F72"/>
    <w:rsid w:val="005D2CA9"/>
    <w:rsid w:val="00621749"/>
    <w:rsid w:val="0063692D"/>
    <w:rsid w:val="006415C9"/>
    <w:rsid w:val="00707409"/>
    <w:rsid w:val="00736FC4"/>
    <w:rsid w:val="00746125"/>
    <w:rsid w:val="007627C3"/>
    <w:rsid w:val="007648FF"/>
    <w:rsid w:val="007765A7"/>
    <w:rsid w:val="007B2AEA"/>
    <w:rsid w:val="007D3D14"/>
    <w:rsid w:val="007F54DA"/>
    <w:rsid w:val="00836A67"/>
    <w:rsid w:val="00842463"/>
    <w:rsid w:val="00864FA2"/>
    <w:rsid w:val="00876ADA"/>
    <w:rsid w:val="008B49C6"/>
    <w:rsid w:val="008D5B27"/>
    <w:rsid w:val="00903148"/>
    <w:rsid w:val="00A02062"/>
    <w:rsid w:val="00A10387"/>
    <w:rsid w:val="00A76292"/>
    <w:rsid w:val="00AD16BE"/>
    <w:rsid w:val="00CE6497"/>
    <w:rsid w:val="00D04E48"/>
    <w:rsid w:val="00D31F19"/>
    <w:rsid w:val="00D36625"/>
    <w:rsid w:val="00D71AD1"/>
    <w:rsid w:val="00D81476"/>
    <w:rsid w:val="00D90DD2"/>
    <w:rsid w:val="00DD52B0"/>
    <w:rsid w:val="00DF31DC"/>
    <w:rsid w:val="00E115A3"/>
    <w:rsid w:val="00E414CA"/>
    <w:rsid w:val="00E533F5"/>
    <w:rsid w:val="00F81696"/>
    <w:rsid w:val="00F81C8C"/>
    <w:rsid w:val="00F87B8B"/>
    <w:rsid w:val="00F91D93"/>
    <w:rsid w:val="00FB274B"/>
    <w:rsid w:val="00FC5788"/>
    <w:rsid w:val="00FE60F1"/>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22E14F"/>
  <w15:chartTrackingRefBased/>
  <w15:docId w15:val="{E36F209B-066F-467C-9E38-9337285DB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A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36625"/>
    <w:pPr>
      <w:keepNext/>
      <w:keepLines/>
      <w:spacing w:before="240" w:after="0"/>
      <w:outlineLvl w:val="0"/>
    </w:pPr>
    <w:rPr>
      <w:rFonts w:eastAsiaTheme="majorEastAsia" w:cstheme="majorBidi"/>
      <w:b/>
      <w:color w:val="0F4761" w:themeColor="accent1" w:themeShade="BF"/>
      <w:sz w:val="32"/>
      <w:szCs w:val="32"/>
    </w:rPr>
  </w:style>
  <w:style w:type="paragraph" w:styleId="Heading2">
    <w:name w:val="heading 2"/>
    <w:basedOn w:val="Normal"/>
    <w:next w:val="Normal"/>
    <w:link w:val="Heading2Char"/>
    <w:uiPriority w:val="9"/>
    <w:unhideWhenUsed/>
    <w:qFormat/>
    <w:rsid w:val="00210745"/>
    <w:pPr>
      <w:keepNext/>
      <w:keepLines/>
      <w:spacing w:before="40" w:after="0"/>
      <w:outlineLvl w:val="1"/>
    </w:pPr>
    <w:rPr>
      <w:rFonts w:eastAsiaTheme="majorEastAsia" w:cstheme="majorBidi"/>
      <w:b/>
      <w:color w:val="0F4761" w:themeColor="accent1" w:themeShade="BF"/>
      <w:sz w:val="28"/>
      <w:szCs w:val="26"/>
    </w:rPr>
  </w:style>
  <w:style w:type="paragraph" w:styleId="Heading3">
    <w:name w:val="heading 3"/>
    <w:basedOn w:val="Normal"/>
    <w:next w:val="Normal"/>
    <w:link w:val="Heading3Char"/>
    <w:uiPriority w:val="9"/>
    <w:semiHidden/>
    <w:unhideWhenUsed/>
    <w:qFormat/>
    <w:rsid w:val="00F87B8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7B8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87B8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87B8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87B8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87B8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87B8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625"/>
    <w:rPr>
      <w:rFonts w:ascii="Times New Roman" w:eastAsiaTheme="majorEastAsia" w:hAnsi="Times New Roman" w:cstheme="majorBidi"/>
      <w:b/>
      <w:color w:val="0F4761" w:themeColor="accent1" w:themeShade="BF"/>
      <w:sz w:val="32"/>
      <w:szCs w:val="32"/>
    </w:rPr>
  </w:style>
  <w:style w:type="character" w:customStyle="1" w:styleId="Heading2Char">
    <w:name w:val="Heading 2 Char"/>
    <w:basedOn w:val="DefaultParagraphFont"/>
    <w:link w:val="Heading2"/>
    <w:uiPriority w:val="9"/>
    <w:rsid w:val="00210745"/>
    <w:rPr>
      <w:rFonts w:ascii="Times New Roman" w:eastAsiaTheme="majorEastAsia" w:hAnsi="Times New Roman" w:cstheme="majorBidi"/>
      <w:b/>
      <w:color w:val="0F4761" w:themeColor="accent1" w:themeShade="BF"/>
      <w:sz w:val="28"/>
      <w:szCs w:val="26"/>
      <w:lang w:val="en-GB"/>
    </w:rPr>
  </w:style>
  <w:style w:type="character" w:customStyle="1" w:styleId="Heading3Char">
    <w:name w:val="Heading 3 Char"/>
    <w:basedOn w:val="DefaultParagraphFont"/>
    <w:link w:val="Heading3"/>
    <w:uiPriority w:val="9"/>
    <w:semiHidden/>
    <w:rsid w:val="00F87B8B"/>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F87B8B"/>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F87B8B"/>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F87B8B"/>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F87B8B"/>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F87B8B"/>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F87B8B"/>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F87B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7B8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87B8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7B8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87B8B"/>
    <w:pPr>
      <w:spacing w:before="160"/>
      <w:jc w:val="center"/>
    </w:pPr>
    <w:rPr>
      <w:i/>
      <w:iCs/>
      <w:color w:val="404040" w:themeColor="text1" w:themeTint="BF"/>
    </w:rPr>
  </w:style>
  <w:style w:type="character" w:customStyle="1" w:styleId="QuoteChar">
    <w:name w:val="Quote Char"/>
    <w:basedOn w:val="DefaultParagraphFont"/>
    <w:link w:val="Quote"/>
    <w:uiPriority w:val="29"/>
    <w:rsid w:val="00F87B8B"/>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F87B8B"/>
    <w:pPr>
      <w:ind w:left="720"/>
      <w:contextualSpacing/>
    </w:pPr>
  </w:style>
  <w:style w:type="character" w:styleId="IntenseEmphasis">
    <w:name w:val="Intense Emphasis"/>
    <w:basedOn w:val="DefaultParagraphFont"/>
    <w:uiPriority w:val="21"/>
    <w:qFormat/>
    <w:rsid w:val="00F87B8B"/>
    <w:rPr>
      <w:i/>
      <w:iCs/>
      <w:color w:val="0F4761" w:themeColor="accent1" w:themeShade="BF"/>
    </w:rPr>
  </w:style>
  <w:style w:type="paragraph" w:styleId="IntenseQuote">
    <w:name w:val="Intense Quote"/>
    <w:basedOn w:val="Normal"/>
    <w:next w:val="Normal"/>
    <w:link w:val="IntenseQuoteChar"/>
    <w:uiPriority w:val="30"/>
    <w:qFormat/>
    <w:rsid w:val="00F87B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7B8B"/>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F87B8B"/>
    <w:rPr>
      <w:b/>
      <w:bCs/>
      <w:smallCaps/>
      <w:color w:val="0F4761" w:themeColor="accent1" w:themeShade="BF"/>
      <w:spacing w:val="5"/>
    </w:rPr>
  </w:style>
  <w:style w:type="character" w:styleId="Hyperlink">
    <w:name w:val="Hyperlink"/>
    <w:basedOn w:val="DefaultParagraphFont"/>
    <w:uiPriority w:val="99"/>
    <w:unhideWhenUsed/>
    <w:rsid w:val="008B49C6"/>
    <w:rPr>
      <w:color w:val="467886" w:themeColor="hyperlink"/>
      <w:u w:val="single"/>
    </w:rPr>
  </w:style>
  <w:style w:type="character" w:styleId="UnresolvedMention">
    <w:name w:val="Unresolved Mention"/>
    <w:basedOn w:val="DefaultParagraphFont"/>
    <w:uiPriority w:val="99"/>
    <w:semiHidden/>
    <w:unhideWhenUsed/>
    <w:rsid w:val="008B49C6"/>
    <w:rPr>
      <w:color w:val="605E5C"/>
      <w:shd w:val="clear" w:color="auto" w:fill="E1DFDD"/>
    </w:rPr>
  </w:style>
  <w:style w:type="paragraph" w:styleId="TOCHeading">
    <w:name w:val="TOC Heading"/>
    <w:basedOn w:val="Heading1"/>
    <w:next w:val="Normal"/>
    <w:uiPriority w:val="39"/>
    <w:unhideWhenUsed/>
    <w:qFormat/>
    <w:rsid w:val="000A399A"/>
    <w:pPr>
      <w:spacing w:line="259" w:lineRule="auto"/>
      <w:jc w:val="left"/>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0A399A"/>
    <w:pPr>
      <w:spacing w:after="100"/>
    </w:pPr>
  </w:style>
  <w:style w:type="paragraph" w:styleId="Header">
    <w:name w:val="header"/>
    <w:basedOn w:val="Normal"/>
    <w:link w:val="HeaderChar"/>
    <w:uiPriority w:val="99"/>
    <w:unhideWhenUsed/>
    <w:rsid w:val="000A39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99A"/>
    <w:rPr>
      <w:rFonts w:ascii="Times New Roman" w:hAnsi="Times New Roman"/>
      <w:sz w:val="24"/>
      <w:lang w:val="en-GB"/>
    </w:rPr>
  </w:style>
  <w:style w:type="paragraph" w:styleId="Footer">
    <w:name w:val="footer"/>
    <w:basedOn w:val="Normal"/>
    <w:link w:val="FooterChar"/>
    <w:uiPriority w:val="99"/>
    <w:unhideWhenUsed/>
    <w:rsid w:val="000A39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99A"/>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90620">
      <w:bodyDiv w:val="1"/>
      <w:marLeft w:val="0"/>
      <w:marRight w:val="0"/>
      <w:marTop w:val="0"/>
      <w:marBottom w:val="0"/>
      <w:divBdr>
        <w:top w:val="none" w:sz="0" w:space="0" w:color="auto"/>
        <w:left w:val="none" w:sz="0" w:space="0" w:color="auto"/>
        <w:bottom w:val="none" w:sz="0" w:space="0" w:color="auto"/>
        <w:right w:val="none" w:sz="0" w:space="0" w:color="auto"/>
      </w:divBdr>
    </w:div>
    <w:div w:id="122578071">
      <w:bodyDiv w:val="1"/>
      <w:marLeft w:val="0"/>
      <w:marRight w:val="0"/>
      <w:marTop w:val="0"/>
      <w:marBottom w:val="0"/>
      <w:divBdr>
        <w:top w:val="none" w:sz="0" w:space="0" w:color="auto"/>
        <w:left w:val="none" w:sz="0" w:space="0" w:color="auto"/>
        <w:bottom w:val="none" w:sz="0" w:space="0" w:color="auto"/>
        <w:right w:val="none" w:sz="0" w:space="0" w:color="auto"/>
      </w:divBdr>
      <w:divsChild>
        <w:div w:id="1405835082">
          <w:marLeft w:val="0"/>
          <w:marRight w:val="0"/>
          <w:marTop w:val="0"/>
          <w:marBottom w:val="0"/>
          <w:divBdr>
            <w:top w:val="single" w:sz="6" w:space="0" w:color="auto"/>
            <w:left w:val="single" w:sz="6" w:space="0" w:color="auto"/>
            <w:bottom w:val="single" w:sz="6" w:space="0" w:color="auto"/>
            <w:right w:val="single" w:sz="6" w:space="0" w:color="auto"/>
          </w:divBdr>
        </w:div>
      </w:divsChild>
    </w:div>
    <w:div w:id="215968161">
      <w:bodyDiv w:val="1"/>
      <w:marLeft w:val="0"/>
      <w:marRight w:val="0"/>
      <w:marTop w:val="0"/>
      <w:marBottom w:val="0"/>
      <w:divBdr>
        <w:top w:val="none" w:sz="0" w:space="0" w:color="auto"/>
        <w:left w:val="none" w:sz="0" w:space="0" w:color="auto"/>
        <w:bottom w:val="none" w:sz="0" w:space="0" w:color="auto"/>
        <w:right w:val="none" w:sz="0" w:space="0" w:color="auto"/>
      </w:divBdr>
    </w:div>
    <w:div w:id="233054152">
      <w:bodyDiv w:val="1"/>
      <w:marLeft w:val="0"/>
      <w:marRight w:val="0"/>
      <w:marTop w:val="0"/>
      <w:marBottom w:val="0"/>
      <w:divBdr>
        <w:top w:val="none" w:sz="0" w:space="0" w:color="auto"/>
        <w:left w:val="none" w:sz="0" w:space="0" w:color="auto"/>
        <w:bottom w:val="none" w:sz="0" w:space="0" w:color="auto"/>
        <w:right w:val="none" w:sz="0" w:space="0" w:color="auto"/>
      </w:divBdr>
    </w:div>
    <w:div w:id="385639339">
      <w:bodyDiv w:val="1"/>
      <w:marLeft w:val="0"/>
      <w:marRight w:val="0"/>
      <w:marTop w:val="0"/>
      <w:marBottom w:val="0"/>
      <w:divBdr>
        <w:top w:val="none" w:sz="0" w:space="0" w:color="auto"/>
        <w:left w:val="none" w:sz="0" w:space="0" w:color="auto"/>
        <w:bottom w:val="none" w:sz="0" w:space="0" w:color="auto"/>
        <w:right w:val="none" w:sz="0" w:space="0" w:color="auto"/>
      </w:divBdr>
    </w:div>
    <w:div w:id="766199680">
      <w:bodyDiv w:val="1"/>
      <w:marLeft w:val="0"/>
      <w:marRight w:val="0"/>
      <w:marTop w:val="0"/>
      <w:marBottom w:val="0"/>
      <w:divBdr>
        <w:top w:val="none" w:sz="0" w:space="0" w:color="auto"/>
        <w:left w:val="none" w:sz="0" w:space="0" w:color="auto"/>
        <w:bottom w:val="none" w:sz="0" w:space="0" w:color="auto"/>
        <w:right w:val="none" w:sz="0" w:space="0" w:color="auto"/>
      </w:divBdr>
      <w:divsChild>
        <w:div w:id="1160147852">
          <w:marLeft w:val="0"/>
          <w:marRight w:val="0"/>
          <w:marTop w:val="0"/>
          <w:marBottom w:val="0"/>
          <w:divBdr>
            <w:top w:val="single" w:sz="6" w:space="0" w:color="auto"/>
            <w:left w:val="single" w:sz="6" w:space="0" w:color="auto"/>
            <w:bottom w:val="single" w:sz="6" w:space="0" w:color="auto"/>
            <w:right w:val="single" w:sz="6" w:space="0" w:color="auto"/>
          </w:divBdr>
        </w:div>
      </w:divsChild>
    </w:div>
    <w:div w:id="946695953">
      <w:bodyDiv w:val="1"/>
      <w:marLeft w:val="0"/>
      <w:marRight w:val="0"/>
      <w:marTop w:val="0"/>
      <w:marBottom w:val="0"/>
      <w:divBdr>
        <w:top w:val="none" w:sz="0" w:space="0" w:color="auto"/>
        <w:left w:val="none" w:sz="0" w:space="0" w:color="auto"/>
        <w:bottom w:val="none" w:sz="0" w:space="0" w:color="auto"/>
        <w:right w:val="none" w:sz="0" w:space="0" w:color="auto"/>
      </w:divBdr>
      <w:divsChild>
        <w:div w:id="196937995">
          <w:marLeft w:val="0"/>
          <w:marRight w:val="0"/>
          <w:marTop w:val="0"/>
          <w:marBottom w:val="0"/>
          <w:divBdr>
            <w:top w:val="single" w:sz="6" w:space="0" w:color="auto"/>
            <w:left w:val="single" w:sz="6" w:space="0" w:color="auto"/>
            <w:bottom w:val="single" w:sz="6" w:space="0" w:color="auto"/>
            <w:right w:val="single" w:sz="6" w:space="0" w:color="auto"/>
          </w:divBdr>
        </w:div>
      </w:divsChild>
    </w:div>
    <w:div w:id="1558584064">
      <w:bodyDiv w:val="1"/>
      <w:marLeft w:val="0"/>
      <w:marRight w:val="0"/>
      <w:marTop w:val="0"/>
      <w:marBottom w:val="0"/>
      <w:divBdr>
        <w:top w:val="none" w:sz="0" w:space="0" w:color="auto"/>
        <w:left w:val="none" w:sz="0" w:space="0" w:color="auto"/>
        <w:bottom w:val="none" w:sz="0" w:space="0" w:color="auto"/>
        <w:right w:val="none" w:sz="0" w:space="0" w:color="auto"/>
      </w:divBdr>
    </w:div>
    <w:div w:id="1700469508">
      <w:bodyDiv w:val="1"/>
      <w:marLeft w:val="0"/>
      <w:marRight w:val="0"/>
      <w:marTop w:val="0"/>
      <w:marBottom w:val="0"/>
      <w:divBdr>
        <w:top w:val="none" w:sz="0" w:space="0" w:color="auto"/>
        <w:left w:val="none" w:sz="0" w:space="0" w:color="auto"/>
        <w:bottom w:val="none" w:sz="0" w:space="0" w:color="auto"/>
        <w:right w:val="none" w:sz="0" w:space="0" w:color="auto"/>
      </w:divBdr>
    </w:div>
    <w:div w:id="1769275676">
      <w:bodyDiv w:val="1"/>
      <w:marLeft w:val="0"/>
      <w:marRight w:val="0"/>
      <w:marTop w:val="0"/>
      <w:marBottom w:val="0"/>
      <w:divBdr>
        <w:top w:val="none" w:sz="0" w:space="0" w:color="auto"/>
        <w:left w:val="none" w:sz="0" w:space="0" w:color="auto"/>
        <w:bottom w:val="none" w:sz="0" w:space="0" w:color="auto"/>
        <w:right w:val="none" w:sz="0" w:space="0" w:color="auto"/>
      </w:divBdr>
    </w:div>
    <w:div w:id="1776631591">
      <w:bodyDiv w:val="1"/>
      <w:marLeft w:val="0"/>
      <w:marRight w:val="0"/>
      <w:marTop w:val="0"/>
      <w:marBottom w:val="0"/>
      <w:divBdr>
        <w:top w:val="none" w:sz="0" w:space="0" w:color="auto"/>
        <w:left w:val="none" w:sz="0" w:space="0" w:color="auto"/>
        <w:bottom w:val="none" w:sz="0" w:space="0" w:color="auto"/>
        <w:right w:val="none" w:sz="0" w:space="0" w:color="auto"/>
      </w:divBdr>
    </w:div>
    <w:div w:id="1886335352">
      <w:bodyDiv w:val="1"/>
      <w:marLeft w:val="0"/>
      <w:marRight w:val="0"/>
      <w:marTop w:val="0"/>
      <w:marBottom w:val="0"/>
      <w:divBdr>
        <w:top w:val="none" w:sz="0" w:space="0" w:color="auto"/>
        <w:left w:val="none" w:sz="0" w:space="0" w:color="auto"/>
        <w:bottom w:val="none" w:sz="0" w:space="0" w:color="auto"/>
        <w:right w:val="none" w:sz="0" w:space="0" w:color="auto"/>
      </w:divBdr>
      <w:divsChild>
        <w:div w:id="1008286519">
          <w:marLeft w:val="0"/>
          <w:marRight w:val="0"/>
          <w:marTop w:val="0"/>
          <w:marBottom w:val="0"/>
          <w:divBdr>
            <w:top w:val="single" w:sz="6" w:space="0" w:color="auto"/>
            <w:left w:val="single" w:sz="6" w:space="0" w:color="auto"/>
            <w:bottom w:val="single" w:sz="6" w:space="0" w:color="auto"/>
            <w:right w:val="single" w:sz="6" w:space="0" w:color="auto"/>
          </w:divBdr>
        </w:div>
      </w:divsChild>
    </w:div>
    <w:div w:id="1917399995">
      <w:bodyDiv w:val="1"/>
      <w:marLeft w:val="0"/>
      <w:marRight w:val="0"/>
      <w:marTop w:val="0"/>
      <w:marBottom w:val="0"/>
      <w:divBdr>
        <w:top w:val="none" w:sz="0" w:space="0" w:color="auto"/>
        <w:left w:val="none" w:sz="0" w:space="0" w:color="auto"/>
        <w:bottom w:val="none" w:sz="0" w:space="0" w:color="auto"/>
        <w:right w:val="none" w:sz="0" w:space="0" w:color="auto"/>
      </w:divBdr>
    </w:div>
    <w:div w:id="2029406733">
      <w:bodyDiv w:val="1"/>
      <w:marLeft w:val="0"/>
      <w:marRight w:val="0"/>
      <w:marTop w:val="0"/>
      <w:marBottom w:val="0"/>
      <w:divBdr>
        <w:top w:val="none" w:sz="0" w:space="0" w:color="auto"/>
        <w:left w:val="none" w:sz="0" w:space="0" w:color="auto"/>
        <w:bottom w:val="none" w:sz="0" w:space="0" w:color="auto"/>
        <w:right w:val="none" w:sz="0" w:space="0" w:color="auto"/>
      </w:divBdr>
    </w:div>
    <w:div w:id="2034769412">
      <w:bodyDiv w:val="1"/>
      <w:marLeft w:val="0"/>
      <w:marRight w:val="0"/>
      <w:marTop w:val="0"/>
      <w:marBottom w:val="0"/>
      <w:divBdr>
        <w:top w:val="none" w:sz="0" w:space="0" w:color="auto"/>
        <w:left w:val="none" w:sz="0" w:space="0" w:color="auto"/>
        <w:bottom w:val="none" w:sz="0" w:space="0" w:color="auto"/>
        <w:right w:val="none" w:sz="0" w:space="0" w:color="auto"/>
      </w:divBdr>
    </w:div>
    <w:div w:id="2048293126">
      <w:bodyDiv w:val="1"/>
      <w:marLeft w:val="0"/>
      <w:marRight w:val="0"/>
      <w:marTop w:val="0"/>
      <w:marBottom w:val="0"/>
      <w:divBdr>
        <w:top w:val="none" w:sz="0" w:space="0" w:color="auto"/>
        <w:left w:val="none" w:sz="0" w:space="0" w:color="auto"/>
        <w:bottom w:val="none" w:sz="0" w:space="0" w:color="auto"/>
        <w:right w:val="none" w:sz="0" w:space="0" w:color="auto"/>
      </w:divBdr>
    </w:div>
    <w:div w:id="2066028131">
      <w:bodyDiv w:val="1"/>
      <w:marLeft w:val="0"/>
      <w:marRight w:val="0"/>
      <w:marTop w:val="0"/>
      <w:marBottom w:val="0"/>
      <w:divBdr>
        <w:top w:val="none" w:sz="0" w:space="0" w:color="auto"/>
        <w:left w:val="none" w:sz="0" w:space="0" w:color="auto"/>
        <w:bottom w:val="none" w:sz="0" w:space="0" w:color="auto"/>
        <w:right w:val="none" w:sz="0" w:space="0" w:color="auto"/>
      </w:divBdr>
    </w:div>
    <w:div w:id="2116632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621363-3087-45D5-813A-9E4630E2B6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264</TotalTime>
  <Pages>13</Pages>
  <Words>3076</Words>
  <Characters>17536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Fahad Ahmed Jaman</cp:lastModifiedBy>
  <cp:revision>40</cp:revision>
  <dcterms:created xsi:type="dcterms:W3CDTF">2024-02-16T18:46:00Z</dcterms:created>
  <dcterms:modified xsi:type="dcterms:W3CDTF">2024-02-29T20:19:00Z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8dab3bc9-c586-43da-ac79-16d394969dd6</vt:lpwstr>
  </property>
</Properties>
</file>