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7FC4" w:rsidRDefault="00987FC4" w:rsidP="00987FC4">
      <w:pPr>
        <w:jc w:val="center"/>
        <w:rPr>
          <w:rStyle w:val="Strong"/>
          <w:b w:val="0"/>
        </w:rPr>
      </w:pPr>
    </w:p>
    <w:p w:rsidR="00987FC4" w:rsidRDefault="00987FC4" w:rsidP="00987FC4">
      <w:pPr>
        <w:jc w:val="center"/>
        <w:rPr>
          <w:rStyle w:val="Strong"/>
          <w:b w:val="0"/>
        </w:rPr>
      </w:pPr>
    </w:p>
    <w:p w:rsidR="00987FC4" w:rsidRDefault="00987FC4" w:rsidP="00987FC4">
      <w:pPr>
        <w:jc w:val="center"/>
        <w:rPr>
          <w:rStyle w:val="Strong"/>
          <w:b w:val="0"/>
        </w:rPr>
      </w:pPr>
    </w:p>
    <w:p w:rsidR="00987FC4" w:rsidRDefault="00987FC4" w:rsidP="00987FC4">
      <w:pPr>
        <w:jc w:val="center"/>
        <w:rPr>
          <w:rStyle w:val="Strong"/>
          <w:b w:val="0"/>
        </w:rPr>
      </w:pPr>
    </w:p>
    <w:p w:rsidR="00987FC4" w:rsidRDefault="00987FC4" w:rsidP="00987FC4">
      <w:pPr>
        <w:jc w:val="center"/>
        <w:rPr>
          <w:rStyle w:val="Strong"/>
          <w:b w:val="0"/>
        </w:rPr>
      </w:pPr>
    </w:p>
    <w:p w:rsidR="00987FC4" w:rsidRPr="00987FC4" w:rsidRDefault="00987FC4" w:rsidP="00987FC4">
      <w:pPr>
        <w:rPr>
          <w:rStyle w:val="Strong"/>
          <w:b w:val="0"/>
          <w:sz w:val="28"/>
        </w:rPr>
      </w:pPr>
    </w:p>
    <w:p w:rsidR="00987FC4" w:rsidRPr="00987FC4" w:rsidRDefault="00987FC4" w:rsidP="00987FC4">
      <w:pPr>
        <w:jc w:val="center"/>
        <w:rPr>
          <w:rStyle w:val="Strong"/>
          <w:b w:val="0"/>
          <w:sz w:val="28"/>
        </w:rPr>
      </w:pPr>
    </w:p>
    <w:p w:rsidR="00987FC4" w:rsidRPr="00987FC4" w:rsidRDefault="00987FC4" w:rsidP="00987FC4">
      <w:pPr>
        <w:jc w:val="center"/>
        <w:rPr>
          <w:rStyle w:val="Strong"/>
          <w:b w:val="0"/>
          <w:sz w:val="48"/>
        </w:rPr>
      </w:pPr>
    </w:p>
    <w:p w:rsidR="00987FC4" w:rsidRPr="00987FC4" w:rsidRDefault="00987FC4" w:rsidP="00987FC4">
      <w:pPr>
        <w:jc w:val="center"/>
        <w:rPr>
          <w:rStyle w:val="Strong"/>
          <w:b w:val="0"/>
          <w:sz w:val="48"/>
        </w:rPr>
      </w:pPr>
      <w:r w:rsidRPr="00987FC4">
        <w:rPr>
          <w:rStyle w:val="Strong"/>
          <w:b w:val="0"/>
          <w:sz w:val="48"/>
        </w:rPr>
        <w:t>Building Evaluation Report – Sustainability Focus</w:t>
      </w:r>
      <w:bookmarkStart w:id="0" w:name="_GoBack"/>
      <w:bookmarkEnd w:id="0"/>
    </w:p>
    <w:p w:rsidR="00AE7CD8" w:rsidRDefault="00987FC4" w:rsidP="00987FC4">
      <w:pPr>
        <w:jc w:val="center"/>
        <w:rPr>
          <w:sz w:val="48"/>
        </w:rPr>
      </w:pPr>
      <w:r w:rsidRPr="00987FC4">
        <w:rPr>
          <w:sz w:val="48"/>
        </w:rPr>
        <w:br/>
        <w:t>Construction Technology 2 (ACBA5019)</w:t>
      </w:r>
    </w:p>
    <w:p w:rsidR="00ED170F" w:rsidRPr="00987FC4" w:rsidRDefault="00AE7CD8" w:rsidP="00987FC4">
      <w:pPr>
        <w:jc w:val="center"/>
        <w:rPr>
          <w:sz w:val="48"/>
        </w:rPr>
      </w:pPr>
      <w:r>
        <w:rPr>
          <w:sz w:val="48"/>
        </w:rPr>
        <w:t>Assignment 2</w:t>
      </w:r>
      <w:r w:rsidR="00987FC4" w:rsidRPr="00987FC4">
        <w:rPr>
          <w:sz w:val="48"/>
        </w:rPr>
        <w:br/>
        <w:t>Student Accommodation – SA1 Swansea</w:t>
      </w:r>
    </w:p>
    <w:p w:rsidR="00987FC4" w:rsidRPr="00987FC4" w:rsidRDefault="00987FC4" w:rsidP="00987FC4">
      <w:pPr>
        <w:jc w:val="center"/>
        <w:rPr>
          <w:bCs/>
          <w:sz w:val="48"/>
        </w:rPr>
      </w:pPr>
    </w:p>
    <w:p w:rsidR="00987FC4" w:rsidRDefault="00987FC4" w:rsidP="00987FC4">
      <w:pPr>
        <w:jc w:val="center"/>
        <w:rPr>
          <w:sz w:val="48"/>
        </w:rPr>
      </w:pPr>
      <w:r w:rsidRPr="00987FC4">
        <w:rPr>
          <w:sz w:val="48"/>
        </w:rPr>
        <w:t>Nathan Chapman</w:t>
      </w:r>
      <w:r w:rsidRPr="00987FC4">
        <w:rPr>
          <w:sz w:val="48"/>
        </w:rPr>
        <w:br/>
        <w:t>2307145</w:t>
      </w:r>
    </w:p>
    <w:p w:rsidR="00AE278D" w:rsidRDefault="00AE278D" w:rsidP="00987FC4">
      <w:pPr>
        <w:jc w:val="center"/>
        <w:rPr>
          <w:sz w:val="48"/>
        </w:rPr>
      </w:pPr>
    </w:p>
    <w:p w:rsidR="00AE278D" w:rsidRDefault="00AE278D" w:rsidP="00987FC4">
      <w:pPr>
        <w:jc w:val="center"/>
        <w:rPr>
          <w:sz w:val="48"/>
        </w:rPr>
      </w:pPr>
    </w:p>
    <w:p w:rsidR="00AE278D" w:rsidRDefault="00AE278D" w:rsidP="00987FC4">
      <w:pPr>
        <w:jc w:val="center"/>
        <w:rPr>
          <w:sz w:val="48"/>
        </w:rPr>
      </w:pPr>
    </w:p>
    <w:p w:rsidR="00AE278D" w:rsidRDefault="00AE278D" w:rsidP="00987FC4">
      <w:pPr>
        <w:jc w:val="center"/>
        <w:rPr>
          <w:sz w:val="48"/>
        </w:rPr>
      </w:pPr>
    </w:p>
    <w:p w:rsidR="00A10F95" w:rsidRDefault="00A10F95" w:rsidP="00B009D5">
      <w:pPr>
        <w:pStyle w:val="Heading3"/>
        <w:rPr>
          <w:rFonts w:asciiTheme="minorHAnsi" w:eastAsiaTheme="minorHAnsi" w:hAnsiTheme="minorHAnsi" w:cstheme="minorBidi"/>
          <w:b w:val="0"/>
          <w:bCs w:val="0"/>
          <w:sz w:val="48"/>
          <w:szCs w:val="22"/>
          <w:lang w:eastAsia="en-US"/>
        </w:rPr>
      </w:pPr>
    </w:p>
    <w:p w:rsidR="00B009D5" w:rsidRPr="00936496" w:rsidRDefault="00B009D5" w:rsidP="00DF4DE1">
      <w:pPr>
        <w:pStyle w:val="Heading3"/>
        <w:jc w:val="center"/>
        <w:rPr>
          <w:rFonts w:asciiTheme="minorHAnsi" w:hAnsiTheme="minorHAnsi" w:cstheme="minorHAnsi"/>
          <w:sz w:val="22"/>
          <w:u w:val="single"/>
        </w:rPr>
      </w:pPr>
      <w:r w:rsidRPr="00936496">
        <w:rPr>
          <w:rStyle w:val="Strong"/>
          <w:rFonts w:asciiTheme="minorHAnsi" w:hAnsiTheme="minorHAnsi" w:cstheme="minorHAnsi"/>
          <w:b/>
          <w:bCs/>
          <w:sz w:val="22"/>
          <w:u w:val="single"/>
        </w:rPr>
        <w:t>Introduction</w:t>
      </w:r>
    </w:p>
    <w:p w:rsidR="00612E98" w:rsidRPr="00612E98" w:rsidRDefault="00612E98" w:rsidP="00612E98">
      <w:pPr>
        <w:spacing w:after="0"/>
      </w:pPr>
      <w:r w:rsidRPr="00612E98">
        <w:t xml:space="preserve">The planned development is located in the vibrant and fast-evolving SA1 Waterfront area of Swansea, a zone that has seen significant urban regeneration in recent years. Situated close to the University </w:t>
      </w:r>
      <w:r w:rsidR="00BD63BE" w:rsidRPr="00612E98">
        <w:t>Of</w:t>
      </w:r>
      <w:r w:rsidRPr="00612E98">
        <w:t xml:space="preserve"> Wales Trinity Saint David (UWTSD) and within easy reach of the city centre, this location presents a prime opportunity for high-quality student accommodation that supports both academic and social life. The site, formerly part of Swansea’s docklands, is now being transformed into a modern, mixed-use community that blends education, innovation, and leisure.</w:t>
      </w:r>
    </w:p>
    <w:p w:rsidR="00612E98" w:rsidRPr="00612E98" w:rsidRDefault="00612E98" w:rsidP="00612E98">
      <w:pPr>
        <w:spacing w:after="0"/>
      </w:pPr>
    </w:p>
    <w:p w:rsidR="00612E98" w:rsidRPr="00612E98" w:rsidRDefault="00612E98" w:rsidP="00612E98">
      <w:pPr>
        <w:spacing w:after="0"/>
      </w:pPr>
      <w:r w:rsidRPr="00612E98">
        <w:t>This proposed development is more than just a place to live — it aims to provide a holistic student living experience that prioritises well-being, accessibility, and environmental stewardship. As universities continue to attract larger numbers of students, particularly from abroad, the demand for purpose-built, energy-efficient student housing has grown. In response, the building’s design focuses on sustainability, long-term adaptability, and community integration.</w:t>
      </w:r>
    </w:p>
    <w:p w:rsidR="00612E98" w:rsidRPr="00612E98" w:rsidRDefault="00612E98" w:rsidP="00612E98">
      <w:pPr>
        <w:spacing w:after="0"/>
      </w:pPr>
    </w:p>
    <w:p w:rsidR="00612E98" w:rsidRPr="00612E98" w:rsidRDefault="00612E98" w:rsidP="00612E98">
      <w:pPr>
        <w:spacing w:after="0"/>
      </w:pPr>
      <w:r w:rsidRPr="00612E98">
        <w:t>The project is underpinned by a strong environmental agenda. Through the use of passive design strategies, robust, low-impact materials, and flexible spatial planning, the building is positioned to meet current performance targets while remaining responsive to future challenges such as climate change, energy shortages, and shifting housing needs.</w:t>
      </w:r>
    </w:p>
    <w:p w:rsidR="00612E98" w:rsidRPr="00612E98" w:rsidRDefault="00612E98" w:rsidP="00612E98">
      <w:pPr>
        <w:spacing w:after="0"/>
      </w:pPr>
    </w:p>
    <w:p w:rsidR="00DF4DE1" w:rsidRPr="00612E98" w:rsidRDefault="00612E98" w:rsidP="00612E98">
      <w:pPr>
        <w:spacing w:after="0"/>
      </w:pPr>
      <w:r w:rsidRPr="00612E98">
        <w:t>This report will evaluate the development’s environmental impact, whole life carbon footprint, social contribution, and design adaptability. It will also consider how the use of green infrastructure and sustainable drainage contributes to a climate-resilient future. By examining these factors, the report aims to assess the building’s overall performance as a sustainable, student-focused development within the wider context of Swansea’s urban renewal.</w:t>
      </w:r>
    </w:p>
    <w:p w:rsidR="00DF4DE1" w:rsidRPr="00936496" w:rsidRDefault="00DF4DE1" w:rsidP="00B009D5">
      <w:pPr>
        <w:spacing w:after="0"/>
        <w:rPr>
          <w:b/>
          <w:u w:val="single"/>
        </w:rPr>
      </w:pPr>
    </w:p>
    <w:p w:rsidR="00936496" w:rsidRPr="00936496" w:rsidRDefault="00936496" w:rsidP="00DF4DE1">
      <w:pPr>
        <w:spacing w:after="0"/>
        <w:jc w:val="center"/>
        <w:rPr>
          <w:b/>
          <w:u w:val="single"/>
        </w:rPr>
      </w:pPr>
      <w:r w:rsidRPr="00936496">
        <w:rPr>
          <w:b/>
          <w:u w:val="single"/>
        </w:rPr>
        <w:t>Environmental Impact</w:t>
      </w:r>
    </w:p>
    <w:p w:rsidR="00DF4DE1" w:rsidRDefault="00DF4DE1" w:rsidP="00187F34">
      <w:pPr>
        <w:spacing w:after="0"/>
      </w:pPr>
    </w:p>
    <w:p w:rsidR="00187F34" w:rsidRDefault="00DF4DE1" w:rsidP="00187F34">
      <w:pPr>
        <w:spacing w:after="0"/>
        <w:rPr>
          <w:b/>
        </w:rPr>
      </w:pPr>
      <w:r>
        <w:rPr>
          <w:b/>
        </w:rPr>
        <w:t>A</w:t>
      </w:r>
      <w:r w:rsidR="00187F34" w:rsidRPr="00187F34">
        <w:rPr>
          <w:b/>
        </w:rPr>
        <w:t>. Orientation &amp; Passive Design</w:t>
      </w:r>
    </w:p>
    <w:p w:rsidR="00DF4DE1" w:rsidRPr="00187F34" w:rsidRDefault="00DF4DE1" w:rsidP="00187F34">
      <w:pPr>
        <w:spacing w:after="0"/>
        <w:rPr>
          <w:b/>
        </w:rPr>
      </w:pPr>
    </w:p>
    <w:p w:rsidR="00187F34" w:rsidRDefault="00187F34" w:rsidP="00187F34">
      <w:pPr>
        <w:spacing w:after="0"/>
      </w:pPr>
      <w:r>
        <w:t>The building’s orientation is a critical component in achieving energy efficiency and optimizing indoor comfort. By positioning the structure predominantly south-facing, the design maximizes exposure to natural daylight throughout the day. This strategic orientation minimizes the need for artificial lighting, which contributes to lower overall energy consumption. Furthermore, this layout supports passive solar heating in the colder months, where sunlight enters the building at a low angle and warms the interior naturally, reducing the need for heating systems and enhancing the comfort of the occupants.</w:t>
      </w:r>
    </w:p>
    <w:p w:rsidR="00187F34" w:rsidRDefault="00187F34" w:rsidP="00187F34">
      <w:pPr>
        <w:spacing w:after="0"/>
      </w:pPr>
    </w:p>
    <w:p w:rsidR="00187F34" w:rsidRDefault="00187F34" w:rsidP="00187F34">
      <w:pPr>
        <w:spacing w:after="0"/>
      </w:pPr>
      <w:r>
        <w:t>To counteract the risk of overheating during warmer months, the building incorporates shading elements such as over</w:t>
      </w:r>
      <w:r w:rsidR="001B7597">
        <w:t>hangs and louvers</w:t>
      </w:r>
      <w:r>
        <w:t>. These features are designed to block the high-angle summer sun, keeping the building cool, while still permitting sunlight to penetrate during winter when it is most needed for passive heating. The carefully considered combination of these shading strategies ensures that the building remains comfortable year-round by maintaining a balanced internal temperature.</w:t>
      </w:r>
    </w:p>
    <w:p w:rsidR="00187F34" w:rsidRDefault="00187F34" w:rsidP="00187F34">
      <w:pPr>
        <w:spacing w:after="0"/>
      </w:pPr>
    </w:p>
    <w:p w:rsidR="00187F34" w:rsidRDefault="00187F34" w:rsidP="00187F34">
      <w:pPr>
        <w:spacing w:after="0"/>
      </w:pPr>
      <w:r>
        <w:lastRenderedPageBreak/>
        <w:t>Another vital aspect of the building’s passive design is its approach to natural cross-ventilation. The internal layout is carefully configured with the placement of windows and openings designed to facilitate airflow throughout the building. By aligning windows and ventilation openings across the structure, the design allows fresh air to move freely through the building, enhancing indoor air quality and reducing the need for air conditioning in warmer weather.</w:t>
      </w:r>
    </w:p>
    <w:p w:rsidR="00187F34" w:rsidRDefault="00187F34" w:rsidP="00187F34">
      <w:pPr>
        <w:spacing w:after="0"/>
      </w:pPr>
    </w:p>
    <w:p w:rsidR="00936496" w:rsidRDefault="00187F34" w:rsidP="00187F34">
      <w:pPr>
        <w:spacing w:after="0"/>
      </w:pPr>
      <w:r>
        <w:t>These passive design features collectively reduce the building’s operational energy demand, which directly contributes to long-term sustainability. The design complies with Part L of the UK Building Regulations, which sets out requirements for the conservation of fuel and power in new buildings. The building is also aligned with the guidelines provided by BS EN ISO 52016, a European standard that outlines methods for calculating energy performance related to heating, cooling, ventilation, and lighting, ensuring that the building meets both national and international standards for energy efficiency and low environmental impact.</w:t>
      </w:r>
    </w:p>
    <w:p w:rsidR="001B7597" w:rsidRDefault="001B7597" w:rsidP="00187F34">
      <w:pPr>
        <w:spacing w:after="0"/>
      </w:pPr>
    </w:p>
    <w:p w:rsidR="00A10F95" w:rsidRDefault="00A10F95" w:rsidP="00A10F95">
      <w:pPr>
        <w:spacing w:after="0"/>
        <w:rPr>
          <w:b/>
        </w:rPr>
      </w:pPr>
    </w:p>
    <w:p w:rsidR="00420E93" w:rsidRDefault="00DF4DE1" w:rsidP="00420E93">
      <w:pPr>
        <w:spacing w:after="0"/>
        <w:rPr>
          <w:b/>
        </w:rPr>
      </w:pPr>
      <w:r>
        <w:rPr>
          <w:b/>
        </w:rPr>
        <w:t>B</w:t>
      </w:r>
      <w:r w:rsidR="00420E93" w:rsidRPr="00420E93">
        <w:rPr>
          <w:b/>
        </w:rPr>
        <w:t>. Whole Life Carbon</w:t>
      </w:r>
    </w:p>
    <w:p w:rsidR="008A765C" w:rsidRPr="00420E93" w:rsidRDefault="008A765C" w:rsidP="00420E93">
      <w:pPr>
        <w:spacing w:after="0"/>
        <w:rPr>
          <w:b/>
        </w:rPr>
      </w:pPr>
    </w:p>
    <w:p w:rsidR="00420E93" w:rsidRDefault="00420E93" w:rsidP="00420E93">
      <w:pPr>
        <w:spacing w:after="0"/>
      </w:pPr>
      <w:r>
        <w:t>The building’s design and construction are guided by a Whole Life Carbon (WLC) strategy, which evaluates the environmental impact of the entire project over its full life cycle. This approach takes into account every phase, from the initial sourcing and manufacturing of materials, to the construction, ongoing operation, maintenance, and eventual demolition or repurposing of the building. By assessing the carbon emissions at each stage of the building’s life, the WLC approach seeks to reduce environmental harm by prioritizing materials and construction methods that support long-term sustainability.</w:t>
      </w:r>
    </w:p>
    <w:p w:rsidR="00420E93" w:rsidRDefault="00420E93" w:rsidP="00420E93">
      <w:pPr>
        <w:spacing w:after="0"/>
      </w:pPr>
    </w:p>
    <w:p w:rsidR="00420E93" w:rsidRDefault="00420E93" w:rsidP="00420E93">
      <w:pPr>
        <w:spacing w:after="0"/>
      </w:pPr>
      <w:r>
        <w:t>A fundamental part of the WLC approach is selecting materials that offer high durability and resilience over time. Reinforced concrete is used for its strength and ability to endure the tough conditions of Swansea’s coastal environment, where salt, humidity, and fluctuating temperatures can quickly degrade materials. This choice ensures that the building remains structurally sound for an extended period, reducing the need for frequent repairs and replacements. As a result, it helps limit the carbon emissions typically associated with maintenance activities and additional construction.</w:t>
      </w:r>
    </w:p>
    <w:p w:rsidR="00420E93" w:rsidRDefault="00420E93" w:rsidP="00420E93">
      <w:pPr>
        <w:spacing w:after="0"/>
      </w:pPr>
    </w:p>
    <w:p w:rsidR="00420E93" w:rsidRDefault="00420E93" w:rsidP="00420E93">
      <w:pPr>
        <w:spacing w:after="0"/>
      </w:pPr>
      <w:r>
        <w:t>The building’s exterior features Alucobond composite cladding, which is chosen for its lightweight structure and corrosion-resistant qualities, essential for coastal regions exposed to salt and harsh weather. This material is highly durable against saltwater corrosion, UV damage, and physical wear, which helps prolong the life of the building's façade. Consequently, it reduces the need for frequent maintenance or replacement, lowering the overall environmental impact by minimizing the carbon emissions linked to upkeep and material replacements.</w:t>
      </w:r>
    </w:p>
    <w:p w:rsidR="00420E93" w:rsidRDefault="00420E93" w:rsidP="00420E93">
      <w:pPr>
        <w:spacing w:after="0"/>
      </w:pPr>
    </w:p>
    <w:p w:rsidR="00420E93" w:rsidRDefault="00420E93" w:rsidP="00420E93">
      <w:pPr>
        <w:spacing w:after="0"/>
      </w:pPr>
      <w:r>
        <w:t>For the interior, Rockwool insulation has been selected due to its excellent thermal efficiency, soundproofing properties, and fire resistance. These features enhance the comfort of the building while significantly reducing energy consumption during its operational phase. In addition, Rockwool is recyclable and has a low carbon footprint, helping to lower the building’s overall energy demand and further reducing its environmental impact over time.</w:t>
      </w:r>
    </w:p>
    <w:p w:rsidR="00420E93" w:rsidRDefault="00420E93" w:rsidP="00420E93">
      <w:pPr>
        <w:spacing w:after="0"/>
      </w:pPr>
    </w:p>
    <w:p w:rsidR="00420E93" w:rsidRDefault="00420E93" w:rsidP="00420E93">
      <w:pPr>
        <w:spacing w:after="0"/>
      </w:pPr>
      <w:r>
        <w:t xml:space="preserve">By carefully selecting these durable and energy-efficient materials, the building’s Whole Life Carbon impact is optimized. The carbon emissions from construction are balanced by the building’s </w:t>
      </w:r>
      <w:r>
        <w:lastRenderedPageBreak/>
        <w:t>operational energy savings, ensuring that it remains sustainable over its entire lifespan. The use of long-lasting materials reduces the frequency of replacements, leading to a lower overall environmental impact and ensuring that the building continues to contribute positively to sustainability throughout its entire life cycle.</w:t>
      </w:r>
    </w:p>
    <w:p w:rsidR="00A10F95" w:rsidRPr="00A10F95" w:rsidRDefault="00A10F95" w:rsidP="00A10F95">
      <w:pPr>
        <w:spacing w:after="0"/>
        <w:rPr>
          <w:b/>
        </w:rPr>
      </w:pPr>
    </w:p>
    <w:p w:rsidR="00A10F95" w:rsidRDefault="00DF4DE1" w:rsidP="00A10F95">
      <w:pPr>
        <w:spacing w:after="0"/>
        <w:rPr>
          <w:b/>
        </w:rPr>
      </w:pPr>
      <w:r>
        <w:rPr>
          <w:b/>
        </w:rPr>
        <w:t>C</w:t>
      </w:r>
      <w:r w:rsidR="00A10F95" w:rsidRPr="00A10F95">
        <w:rPr>
          <w:b/>
        </w:rPr>
        <w:t>. Aesthetics &amp; Social Impact</w:t>
      </w:r>
    </w:p>
    <w:p w:rsidR="00DF4DE1" w:rsidRPr="00A10F95" w:rsidRDefault="00DF4DE1" w:rsidP="00A10F95">
      <w:pPr>
        <w:spacing w:after="0"/>
        <w:rPr>
          <w:b/>
        </w:rPr>
      </w:pPr>
    </w:p>
    <w:p w:rsidR="00A10F95" w:rsidRDefault="00A10F95" w:rsidP="00A10F95">
      <w:pPr>
        <w:spacing w:after="0"/>
      </w:pPr>
      <w:r>
        <w:t>The building’s external appearance and internal layout are carefully designed to enhance both its environmental performance and its contribution to the surrounding community. Architecturally, it adopts a sleek, modern aesthetic that reflects and complements the character of the SA1 Waterfront, Swansea Marina, and the nearby UWTSD Innovation Quarter. This integration into the urban context creates a sense of place and identity while adding value to the area’s regeneration efforts.</w:t>
      </w:r>
    </w:p>
    <w:p w:rsidR="00A10F95" w:rsidRDefault="00A10F95" w:rsidP="00A10F95">
      <w:pPr>
        <w:spacing w:after="0"/>
      </w:pPr>
    </w:p>
    <w:p w:rsidR="00A10F95" w:rsidRDefault="00A10F95" w:rsidP="00A10F95">
      <w:pPr>
        <w:spacing w:after="0"/>
      </w:pPr>
      <w:r>
        <w:t>A key visual feature of the building is the use of a high-performance glass façade, which increases daylight penetration and creates a transparent, open feel. This connection between the indoor and outdoor environments has psychological benefits for occupants, improving well-being and productivity. The rooftop garden not only serves as a green space for relaxation and biodiversity but also contributes to thermal insulation and rainwater retention, supporting the building’s wider sustainability goals.</w:t>
      </w:r>
    </w:p>
    <w:p w:rsidR="00A10F95" w:rsidRDefault="00A10F95" w:rsidP="00A10F95">
      <w:pPr>
        <w:spacing w:after="0"/>
      </w:pPr>
    </w:p>
    <w:p w:rsidR="00A10F95" w:rsidRDefault="00A10F95" w:rsidP="00A10F95">
      <w:pPr>
        <w:spacing w:after="0"/>
      </w:pPr>
      <w:r>
        <w:t>Internally, the building promotes social interaction through well-designed communal areas. These include study lounges, shared kitchens, group work zones, and leisure spaces—all of which are intended to foster a sense of belonging and support mental health. By creating spaces that encourage connection and collaboration, the design supports a thriving student community, helping residents feel at home.</w:t>
      </w:r>
    </w:p>
    <w:p w:rsidR="00A10F95" w:rsidRDefault="00A10F95" w:rsidP="00A10F95">
      <w:pPr>
        <w:spacing w:after="0"/>
      </w:pPr>
    </w:p>
    <w:p w:rsidR="00936496" w:rsidRDefault="00A10F95" w:rsidP="00A10F95">
      <w:pPr>
        <w:spacing w:after="0"/>
      </w:pPr>
      <w:r>
        <w:t>Furthermore, by creating a visually appealing and socially enriching environment, the building enhances the student experience while also reinforcing the values of inclusivity, wellness, and sustainable urban living.</w:t>
      </w:r>
    </w:p>
    <w:p w:rsidR="00420E93" w:rsidRDefault="00420E93" w:rsidP="00420E93">
      <w:pPr>
        <w:spacing w:after="0"/>
      </w:pPr>
    </w:p>
    <w:p w:rsidR="00420E93" w:rsidRPr="00420E93" w:rsidRDefault="00420E93" w:rsidP="00420E93">
      <w:pPr>
        <w:spacing w:after="0"/>
        <w:jc w:val="center"/>
        <w:rPr>
          <w:b/>
          <w:u w:val="single"/>
        </w:rPr>
      </w:pPr>
      <w:r w:rsidRPr="00420E93">
        <w:rPr>
          <w:b/>
          <w:u w:val="single"/>
        </w:rPr>
        <w:t>Façade Greening &amp; Sustainable Urban Drainage Systems (SUDS)</w:t>
      </w:r>
    </w:p>
    <w:p w:rsidR="00420E93" w:rsidRDefault="00420E93" w:rsidP="00420E93">
      <w:pPr>
        <w:spacing w:after="0"/>
      </w:pPr>
    </w:p>
    <w:p w:rsidR="00420E93" w:rsidRDefault="00DF4DE1" w:rsidP="00420E93">
      <w:pPr>
        <w:spacing w:after="0"/>
        <w:rPr>
          <w:b/>
        </w:rPr>
      </w:pPr>
      <w:r>
        <w:rPr>
          <w:b/>
        </w:rPr>
        <w:t>A</w:t>
      </w:r>
      <w:r w:rsidR="00420E93" w:rsidRPr="00420E93">
        <w:rPr>
          <w:b/>
        </w:rPr>
        <w:t>. Green Facades</w:t>
      </w:r>
    </w:p>
    <w:p w:rsidR="008A765C" w:rsidRPr="00420E93" w:rsidRDefault="008A765C" w:rsidP="00420E93">
      <w:pPr>
        <w:spacing w:after="0"/>
        <w:rPr>
          <w:b/>
        </w:rPr>
      </w:pPr>
    </w:p>
    <w:p w:rsidR="00420E93" w:rsidRDefault="00420E93" w:rsidP="00420E93">
      <w:pPr>
        <w:spacing w:after="0"/>
      </w:pPr>
      <w:r>
        <w:t>The inclusion of green façades in the building design offers both ecological and aesthetic benefits. The use of modular living wall systems on sun-exposed elevations will not only enhance air quality and insulation but also contribute to local biodiversity by providing habitats for wildlife. Additionally, these green walls will improve the building's visual appeal and help it better integrate with the surrounding urban environment.</w:t>
      </w:r>
    </w:p>
    <w:p w:rsidR="00420E93" w:rsidRDefault="00420E93" w:rsidP="00420E93">
      <w:pPr>
        <w:spacing w:after="0"/>
      </w:pPr>
    </w:p>
    <w:p w:rsidR="00420E93" w:rsidRDefault="00420E93" w:rsidP="00420E93">
      <w:pPr>
        <w:spacing w:after="0"/>
      </w:pPr>
      <w:r>
        <w:t>To ensure the greenery remains vibrant and healthy, an irrigation system will be incorporated, ensuring that the plants thrive throughout the year. Regular seasonal care will be needed to maintain the environmental and aesthetic benefits of the green façades.</w:t>
      </w:r>
    </w:p>
    <w:p w:rsidR="00420E93" w:rsidRDefault="00420E93" w:rsidP="00420E93">
      <w:pPr>
        <w:spacing w:after="0"/>
      </w:pPr>
    </w:p>
    <w:p w:rsidR="00420E93" w:rsidRDefault="00420E93" w:rsidP="00420E93">
      <w:pPr>
        <w:spacing w:after="0"/>
      </w:pPr>
      <w:r>
        <w:t>The design draws inspiration from Bosco Verticale in Milan, a renowned example of successful green façade integration into high-rise residential buildings. The guidelines outlined in BS EN 17101—</w:t>
      </w:r>
      <w:r>
        <w:lastRenderedPageBreak/>
        <w:t>which covers the design and maintenance of green façades and roofs—will be followed in this project.</w:t>
      </w:r>
    </w:p>
    <w:p w:rsidR="00420E93" w:rsidRDefault="00420E93" w:rsidP="00420E93">
      <w:pPr>
        <w:spacing w:after="0"/>
      </w:pPr>
    </w:p>
    <w:p w:rsidR="00420E93" w:rsidRDefault="00DF4DE1" w:rsidP="00420E93">
      <w:pPr>
        <w:spacing w:after="0"/>
        <w:rPr>
          <w:b/>
        </w:rPr>
      </w:pPr>
      <w:r>
        <w:rPr>
          <w:b/>
        </w:rPr>
        <w:t>B</w:t>
      </w:r>
      <w:r w:rsidR="00420E93" w:rsidRPr="00420E93">
        <w:rPr>
          <w:b/>
        </w:rPr>
        <w:t>. Sustainable Urban Drainage Systems (SUDS)</w:t>
      </w:r>
    </w:p>
    <w:p w:rsidR="00420E93" w:rsidRPr="00420E93" w:rsidRDefault="00420E93" w:rsidP="00420E93">
      <w:pPr>
        <w:spacing w:after="0"/>
        <w:rPr>
          <w:b/>
        </w:rPr>
      </w:pPr>
    </w:p>
    <w:p w:rsidR="00420E93" w:rsidRDefault="00420E93" w:rsidP="00420E93">
      <w:pPr>
        <w:spacing w:after="0"/>
      </w:pPr>
      <w:r>
        <w:t>The building will implement an advanced Sustainable Urban Drainage System (SUDS) to manage storm water runoff effectively. Permeable paving will be employed in courtyards and pedestrian walkways, allowing rainwater to seep into the ground rather than flow into the drainage system. A green roof and rooftop garden will further contribute to rainwater retention, decreasing the risk of flooding in the reclaimed dockland area.</w:t>
      </w:r>
    </w:p>
    <w:p w:rsidR="00420E93" w:rsidRDefault="00420E93" w:rsidP="00420E93">
      <w:pPr>
        <w:spacing w:after="0"/>
      </w:pPr>
    </w:p>
    <w:p w:rsidR="00420E93" w:rsidRDefault="00420E93" w:rsidP="00420E93">
      <w:pPr>
        <w:spacing w:after="0"/>
      </w:pPr>
      <w:r>
        <w:t>Additionally, a rainwater harvesting system will be integrated to capture and store rainwater, which can be used for non-potable purposes such as toilet flushing and irrigation. This will reduce reliance on potable water, further enhancing the building’s environmental sustainability.</w:t>
      </w:r>
    </w:p>
    <w:p w:rsidR="00420E93" w:rsidRDefault="00420E93" w:rsidP="00420E93">
      <w:pPr>
        <w:spacing w:after="0"/>
      </w:pPr>
    </w:p>
    <w:p w:rsidR="005A4312" w:rsidRDefault="00420E93" w:rsidP="00420E93">
      <w:pPr>
        <w:spacing w:after="0"/>
      </w:pPr>
      <w:r>
        <w:t>The design and implementation of the SUDS system follow best practice guidelines from CIRIA C753 – The SuDS Manual, which ensures the system's effectiveness in managing storm water. Calculations for the estimated reduction in surface runoff, made possible by the green roof and permeable surfaces, will be included in the project’s appendix.</w:t>
      </w:r>
    </w:p>
    <w:p w:rsidR="005A4312" w:rsidRDefault="005A4312" w:rsidP="00420E93">
      <w:pPr>
        <w:spacing w:after="0"/>
      </w:pPr>
    </w:p>
    <w:p w:rsidR="005A4312" w:rsidRDefault="005A4312" w:rsidP="00420E93">
      <w:pPr>
        <w:spacing w:after="0"/>
      </w:pPr>
    </w:p>
    <w:p w:rsidR="005A4312" w:rsidRDefault="00420E93" w:rsidP="005A4312">
      <w:pPr>
        <w:spacing w:after="0"/>
        <w:jc w:val="center"/>
        <w:rPr>
          <w:b/>
          <w:u w:val="single"/>
        </w:rPr>
      </w:pPr>
      <w:r w:rsidRPr="00420E93">
        <w:rPr>
          <w:b/>
          <w:u w:val="single"/>
        </w:rPr>
        <w:t xml:space="preserve"> Flexibility in Design &amp; Adaptability</w:t>
      </w:r>
    </w:p>
    <w:p w:rsidR="00420E93" w:rsidRPr="00420E93" w:rsidRDefault="00420E93" w:rsidP="00420E93">
      <w:pPr>
        <w:spacing w:after="0"/>
        <w:jc w:val="center"/>
        <w:rPr>
          <w:b/>
          <w:u w:val="single"/>
        </w:rPr>
      </w:pPr>
    </w:p>
    <w:p w:rsidR="00420E93" w:rsidRPr="00420E93" w:rsidRDefault="00DF4DE1" w:rsidP="00420E93">
      <w:pPr>
        <w:spacing w:after="0"/>
        <w:rPr>
          <w:b/>
        </w:rPr>
      </w:pPr>
      <w:r>
        <w:rPr>
          <w:b/>
        </w:rPr>
        <w:t>A</w:t>
      </w:r>
      <w:r w:rsidR="00420E93" w:rsidRPr="00420E93">
        <w:rPr>
          <w:b/>
        </w:rPr>
        <w:t>. Adaptability for Evolving Needs</w:t>
      </w:r>
    </w:p>
    <w:p w:rsidR="00420E93" w:rsidRDefault="00420E93" w:rsidP="00420E93">
      <w:pPr>
        <w:spacing w:after="0"/>
      </w:pPr>
    </w:p>
    <w:p w:rsidR="00420E93" w:rsidRDefault="00420E93" w:rsidP="00420E93">
      <w:pPr>
        <w:spacing w:after="0"/>
      </w:pPr>
      <w:r>
        <w:t>The building’s design incorporates features that ensure its long-term adaptability to evolving demands. The communal spaces are designed with an open-plan layout, allowing for easy reconfiguration through the use of modular partitions. This design flexibility ensures that these areas can be modified as needed to serve different functions, whether for group study sessions, social activities, or other purposes in response to changing community needs.</w:t>
      </w:r>
    </w:p>
    <w:p w:rsidR="00420E93" w:rsidRDefault="00420E93" w:rsidP="00420E93">
      <w:pPr>
        <w:spacing w:after="0"/>
      </w:pPr>
    </w:p>
    <w:p w:rsidR="00420E93" w:rsidRDefault="00420E93" w:rsidP="00420E93">
      <w:pPr>
        <w:spacing w:after="0"/>
      </w:pPr>
      <w:r>
        <w:t>In addition to flexible communal areas, the room layouts are also versatile, offering the potential for conversion into alternative housing configurations, such as co-living spaces or micro-housing. This flexibility enables the building to remain relevant and functional as the demographic and social needs of the occupants evolve over time.</w:t>
      </w:r>
    </w:p>
    <w:p w:rsidR="00420E93" w:rsidRDefault="00420E93" w:rsidP="00420E93">
      <w:pPr>
        <w:spacing w:after="0"/>
      </w:pPr>
    </w:p>
    <w:p w:rsidR="00420E93" w:rsidRDefault="00420E93" w:rsidP="00420E93">
      <w:pPr>
        <w:spacing w:after="0"/>
      </w:pPr>
      <w:r>
        <w:t>The construction includes the use of modular prefabricated units, which not only speed up the building process but also make future deconstruction more straightforward. These units can be disassembled and repurposed or reused, significantly reducing waste and enhancing the building’s overall sustainability.</w:t>
      </w:r>
    </w:p>
    <w:p w:rsidR="00420E93" w:rsidRPr="00420E93" w:rsidRDefault="00420E93" w:rsidP="00420E93">
      <w:pPr>
        <w:spacing w:after="0"/>
        <w:rPr>
          <w:b/>
        </w:rPr>
      </w:pPr>
    </w:p>
    <w:p w:rsidR="00420E93" w:rsidRDefault="00DF4DE1" w:rsidP="00420E93">
      <w:pPr>
        <w:spacing w:after="0"/>
        <w:rPr>
          <w:b/>
        </w:rPr>
      </w:pPr>
      <w:r>
        <w:rPr>
          <w:b/>
        </w:rPr>
        <w:t>B</w:t>
      </w:r>
      <w:r w:rsidR="00420E93" w:rsidRPr="00420E93">
        <w:rPr>
          <w:b/>
        </w:rPr>
        <w:t>. Potential for Future Uses</w:t>
      </w:r>
    </w:p>
    <w:p w:rsidR="00420E93" w:rsidRPr="00420E93" w:rsidRDefault="00420E93" w:rsidP="00420E93">
      <w:pPr>
        <w:spacing w:after="0"/>
        <w:rPr>
          <w:b/>
        </w:rPr>
      </w:pPr>
    </w:p>
    <w:p w:rsidR="00420E93" w:rsidRDefault="00420E93" w:rsidP="00420E93">
      <w:pPr>
        <w:spacing w:after="0"/>
      </w:pPr>
      <w:r>
        <w:t>The building's adaptable design also allows it to accommodate a variety of potential uses beyond student housing, making it a valuable asset for future transformation. Possible alternative uses include:</w:t>
      </w:r>
    </w:p>
    <w:p w:rsidR="00420E93" w:rsidRDefault="00420E93" w:rsidP="00420E93">
      <w:pPr>
        <w:spacing w:after="0"/>
      </w:pPr>
    </w:p>
    <w:p w:rsidR="00420E93" w:rsidRDefault="00420E93" w:rsidP="00420E93">
      <w:pPr>
        <w:spacing w:after="0"/>
      </w:pPr>
      <w:r>
        <w:lastRenderedPageBreak/>
        <w:t>Co-living Spaces: The building could be reimagined as a co-living facility for young professionals, providing flexible living spaces with shared communal areas that foster community interaction and collaboration.</w:t>
      </w:r>
    </w:p>
    <w:p w:rsidR="00420E93" w:rsidRDefault="00420E93" w:rsidP="00420E93">
      <w:pPr>
        <w:spacing w:after="0"/>
      </w:pPr>
    </w:p>
    <w:p w:rsidR="00420E93" w:rsidRDefault="00420E93" w:rsidP="00420E93">
      <w:pPr>
        <w:spacing w:after="0"/>
      </w:pPr>
      <w:r>
        <w:t>Short-Term Urban Hotel: Given its proximity to Swansea Marina and the city centre, the building has the potential to be converted into a short-term urban hotel, catering to tourists, business travellers, and short-stay guests.</w:t>
      </w:r>
    </w:p>
    <w:p w:rsidR="00420E93" w:rsidRDefault="00420E93" w:rsidP="00420E93">
      <w:pPr>
        <w:spacing w:after="0"/>
      </w:pPr>
    </w:p>
    <w:p w:rsidR="00420E93" w:rsidRDefault="00420E93" w:rsidP="00420E93">
      <w:pPr>
        <w:spacing w:after="0"/>
      </w:pPr>
      <w:r>
        <w:t>Innovation Hub/Start-Up Studios: The adaptable layouts make it possible to convert the spaces into offices or studio units for start-up businesses and entrepreneurs, providing a collaborative environment to foster innovation in the region.</w:t>
      </w:r>
    </w:p>
    <w:p w:rsidR="00420E93" w:rsidRDefault="00420E93" w:rsidP="00420E93">
      <w:pPr>
        <w:spacing w:after="0"/>
      </w:pPr>
    </w:p>
    <w:p w:rsidR="00420E93" w:rsidRDefault="00420E93" w:rsidP="00420E93">
      <w:pPr>
        <w:spacing w:after="0"/>
      </w:pPr>
      <w:r>
        <w:t>Retirement or Assisted Living Flats: With its universal design principles, including wide corridors and lift access, the building is well-suited for future use as retirement homes or assisted living flats. This design accommodates the needs of elderly residents or those with mobility impairments, ensuring accessibility and comfort.</w:t>
      </w:r>
    </w:p>
    <w:p w:rsidR="00420E93" w:rsidRDefault="00420E93" w:rsidP="00420E93">
      <w:pPr>
        <w:spacing w:after="0"/>
      </w:pPr>
    </w:p>
    <w:p w:rsidR="00B009D5" w:rsidRDefault="00420E93" w:rsidP="00420E93">
      <w:pPr>
        <w:spacing w:after="0"/>
      </w:pPr>
      <w:r>
        <w:t>The flexibility embedded in the building’s design ensures that it can easily transition to serve a variety of purposes as the community’s needs change, supporting its long-term sustainability and relevance.</w:t>
      </w:r>
    </w:p>
    <w:p w:rsidR="00420E93" w:rsidRDefault="00420E93" w:rsidP="00420E93">
      <w:pPr>
        <w:spacing w:after="0"/>
      </w:pPr>
    </w:p>
    <w:p w:rsidR="005A4312" w:rsidRDefault="005A4312" w:rsidP="00420E93">
      <w:pPr>
        <w:spacing w:after="0"/>
      </w:pPr>
    </w:p>
    <w:p w:rsidR="005A4312" w:rsidRDefault="005A4312" w:rsidP="00420E93">
      <w:pPr>
        <w:spacing w:after="0"/>
      </w:pPr>
    </w:p>
    <w:p w:rsidR="00200927" w:rsidRPr="00200927" w:rsidRDefault="00200927" w:rsidP="00200927">
      <w:pPr>
        <w:jc w:val="center"/>
        <w:rPr>
          <w:b/>
          <w:u w:val="single"/>
        </w:rPr>
      </w:pPr>
      <w:r w:rsidRPr="00200927">
        <w:rPr>
          <w:b/>
          <w:u w:val="single"/>
        </w:rPr>
        <w:t>Conclusion</w:t>
      </w:r>
    </w:p>
    <w:p w:rsidR="00200927" w:rsidRDefault="00200927" w:rsidP="00200927">
      <w:r>
        <w:t>The proposed student accommodation in Swansea’s SA1 district presents a forward-looking solution to contemporary challenges in urban housing, environmental sustainability, and community living. Carefully situated in a vibrant and regenerating part of the city, the development is designed not only to meet the immediate needs of students but also to remain relevant and resilient in the face of future change.</w:t>
      </w:r>
    </w:p>
    <w:p w:rsidR="00200927" w:rsidRDefault="00200927" w:rsidP="00200927">
      <w:r>
        <w:t>By integrating energy-conscious design strategies with durable, low-carbon materials, the building exemplifies a commitment to long-term environmental responsibility. Passive solar orientation, enhanced natural ventilation, and high-performance insulation collectively reduce operational energy demands, aligning the project with both national regulations and international sustainability standards. The use of robust materials such as reinforced concrete, Alucobond cladding, and Rockwool insulation ensures long-lasting performance in the coastal climate, reducing the carbon footprint associated with maintenance and replacements.</w:t>
      </w:r>
    </w:p>
    <w:p w:rsidR="00200927" w:rsidRDefault="00200927" w:rsidP="00200927">
      <w:r>
        <w:t>In addition to its environmental focus, the building promotes social well-being through inclusive and thoughtfully designed communal spaces. These areas foster collaboration, relaxation, and a strong sense of belonging among residents, supporting both academic success and mental health. The incorporation of biophilic elements, including rooftop gardens and green façades, strengthens the connection between occupants and the natural environment while enhancing the building’s aesthetic value and ecological contribution.</w:t>
      </w:r>
    </w:p>
    <w:p w:rsidR="00200927" w:rsidRDefault="00200927" w:rsidP="00200927">
      <w:r>
        <w:t xml:space="preserve">One of the project’s defining features is its adaptability. Through modular construction, flexible layouts, and universal design principles, the building can be repurposed in the future to meet a variety of alternative uses—such as co-living arrangements, urban hotels, innovation hubs, or </w:t>
      </w:r>
      <w:r>
        <w:lastRenderedPageBreak/>
        <w:t>retirement housing. This built-in flexibility ensures the building remains useful and efficient over its lifespan, contributing to a circular, sustainable approach to development.</w:t>
      </w:r>
    </w:p>
    <w:p w:rsidR="00AE278D" w:rsidRDefault="00200927" w:rsidP="00200927">
      <w:r>
        <w:t>Ultimately, the SA1 student accommodation project represents a holistic model for sustainable building design. It responds to today’s environmental challenges while anticipating tomorrow’s urban needs, offering a high-quality, energy-efficient, and socially enriching space for students and beyond. Through its thoughtful design and forward-thinking approach, the project stands to make a lasting contribution to the regeneration of Swansea’s waterfront and to the broader goals of sustainable urban development.</w:t>
      </w:r>
    </w:p>
    <w:p w:rsidR="00A07D66" w:rsidRDefault="00A07D66" w:rsidP="00200927"/>
    <w:p w:rsidR="00A07D66" w:rsidRDefault="00A07D66" w:rsidP="00200927"/>
    <w:p w:rsidR="00A07D66" w:rsidRPr="00A07D66" w:rsidRDefault="00A07D66" w:rsidP="00A07D66">
      <w:pPr>
        <w:spacing w:before="100" w:beforeAutospacing="1" w:after="100" w:afterAutospacing="1" w:line="240" w:lineRule="auto"/>
        <w:rPr>
          <w:rFonts w:ascii="Calibri" w:eastAsia="Times New Roman" w:hAnsi="Calibri" w:cs="Calibri"/>
          <w:szCs w:val="24"/>
          <w:lang w:eastAsia="en-GB"/>
        </w:rPr>
      </w:pPr>
      <w:r w:rsidRPr="00A07D66">
        <w:rPr>
          <w:rFonts w:ascii="Calibri" w:eastAsia="Times New Roman" w:hAnsi="Calibri" w:cs="Calibri"/>
          <w:b/>
          <w:bCs/>
          <w:szCs w:val="24"/>
          <w:lang w:eastAsia="en-GB"/>
        </w:rPr>
        <w:t>References</w:t>
      </w:r>
    </w:p>
    <w:p w:rsidR="00A07D66" w:rsidRDefault="00A07D66" w:rsidP="00A07D66">
      <w:pPr>
        <w:numPr>
          <w:ilvl w:val="0"/>
          <w:numId w:val="14"/>
        </w:numPr>
        <w:spacing w:before="100" w:beforeAutospacing="1" w:after="100" w:afterAutospacing="1" w:line="240" w:lineRule="auto"/>
        <w:rPr>
          <w:rFonts w:ascii="Calibri" w:eastAsia="Times New Roman" w:hAnsi="Calibri" w:cs="Calibri"/>
          <w:szCs w:val="24"/>
          <w:lang w:eastAsia="en-GB"/>
        </w:rPr>
      </w:pPr>
      <w:r w:rsidRPr="00A07D66">
        <w:rPr>
          <w:rFonts w:ascii="Calibri" w:eastAsia="Times New Roman" w:hAnsi="Calibri" w:cs="Calibri"/>
          <w:szCs w:val="24"/>
          <w:lang w:eastAsia="en-GB"/>
        </w:rPr>
        <w:t xml:space="preserve">British Standards Institution (BSI), </w:t>
      </w:r>
      <w:r w:rsidRPr="00A07D66">
        <w:rPr>
          <w:rFonts w:ascii="Calibri" w:eastAsia="Times New Roman" w:hAnsi="Calibri" w:cs="Calibri"/>
          <w:i/>
          <w:iCs/>
          <w:szCs w:val="24"/>
          <w:lang w:eastAsia="en-GB"/>
        </w:rPr>
        <w:t>BS EN ISO 52016:2017 – Energy performance of buildings – Calculation of the energy needs for heating and cooling</w:t>
      </w:r>
      <w:r w:rsidRPr="00A07D66">
        <w:rPr>
          <w:rFonts w:ascii="Calibri" w:eastAsia="Times New Roman" w:hAnsi="Calibri" w:cs="Calibri"/>
          <w:szCs w:val="24"/>
          <w:lang w:eastAsia="en-GB"/>
        </w:rPr>
        <w:t xml:space="preserve">, BSI, London, 2017. Last updated: 2017. Available at: </w:t>
      </w:r>
      <w:hyperlink r:id="rId5" w:history="1">
        <w:r w:rsidRPr="00272A8C">
          <w:rPr>
            <w:rStyle w:val="Hyperlink"/>
            <w:rFonts w:ascii="Calibri" w:eastAsia="Times New Roman" w:hAnsi="Calibri" w:cs="Calibri"/>
            <w:szCs w:val="24"/>
            <w:lang w:eastAsia="en-GB"/>
          </w:rPr>
          <w:t>https://shop.bsigroup.com</w:t>
        </w:r>
      </w:hyperlink>
      <w:r w:rsidRPr="00A07D66">
        <w:rPr>
          <w:rFonts w:ascii="Calibri" w:eastAsia="Times New Roman" w:hAnsi="Calibri" w:cs="Calibri"/>
          <w:szCs w:val="24"/>
          <w:lang w:eastAsia="en-GB"/>
        </w:rPr>
        <w:t>.</w:t>
      </w:r>
      <w:r>
        <w:rPr>
          <w:rFonts w:ascii="Calibri" w:eastAsia="Times New Roman" w:hAnsi="Calibri" w:cs="Calibri"/>
          <w:szCs w:val="24"/>
          <w:lang w:eastAsia="en-GB"/>
        </w:rPr>
        <w:t xml:space="preserve"> </w:t>
      </w:r>
    </w:p>
    <w:p w:rsidR="00A07D66" w:rsidRPr="00A07D66" w:rsidRDefault="00A07D66" w:rsidP="00A07D66">
      <w:pPr>
        <w:spacing w:before="100" w:beforeAutospacing="1" w:after="100" w:afterAutospacing="1" w:line="240" w:lineRule="auto"/>
        <w:ind w:left="720"/>
        <w:rPr>
          <w:rFonts w:ascii="Calibri" w:eastAsia="Times New Roman" w:hAnsi="Calibri" w:cs="Calibri"/>
          <w:szCs w:val="24"/>
          <w:lang w:eastAsia="en-GB"/>
        </w:rPr>
      </w:pPr>
    </w:p>
    <w:p w:rsidR="00A07D66" w:rsidRDefault="00A07D66" w:rsidP="00A07D66">
      <w:pPr>
        <w:numPr>
          <w:ilvl w:val="0"/>
          <w:numId w:val="14"/>
        </w:numPr>
        <w:spacing w:before="100" w:beforeAutospacing="1" w:after="100" w:afterAutospacing="1" w:line="240" w:lineRule="auto"/>
        <w:rPr>
          <w:rFonts w:ascii="Calibri" w:eastAsia="Times New Roman" w:hAnsi="Calibri" w:cs="Calibri"/>
          <w:szCs w:val="24"/>
          <w:lang w:eastAsia="en-GB"/>
        </w:rPr>
      </w:pPr>
      <w:r w:rsidRPr="00A07D66">
        <w:rPr>
          <w:rFonts w:ascii="Calibri" w:eastAsia="Times New Roman" w:hAnsi="Calibri" w:cs="Calibri"/>
          <w:szCs w:val="24"/>
          <w:lang w:eastAsia="en-GB"/>
        </w:rPr>
        <w:t xml:space="preserve">Construction Industry Research and Information Association (CIRIA), </w:t>
      </w:r>
      <w:r w:rsidRPr="00A07D66">
        <w:rPr>
          <w:rFonts w:ascii="Calibri" w:eastAsia="Times New Roman" w:hAnsi="Calibri" w:cs="Calibri"/>
          <w:i/>
          <w:iCs/>
          <w:szCs w:val="24"/>
          <w:lang w:eastAsia="en-GB"/>
        </w:rPr>
        <w:t>C753 – The SuDS Manual</w:t>
      </w:r>
      <w:r w:rsidRPr="00A07D66">
        <w:rPr>
          <w:rFonts w:ascii="Calibri" w:eastAsia="Times New Roman" w:hAnsi="Calibri" w:cs="Calibri"/>
          <w:szCs w:val="24"/>
          <w:lang w:eastAsia="en-GB"/>
        </w:rPr>
        <w:t xml:space="preserve">, CIRIA, London, 2015. Last updated: 2015. Available at: </w:t>
      </w:r>
      <w:hyperlink r:id="rId6" w:tgtFrame="_new" w:history="1">
        <w:r w:rsidRPr="00A07D66">
          <w:rPr>
            <w:rFonts w:ascii="Calibri" w:eastAsia="Times New Roman" w:hAnsi="Calibri" w:cs="Calibri"/>
            <w:color w:val="0000FF"/>
            <w:szCs w:val="24"/>
            <w:u w:val="single"/>
            <w:lang w:eastAsia="en-GB"/>
          </w:rPr>
          <w:t>https://www.ciria.org</w:t>
        </w:r>
      </w:hyperlink>
      <w:r w:rsidRPr="00A07D66">
        <w:rPr>
          <w:rFonts w:ascii="Calibri" w:eastAsia="Times New Roman" w:hAnsi="Calibri" w:cs="Calibri"/>
          <w:szCs w:val="24"/>
          <w:lang w:eastAsia="en-GB"/>
        </w:rPr>
        <w:t>.</w:t>
      </w:r>
    </w:p>
    <w:p w:rsidR="00A07D66" w:rsidRPr="00A07D66" w:rsidRDefault="00A07D66" w:rsidP="00A07D66">
      <w:pPr>
        <w:spacing w:before="100" w:beforeAutospacing="1" w:after="100" w:afterAutospacing="1" w:line="240" w:lineRule="auto"/>
        <w:rPr>
          <w:rFonts w:ascii="Calibri" w:eastAsia="Times New Roman" w:hAnsi="Calibri" w:cs="Calibri"/>
          <w:szCs w:val="24"/>
          <w:lang w:eastAsia="en-GB"/>
        </w:rPr>
      </w:pPr>
    </w:p>
    <w:p w:rsidR="00A07D66" w:rsidRDefault="00A07D66" w:rsidP="00A07D66">
      <w:pPr>
        <w:numPr>
          <w:ilvl w:val="0"/>
          <w:numId w:val="14"/>
        </w:numPr>
        <w:spacing w:before="100" w:beforeAutospacing="1" w:after="100" w:afterAutospacing="1" w:line="240" w:lineRule="auto"/>
        <w:rPr>
          <w:rFonts w:ascii="Calibri" w:eastAsia="Times New Roman" w:hAnsi="Calibri" w:cs="Calibri"/>
          <w:szCs w:val="24"/>
          <w:lang w:eastAsia="en-GB"/>
        </w:rPr>
      </w:pPr>
      <w:r w:rsidRPr="00A07D66">
        <w:rPr>
          <w:rFonts w:ascii="Calibri" w:eastAsia="Times New Roman" w:hAnsi="Calibri" w:cs="Calibri"/>
          <w:szCs w:val="24"/>
          <w:lang w:eastAsia="en-GB"/>
        </w:rPr>
        <w:t xml:space="preserve">Department for Business, Energy &amp; Industrial Strategy (BEIS), </w:t>
      </w:r>
      <w:r w:rsidRPr="00A07D66">
        <w:rPr>
          <w:rFonts w:ascii="Calibri" w:eastAsia="Times New Roman" w:hAnsi="Calibri" w:cs="Calibri"/>
          <w:i/>
          <w:iCs/>
          <w:szCs w:val="24"/>
          <w:lang w:eastAsia="en-GB"/>
        </w:rPr>
        <w:t>Building Regulations Part L: Conservation of fuel and power in new buildings</w:t>
      </w:r>
      <w:r w:rsidRPr="00A07D66">
        <w:rPr>
          <w:rFonts w:ascii="Calibri" w:eastAsia="Times New Roman" w:hAnsi="Calibri" w:cs="Calibri"/>
          <w:szCs w:val="24"/>
          <w:lang w:eastAsia="en-GB"/>
        </w:rPr>
        <w:t xml:space="preserve">, BEIS, London, 2021. Last updated: 2021. Available at: </w:t>
      </w:r>
      <w:hyperlink r:id="rId7" w:history="1">
        <w:r w:rsidRPr="00272A8C">
          <w:rPr>
            <w:rStyle w:val="Hyperlink"/>
            <w:rFonts w:ascii="Calibri" w:eastAsia="Times New Roman" w:hAnsi="Calibri" w:cs="Calibri"/>
            <w:szCs w:val="24"/>
            <w:lang w:eastAsia="en-GB"/>
          </w:rPr>
          <w:t>https://www.gov.uk/government/publications</w:t>
        </w:r>
      </w:hyperlink>
      <w:r w:rsidRPr="00A07D66">
        <w:rPr>
          <w:rFonts w:ascii="Calibri" w:eastAsia="Times New Roman" w:hAnsi="Calibri" w:cs="Calibri"/>
          <w:szCs w:val="24"/>
          <w:lang w:eastAsia="en-GB"/>
        </w:rPr>
        <w:t>.</w:t>
      </w:r>
      <w:r>
        <w:rPr>
          <w:rFonts w:ascii="Calibri" w:eastAsia="Times New Roman" w:hAnsi="Calibri" w:cs="Calibri"/>
          <w:szCs w:val="24"/>
          <w:lang w:eastAsia="en-GB"/>
        </w:rPr>
        <w:t xml:space="preserve"> </w:t>
      </w:r>
    </w:p>
    <w:p w:rsidR="00A07D66" w:rsidRPr="00A07D66" w:rsidRDefault="00A07D66" w:rsidP="00A07D66">
      <w:pPr>
        <w:spacing w:before="100" w:beforeAutospacing="1" w:after="100" w:afterAutospacing="1" w:line="240" w:lineRule="auto"/>
        <w:rPr>
          <w:rFonts w:ascii="Calibri" w:eastAsia="Times New Roman" w:hAnsi="Calibri" w:cs="Calibri"/>
          <w:szCs w:val="24"/>
          <w:lang w:eastAsia="en-GB"/>
        </w:rPr>
      </w:pPr>
    </w:p>
    <w:p w:rsidR="00A07D66" w:rsidRPr="00A07D66" w:rsidRDefault="00A07D66" w:rsidP="00A07D66">
      <w:pPr>
        <w:numPr>
          <w:ilvl w:val="0"/>
          <w:numId w:val="14"/>
        </w:numPr>
        <w:spacing w:before="100" w:beforeAutospacing="1" w:after="100" w:afterAutospacing="1" w:line="240" w:lineRule="auto"/>
        <w:rPr>
          <w:rFonts w:ascii="Calibri" w:eastAsia="Times New Roman" w:hAnsi="Calibri" w:cs="Calibri"/>
          <w:szCs w:val="24"/>
          <w:lang w:eastAsia="en-GB"/>
        </w:rPr>
      </w:pPr>
      <w:r w:rsidRPr="00A07D66">
        <w:rPr>
          <w:rFonts w:ascii="Calibri" w:eastAsia="Times New Roman" w:hAnsi="Calibri" w:cs="Calibri"/>
          <w:szCs w:val="24"/>
          <w:lang w:eastAsia="en-GB"/>
        </w:rPr>
        <w:t xml:space="preserve">UK Green Building Council (UKGBC), </w:t>
      </w:r>
      <w:r w:rsidRPr="00A07D66">
        <w:rPr>
          <w:rFonts w:ascii="Calibri" w:eastAsia="Times New Roman" w:hAnsi="Calibri" w:cs="Calibri"/>
          <w:i/>
          <w:iCs/>
          <w:szCs w:val="24"/>
          <w:lang w:eastAsia="en-GB"/>
        </w:rPr>
        <w:t>Sustainable Construction and the Environment</w:t>
      </w:r>
      <w:r w:rsidRPr="00A07D66">
        <w:rPr>
          <w:rFonts w:ascii="Calibri" w:eastAsia="Times New Roman" w:hAnsi="Calibri" w:cs="Calibri"/>
          <w:szCs w:val="24"/>
          <w:lang w:eastAsia="en-GB"/>
        </w:rPr>
        <w:t xml:space="preserve">, UKGBC, London, 2016. Last updated: 2016. Available at: </w:t>
      </w:r>
      <w:hyperlink r:id="rId8" w:tgtFrame="_new" w:history="1">
        <w:r w:rsidRPr="00A07D66">
          <w:rPr>
            <w:rFonts w:ascii="Calibri" w:eastAsia="Times New Roman" w:hAnsi="Calibri" w:cs="Calibri"/>
            <w:color w:val="0000FF"/>
            <w:szCs w:val="24"/>
            <w:u w:val="single"/>
            <w:lang w:eastAsia="en-GB"/>
          </w:rPr>
          <w:t>https://www.ukgbc.org</w:t>
        </w:r>
      </w:hyperlink>
      <w:r w:rsidRPr="00A07D66">
        <w:rPr>
          <w:rFonts w:ascii="Calibri" w:eastAsia="Times New Roman" w:hAnsi="Calibri" w:cs="Calibri"/>
          <w:szCs w:val="24"/>
          <w:lang w:eastAsia="en-GB"/>
        </w:rPr>
        <w:t>.</w:t>
      </w:r>
    </w:p>
    <w:p w:rsidR="00A07D66" w:rsidRPr="005A4312" w:rsidRDefault="00A07D66" w:rsidP="00200927"/>
    <w:sectPr w:rsidR="00A07D66" w:rsidRPr="005A4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A247C2"/>
    <w:multiLevelType w:val="multilevel"/>
    <w:tmpl w:val="1C8CA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E7773"/>
    <w:multiLevelType w:val="multilevel"/>
    <w:tmpl w:val="9898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06FCF"/>
    <w:multiLevelType w:val="multilevel"/>
    <w:tmpl w:val="43DE0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DA4949"/>
    <w:multiLevelType w:val="multilevel"/>
    <w:tmpl w:val="54A6F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E03681"/>
    <w:multiLevelType w:val="multilevel"/>
    <w:tmpl w:val="886C2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531748"/>
    <w:multiLevelType w:val="multilevel"/>
    <w:tmpl w:val="CE3C6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5419B7"/>
    <w:multiLevelType w:val="multilevel"/>
    <w:tmpl w:val="67C6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654600"/>
    <w:multiLevelType w:val="multilevel"/>
    <w:tmpl w:val="4FC6C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DA4D41"/>
    <w:multiLevelType w:val="multilevel"/>
    <w:tmpl w:val="E388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7B2CC9"/>
    <w:multiLevelType w:val="multilevel"/>
    <w:tmpl w:val="9D986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B70BC2"/>
    <w:multiLevelType w:val="multilevel"/>
    <w:tmpl w:val="76949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614B42"/>
    <w:multiLevelType w:val="multilevel"/>
    <w:tmpl w:val="F40AD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D45B94"/>
    <w:multiLevelType w:val="multilevel"/>
    <w:tmpl w:val="FF423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9E327C"/>
    <w:multiLevelType w:val="multilevel"/>
    <w:tmpl w:val="09EC0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2"/>
  </w:num>
  <w:num w:numId="3">
    <w:abstractNumId w:val="0"/>
  </w:num>
  <w:num w:numId="4">
    <w:abstractNumId w:val="4"/>
  </w:num>
  <w:num w:numId="5">
    <w:abstractNumId w:val="11"/>
  </w:num>
  <w:num w:numId="6">
    <w:abstractNumId w:val="13"/>
  </w:num>
  <w:num w:numId="7">
    <w:abstractNumId w:val="1"/>
  </w:num>
  <w:num w:numId="8">
    <w:abstractNumId w:val="6"/>
  </w:num>
  <w:num w:numId="9">
    <w:abstractNumId w:val="3"/>
  </w:num>
  <w:num w:numId="10">
    <w:abstractNumId w:val="2"/>
  </w:num>
  <w:num w:numId="11">
    <w:abstractNumId w:val="8"/>
  </w:num>
  <w:num w:numId="12">
    <w:abstractNumId w:val="7"/>
  </w:num>
  <w:num w:numId="13">
    <w:abstractNumId w:val="5"/>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FC4"/>
    <w:rsid w:val="00187F34"/>
    <w:rsid w:val="001B7597"/>
    <w:rsid w:val="00200927"/>
    <w:rsid w:val="00420E93"/>
    <w:rsid w:val="005315DC"/>
    <w:rsid w:val="005A4312"/>
    <w:rsid w:val="005D2EA7"/>
    <w:rsid w:val="00612E98"/>
    <w:rsid w:val="00631C05"/>
    <w:rsid w:val="008A765C"/>
    <w:rsid w:val="00936496"/>
    <w:rsid w:val="009420E0"/>
    <w:rsid w:val="00987FC4"/>
    <w:rsid w:val="00A07D66"/>
    <w:rsid w:val="00A10F95"/>
    <w:rsid w:val="00AE1B57"/>
    <w:rsid w:val="00AE278D"/>
    <w:rsid w:val="00AE7CD8"/>
    <w:rsid w:val="00B009D5"/>
    <w:rsid w:val="00BA4B82"/>
    <w:rsid w:val="00BC1381"/>
    <w:rsid w:val="00BD63BE"/>
    <w:rsid w:val="00C861A2"/>
    <w:rsid w:val="00DF4DE1"/>
    <w:rsid w:val="00ED1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38840"/>
  <w15:chartTrackingRefBased/>
  <w15:docId w15:val="{23C28EB3-0E9D-43AE-AC9B-9B1164FF0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E27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E27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009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87FC4"/>
    <w:rPr>
      <w:b/>
      <w:bCs/>
    </w:rPr>
  </w:style>
  <w:style w:type="character" w:customStyle="1" w:styleId="Heading2Char">
    <w:name w:val="Heading 2 Char"/>
    <w:basedOn w:val="DefaultParagraphFont"/>
    <w:link w:val="Heading2"/>
    <w:uiPriority w:val="9"/>
    <w:rsid w:val="00AE278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E278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B009D5"/>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420E93"/>
    <w:pPr>
      <w:ind w:left="720"/>
      <w:contextualSpacing/>
    </w:pPr>
  </w:style>
  <w:style w:type="character" w:styleId="Emphasis">
    <w:name w:val="Emphasis"/>
    <w:basedOn w:val="DefaultParagraphFont"/>
    <w:uiPriority w:val="20"/>
    <w:qFormat/>
    <w:rsid w:val="00A07D66"/>
    <w:rPr>
      <w:i/>
      <w:iCs/>
    </w:rPr>
  </w:style>
  <w:style w:type="character" w:styleId="Hyperlink">
    <w:name w:val="Hyperlink"/>
    <w:basedOn w:val="DefaultParagraphFont"/>
    <w:uiPriority w:val="99"/>
    <w:unhideWhenUsed/>
    <w:rsid w:val="00A07D66"/>
    <w:rPr>
      <w:color w:val="0000FF"/>
      <w:u w:val="single"/>
    </w:rPr>
  </w:style>
  <w:style w:type="character" w:styleId="FollowedHyperlink">
    <w:name w:val="FollowedHyperlink"/>
    <w:basedOn w:val="DefaultParagraphFont"/>
    <w:uiPriority w:val="99"/>
    <w:semiHidden/>
    <w:unhideWhenUsed/>
    <w:rsid w:val="00A07D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239457">
      <w:bodyDiv w:val="1"/>
      <w:marLeft w:val="0"/>
      <w:marRight w:val="0"/>
      <w:marTop w:val="0"/>
      <w:marBottom w:val="0"/>
      <w:divBdr>
        <w:top w:val="none" w:sz="0" w:space="0" w:color="auto"/>
        <w:left w:val="none" w:sz="0" w:space="0" w:color="auto"/>
        <w:bottom w:val="none" w:sz="0" w:space="0" w:color="auto"/>
        <w:right w:val="none" w:sz="0" w:space="0" w:color="auto"/>
      </w:divBdr>
    </w:div>
    <w:div w:id="1114641905">
      <w:bodyDiv w:val="1"/>
      <w:marLeft w:val="0"/>
      <w:marRight w:val="0"/>
      <w:marTop w:val="0"/>
      <w:marBottom w:val="0"/>
      <w:divBdr>
        <w:top w:val="none" w:sz="0" w:space="0" w:color="auto"/>
        <w:left w:val="none" w:sz="0" w:space="0" w:color="auto"/>
        <w:bottom w:val="none" w:sz="0" w:space="0" w:color="auto"/>
        <w:right w:val="none" w:sz="0" w:space="0" w:color="auto"/>
      </w:divBdr>
    </w:div>
    <w:div w:id="1215004381">
      <w:bodyDiv w:val="1"/>
      <w:marLeft w:val="0"/>
      <w:marRight w:val="0"/>
      <w:marTop w:val="0"/>
      <w:marBottom w:val="0"/>
      <w:divBdr>
        <w:top w:val="none" w:sz="0" w:space="0" w:color="auto"/>
        <w:left w:val="none" w:sz="0" w:space="0" w:color="auto"/>
        <w:bottom w:val="none" w:sz="0" w:space="0" w:color="auto"/>
        <w:right w:val="none" w:sz="0" w:space="0" w:color="auto"/>
      </w:divBdr>
    </w:div>
    <w:div w:id="182111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gbc.org" TargetMode="External"/><Relationship Id="rId3" Type="http://schemas.openxmlformats.org/officeDocument/2006/relationships/settings" Target="settings.xml"/><Relationship Id="rId7" Type="http://schemas.openxmlformats.org/officeDocument/2006/relationships/hyperlink" Target="https://www.gov.uk/government/public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ria.org" TargetMode="External"/><Relationship Id="rId5" Type="http://schemas.openxmlformats.org/officeDocument/2006/relationships/hyperlink" Target="https://shop.bsigroup.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7</Pages>
  <Words>2550</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Chapman</dc:creator>
  <cp:keywords/>
  <dc:description/>
  <cp:lastModifiedBy>Nathan Chapman</cp:lastModifiedBy>
  <cp:revision>31</cp:revision>
  <dcterms:created xsi:type="dcterms:W3CDTF">2025-04-25T11:00:00Z</dcterms:created>
  <dcterms:modified xsi:type="dcterms:W3CDTF">2025-05-08T08:37:00Z</dcterms:modified>
</cp:coreProperties>
</file>