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A1AE0"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4CB1AB3" w14:textId="41E06BFF" w:rsidR="007B7BC8" w:rsidRPr="00DC441F" w:rsidRDefault="007B7BC8" w:rsidP="00DC441F">
      <w:pPr>
        <w:jc w:val="center"/>
        <w:rPr>
          <w:sz w:val="40"/>
          <w:szCs w:val="40"/>
          <w:lang w:eastAsia="en-GB"/>
        </w:rPr>
      </w:pPr>
      <w:r w:rsidRPr="00DC441F">
        <w:rPr>
          <w:b/>
          <w:bCs/>
          <w:sz w:val="40"/>
          <w:szCs w:val="40"/>
          <w:lang w:eastAsia="en-GB"/>
        </w:rPr>
        <w:t>Student nam</w:t>
      </w:r>
      <w:r w:rsidRPr="00DC441F">
        <w:rPr>
          <w:b/>
          <w:bCs/>
          <w:sz w:val="40"/>
          <w:szCs w:val="40"/>
          <w:lang w:eastAsia="en-GB"/>
        </w:rPr>
        <w:t>e:</w:t>
      </w:r>
      <w:r w:rsidRPr="00DC441F">
        <w:rPr>
          <w:sz w:val="40"/>
          <w:szCs w:val="40"/>
          <w:lang w:eastAsia="en-GB"/>
        </w:rPr>
        <w:t xml:space="preserve"> Zobia Riaz</w:t>
      </w:r>
    </w:p>
    <w:p w14:paraId="636DDE0E" w14:textId="77777777" w:rsidR="007B7BC8" w:rsidRPr="00DC441F" w:rsidRDefault="007B7BC8" w:rsidP="00DC441F">
      <w:pPr>
        <w:jc w:val="center"/>
        <w:rPr>
          <w:sz w:val="40"/>
          <w:szCs w:val="40"/>
          <w:lang w:eastAsia="en-GB"/>
        </w:rPr>
      </w:pPr>
      <w:r w:rsidRPr="00DC441F">
        <w:rPr>
          <w:b/>
          <w:bCs/>
          <w:sz w:val="40"/>
          <w:szCs w:val="40"/>
          <w:lang w:eastAsia="en-GB"/>
        </w:rPr>
        <w:t>Student ID:</w:t>
      </w:r>
      <w:r w:rsidRPr="00DC441F">
        <w:rPr>
          <w:sz w:val="40"/>
          <w:szCs w:val="40"/>
          <w:lang w:eastAsia="en-GB"/>
        </w:rPr>
        <w:t xml:space="preserve"> 2226851</w:t>
      </w:r>
    </w:p>
    <w:p w14:paraId="0F0D1E4C" w14:textId="15B22ECA" w:rsidR="007B7BC8" w:rsidRPr="00DC441F" w:rsidRDefault="007B7BC8" w:rsidP="00DC441F">
      <w:pPr>
        <w:jc w:val="center"/>
        <w:rPr>
          <w:sz w:val="40"/>
          <w:szCs w:val="40"/>
          <w:lang w:eastAsia="en-GB"/>
        </w:rPr>
      </w:pPr>
      <w:r w:rsidRPr="00DC441F">
        <w:rPr>
          <w:b/>
          <w:bCs/>
          <w:sz w:val="40"/>
          <w:szCs w:val="40"/>
          <w:lang w:eastAsia="en-GB"/>
        </w:rPr>
        <w:t>Programme:</w:t>
      </w:r>
      <w:r w:rsidRPr="00DC441F">
        <w:rPr>
          <w:sz w:val="40"/>
          <w:szCs w:val="40"/>
          <w:lang w:eastAsia="en-GB"/>
        </w:rPr>
        <w:t xml:space="preserve"> </w:t>
      </w:r>
      <w:r w:rsidRPr="00DC441F">
        <w:rPr>
          <w:sz w:val="40"/>
          <w:szCs w:val="40"/>
          <w:lang w:eastAsia="en-GB"/>
        </w:rPr>
        <w:t>MSc Public Health and Social Care in Practice</w:t>
      </w:r>
    </w:p>
    <w:p w14:paraId="6ECC046A" w14:textId="569F5F90" w:rsidR="007B7BC8" w:rsidRPr="00DC441F" w:rsidRDefault="007B7BC8" w:rsidP="00DC441F">
      <w:pPr>
        <w:jc w:val="center"/>
        <w:rPr>
          <w:sz w:val="40"/>
          <w:szCs w:val="40"/>
          <w:lang w:eastAsia="en-GB"/>
        </w:rPr>
      </w:pPr>
      <w:r w:rsidRPr="00DC441F">
        <w:rPr>
          <w:b/>
          <w:bCs/>
          <w:sz w:val="40"/>
          <w:szCs w:val="40"/>
          <w:lang w:eastAsia="en-GB"/>
        </w:rPr>
        <w:t>Module:</w:t>
      </w:r>
      <w:r w:rsidRPr="00DC441F">
        <w:rPr>
          <w:sz w:val="40"/>
          <w:szCs w:val="40"/>
          <w:lang w:eastAsia="en-GB"/>
        </w:rPr>
        <w:t xml:space="preserve"> </w:t>
      </w:r>
      <w:r w:rsidRPr="00DC441F">
        <w:rPr>
          <w:sz w:val="40"/>
          <w:szCs w:val="40"/>
          <w:lang w:eastAsia="en-GB"/>
        </w:rPr>
        <w:t>Quality Assurance and Service Improvements</w:t>
      </w:r>
    </w:p>
    <w:p w14:paraId="556CABD9" w14:textId="3F432D5C" w:rsidR="007B7BC8" w:rsidRPr="00DC441F" w:rsidRDefault="007B7BC8" w:rsidP="00DC441F">
      <w:pPr>
        <w:jc w:val="center"/>
        <w:rPr>
          <w:sz w:val="40"/>
          <w:szCs w:val="40"/>
          <w:lang w:eastAsia="en-GB"/>
        </w:rPr>
      </w:pPr>
      <w:r w:rsidRPr="00DC441F">
        <w:rPr>
          <w:b/>
          <w:bCs/>
          <w:sz w:val="40"/>
          <w:szCs w:val="40"/>
          <w:lang w:eastAsia="en-GB"/>
        </w:rPr>
        <w:t>Module code:</w:t>
      </w:r>
      <w:r w:rsidR="00DC441F">
        <w:rPr>
          <w:sz w:val="40"/>
          <w:szCs w:val="40"/>
          <w:lang w:eastAsia="en-GB"/>
        </w:rPr>
        <w:t xml:space="preserve"> </w:t>
      </w:r>
      <w:r w:rsidRPr="00DC441F">
        <w:rPr>
          <w:sz w:val="40"/>
          <w:szCs w:val="40"/>
          <w:lang w:eastAsia="en-GB"/>
        </w:rPr>
        <w:t>LCHS7006</w:t>
      </w:r>
    </w:p>
    <w:p w14:paraId="1AA24494" w14:textId="331723D8" w:rsidR="007B7BC8" w:rsidRPr="00DC441F" w:rsidRDefault="007B7BC8" w:rsidP="00DC441F">
      <w:pPr>
        <w:jc w:val="center"/>
        <w:rPr>
          <w:sz w:val="40"/>
          <w:szCs w:val="40"/>
          <w:lang w:eastAsia="en-GB"/>
        </w:rPr>
      </w:pPr>
      <w:r w:rsidRPr="00DC441F">
        <w:rPr>
          <w:b/>
          <w:bCs/>
          <w:sz w:val="40"/>
          <w:szCs w:val="40"/>
          <w:lang w:eastAsia="en-GB"/>
        </w:rPr>
        <w:t>Lecturer:</w:t>
      </w:r>
      <w:r w:rsidRPr="00DC441F">
        <w:rPr>
          <w:sz w:val="40"/>
          <w:szCs w:val="40"/>
          <w:lang w:eastAsia="en-GB"/>
        </w:rPr>
        <w:t xml:space="preserve"> </w:t>
      </w:r>
      <w:r w:rsidRPr="00DC441F">
        <w:rPr>
          <w:sz w:val="40"/>
          <w:szCs w:val="40"/>
          <w:lang w:eastAsia="en-GB"/>
        </w:rPr>
        <w:t>Dr Fahad Khan</w:t>
      </w:r>
    </w:p>
    <w:p w14:paraId="0945304E" w14:textId="6161F95F" w:rsidR="00B755DB" w:rsidRPr="00DC441F" w:rsidRDefault="007B7BC8" w:rsidP="00DC441F">
      <w:pPr>
        <w:jc w:val="center"/>
        <w:rPr>
          <w:sz w:val="40"/>
          <w:szCs w:val="40"/>
          <w:lang w:eastAsia="en-GB"/>
        </w:rPr>
      </w:pPr>
      <w:r w:rsidRPr="00DC441F">
        <w:rPr>
          <w:b/>
          <w:bCs/>
          <w:sz w:val="40"/>
          <w:szCs w:val="40"/>
          <w:lang w:eastAsia="en-GB"/>
        </w:rPr>
        <w:t>Assignment Title:</w:t>
      </w:r>
      <w:r w:rsidRPr="00DC441F">
        <w:rPr>
          <w:sz w:val="40"/>
          <w:szCs w:val="40"/>
          <w:lang w:eastAsia="en-GB"/>
        </w:rPr>
        <w:t xml:space="preserve"> </w:t>
      </w:r>
      <w:r w:rsidRPr="00DC441F">
        <w:rPr>
          <w:sz w:val="40"/>
          <w:szCs w:val="40"/>
          <w:lang w:eastAsia="en-GB"/>
        </w:rPr>
        <w:t xml:space="preserve">Component 2 </w:t>
      </w:r>
      <w:r w:rsidRPr="00DC441F">
        <w:rPr>
          <w:sz w:val="40"/>
          <w:szCs w:val="40"/>
          <w:lang w:eastAsia="en-GB"/>
        </w:rPr>
        <w:t xml:space="preserve">- </w:t>
      </w:r>
      <w:r w:rsidRPr="00DC441F">
        <w:rPr>
          <w:sz w:val="40"/>
          <w:szCs w:val="40"/>
          <w:lang w:eastAsia="en-GB"/>
        </w:rPr>
        <w:t>Service Improvement Report</w:t>
      </w:r>
    </w:p>
    <w:p w14:paraId="403444F0"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601AFBB"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30A0C01"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9D89EC1"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405DBF4"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2C32D98"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A7CFF3F"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2A85828"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F20D820"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5A0A2EB"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51CB552"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C7830BB" w14:textId="77777777" w:rsidR="007B7BC8" w:rsidRDefault="007B7BC8"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693D245D" w14:textId="77777777" w:rsidR="00B755DB" w:rsidRDefault="00B755DB" w:rsidP="004D753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sdt>
      <w:sdtPr>
        <w:id w:val="-690652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D513483" w14:textId="70C2E4AF" w:rsidR="00B755DB" w:rsidRPr="00F82A8C" w:rsidRDefault="00B755DB">
          <w:pPr>
            <w:pStyle w:val="TOCHeading"/>
            <w:rPr>
              <w:rFonts w:ascii="Arial" w:hAnsi="Arial" w:cs="Arial"/>
              <w:b/>
              <w:bCs/>
              <w:sz w:val="40"/>
              <w:szCs w:val="40"/>
            </w:rPr>
          </w:pPr>
          <w:r w:rsidRPr="00F82A8C">
            <w:rPr>
              <w:rFonts w:ascii="Arial" w:hAnsi="Arial" w:cs="Arial"/>
              <w:b/>
              <w:bCs/>
              <w:sz w:val="40"/>
              <w:szCs w:val="40"/>
            </w:rPr>
            <w:t>Contents</w:t>
          </w:r>
        </w:p>
        <w:p w14:paraId="6E4BCB71" w14:textId="52EDDAA2" w:rsidR="00DC441F" w:rsidRPr="004A1176" w:rsidRDefault="00B755DB">
          <w:pPr>
            <w:pStyle w:val="TOC2"/>
            <w:tabs>
              <w:tab w:val="right" w:leader="dot" w:pos="9016"/>
            </w:tabs>
            <w:rPr>
              <w:rFonts w:eastAsiaTheme="minorEastAsia"/>
              <w:noProof/>
              <w:lang w:eastAsia="en-GB"/>
            </w:rPr>
          </w:pPr>
          <w:r w:rsidRPr="00F82A8C">
            <w:rPr>
              <w:rFonts w:ascii="Arial" w:hAnsi="Arial" w:cs="Arial"/>
              <w:sz w:val="18"/>
              <w:szCs w:val="18"/>
            </w:rPr>
            <w:fldChar w:fldCharType="begin"/>
          </w:r>
          <w:r w:rsidRPr="00F82A8C">
            <w:rPr>
              <w:rFonts w:ascii="Arial" w:hAnsi="Arial" w:cs="Arial"/>
              <w:sz w:val="18"/>
              <w:szCs w:val="18"/>
            </w:rPr>
            <w:instrText xml:space="preserve"> TOC \o "1-3" \h \z \u </w:instrText>
          </w:r>
          <w:r w:rsidRPr="00F82A8C">
            <w:rPr>
              <w:rFonts w:ascii="Arial" w:hAnsi="Arial" w:cs="Arial"/>
              <w:sz w:val="18"/>
              <w:szCs w:val="18"/>
            </w:rPr>
            <w:fldChar w:fldCharType="separate"/>
          </w:r>
          <w:hyperlink w:anchor="_Toc235958901" w:history="1">
            <w:r w:rsidR="00DC441F" w:rsidRPr="004A1176">
              <w:rPr>
                <w:rStyle w:val="Hyperlink"/>
                <w:rFonts w:ascii="Arial" w:eastAsia="Times New Roman" w:hAnsi="Arial" w:cs="Arial"/>
                <w:b/>
                <w:bCs/>
                <w:noProof/>
                <w:kern w:val="0"/>
                <w:lang w:eastAsia="en-GB"/>
                <w14:ligatures w14:val="none"/>
              </w:rPr>
              <w:t>Introduction</w:t>
            </w:r>
            <w:r w:rsidR="00DC441F" w:rsidRPr="004A1176">
              <w:rPr>
                <w:noProof/>
                <w:webHidden/>
              </w:rPr>
              <w:tab/>
            </w:r>
            <w:r w:rsidR="00DC441F" w:rsidRPr="004A1176">
              <w:rPr>
                <w:noProof/>
                <w:webHidden/>
              </w:rPr>
              <w:fldChar w:fldCharType="begin"/>
            </w:r>
            <w:r w:rsidR="00DC441F" w:rsidRPr="004A1176">
              <w:rPr>
                <w:noProof/>
                <w:webHidden/>
              </w:rPr>
              <w:instrText xml:space="preserve"> PAGEREF _Toc235958901 \h </w:instrText>
            </w:r>
            <w:r w:rsidR="00DC441F" w:rsidRPr="004A1176">
              <w:rPr>
                <w:noProof/>
                <w:webHidden/>
              </w:rPr>
            </w:r>
            <w:r w:rsidR="00DC441F" w:rsidRPr="004A1176">
              <w:rPr>
                <w:noProof/>
                <w:webHidden/>
              </w:rPr>
              <w:fldChar w:fldCharType="separate"/>
            </w:r>
            <w:r w:rsidR="00DC441F" w:rsidRPr="004A1176">
              <w:rPr>
                <w:noProof/>
                <w:webHidden/>
              </w:rPr>
              <w:t>2</w:t>
            </w:r>
            <w:r w:rsidR="00DC441F" w:rsidRPr="004A1176">
              <w:rPr>
                <w:noProof/>
                <w:webHidden/>
              </w:rPr>
              <w:fldChar w:fldCharType="end"/>
            </w:r>
          </w:hyperlink>
        </w:p>
        <w:p w14:paraId="6CC89E4A" w14:textId="572D20F0" w:rsidR="00DC441F" w:rsidRPr="004A1176" w:rsidRDefault="00DC441F">
          <w:pPr>
            <w:pStyle w:val="TOC2"/>
            <w:tabs>
              <w:tab w:val="right" w:leader="dot" w:pos="9016"/>
            </w:tabs>
            <w:rPr>
              <w:rFonts w:eastAsiaTheme="minorEastAsia"/>
              <w:noProof/>
              <w:lang w:eastAsia="en-GB"/>
            </w:rPr>
          </w:pPr>
          <w:hyperlink w:anchor="_Toc235958902" w:history="1">
            <w:r w:rsidRPr="004A1176">
              <w:rPr>
                <w:rStyle w:val="Hyperlink"/>
                <w:rFonts w:ascii="Arial" w:eastAsia="Times New Roman" w:hAnsi="Arial" w:cs="Arial"/>
                <w:b/>
                <w:bCs/>
                <w:noProof/>
                <w:kern w:val="0"/>
                <w:lang w:eastAsia="en-GB"/>
                <w14:ligatures w14:val="none"/>
              </w:rPr>
              <w:t>Main Body: Root Cause Analysis &amp; Strategic Frameworks</w:t>
            </w:r>
            <w:r w:rsidRPr="004A1176">
              <w:rPr>
                <w:noProof/>
                <w:webHidden/>
              </w:rPr>
              <w:tab/>
            </w:r>
            <w:r w:rsidRPr="004A1176">
              <w:rPr>
                <w:noProof/>
                <w:webHidden/>
              </w:rPr>
              <w:fldChar w:fldCharType="begin"/>
            </w:r>
            <w:r w:rsidRPr="004A1176">
              <w:rPr>
                <w:noProof/>
                <w:webHidden/>
              </w:rPr>
              <w:instrText xml:space="preserve"> PAGEREF _Toc235958902 \h </w:instrText>
            </w:r>
            <w:r w:rsidRPr="004A1176">
              <w:rPr>
                <w:noProof/>
                <w:webHidden/>
              </w:rPr>
            </w:r>
            <w:r w:rsidRPr="004A1176">
              <w:rPr>
                <w:noProof/>
                <w:webHidden/>
              </w:rPr>
              <w:fldChar w:fldCharType="separate"/>
            </w:r>
            <w:r w:rsidRPr="004A1176">
              <w:rPr>
                <w:noProof/>
                <w:webHidden/>
              </w:rPr>
              <w:t>4</w:t>
            </w:r>
            <w:r w:rsidRPr="004A1176">
              <w:rPr>
                <w:noProof/>
                <w:webHidden/>
              </w:rPr>
              <w:fldChar w:fldCharType="end"/>
            </w:r>
          </w:hyperlink>
        </w:p>
        <w:p w14:paraId="676D80FB" w14:textId="5E9BA2AE" w:rsidR="00DC441F" w:rsidRPr="004A1176" w:rsidRDefault="00DC441F">
          <w:pPr>
            <w:pStyle w:val="TOC3"/>
            <w:tabs>
              <w:tab w:val="right" w:leader="dot" w:pos="9016"/>
            </w:tabs>
            <w:rPr>
              <w:rFonts w:eastAsiaTheme="minorEastAsia"/>
              <w:noProof/>
              <w:lang w:eastAsia="en-GB"/>
            </w:rPr>
          </w:pPr>
          <w:hyperlink w:anchor="_Toc235958903" w:history="1">
            <w:r w:rsidRPr="004A1176">
              <w:rPr>
                <w:rStyle w:val="Hyperlink"/>
                <w:rFonts w:ascii="Arial" w:eastAsia="Times New Roman" w:hAnsi="Arial" w:cs="Arial"/>
                <w:b/>
                <w:bCs/>
                <w:noProof/>
                <w:kern w:val="0"/>
                <w:lang w:eastAsia="en-GB"/>
                <w14:ligatures w14:val="none"/>
              </w:rPr>
              <w:t>Cause and Effect: Applying the Fishbone (Ishikawa) Diagram</w:t>
            </w:r>
            <w:r w:rsidRPr="004A1176">
              <w:rPr>
                <w:noProof/>
                <w:webHidden/>
              </w:rPr>
              <w:tab/>
            </w:r>
            <w:r w:rsidRPr="004A1176">
              <w:rPr>
                <w:noProof/>
                <w:webHidden/>
              </w:rPr>
              <w:fldChar w:fldCharType="begin"/>
            </w:r>
            <w:r w:rsidRPr="004A1176">
              <w:rPr>
                <w:noProof/>
                <w:webHidden/>
              </w:rPr>
              <w:instrText xml:space="preserve"> PAGEREF _Toc235958903 \h </w:instrText>
            </w:r>
            <w:r w:rsidRPr="004A1176">
              <w:rPr>
                <w:noProof/>
                <w:webHidden/>
              </w:rPr>
            </w:r>
            <w:r w:rsidRPr="004A1176">
              <w:rPr>
                <w:noProof/>
                <w:webHidden/>
              </w:rPr>
              <w:fldChar w:fldCharType="separate"/>
            </w:r>
            <w:r w:rsidRPr="004A1176">
              <w:rPr>
                <w:noProof/>
                <w:webHidden/>
              </w:rPr>
              <w:t>4</w:t>
            </w:r>
            <w:r w:rsidRPr="004A1176">
              <w:rPr>
                <w:noProof/>
                <w:webHidden/>
              </w:rPr>
              <w:fldChar w:fldCharType="end"/>
            </w:r>
          </w:hyperlink>
        </w:p>
        <w:p w14:paraId="6EFA0003" w14:textId="4B97961E" w:rsidR="00DC441F" w:rsidRPr="004A1176" w:rsidRDefault="00DC441F">
          <w:pPr>
            <w:pStyle w:val="TOC3"/>
            <w:tabs>
              <w:tab w:val="right" w:leader="dot" w:pos="9016"/>
            </w:tabs>
            <w:rPr>
              <w:rFonts w:eastAsiaTheme="minorEastAsia"/>
              <w:noProof/>
              <w:lang w:eastAsia="en-GB"/>
            </w:rPr>
          </w:pPr>
          <w:hyperlink w:anchor="_Toc235958904" w:history="1">
            <w:r w:rsidRPr="004A1176">
              <w:rPr>
                <w:rStyle w:val="Hyperlink"/>
                <w:rFonts w:ascii="Arial" w:eastAsia="Times New Roman" w:hAnsi="Arial" w:cs="Arial"/>
                <w:b/>
                <w:bCs/>
                <w:noProof/>
                <w:kern w:val="0"/>
                <w:lang w:eastAsia="en-GB"/>
                <w14:ligatures w14:val="none"/>
              </w:rPr>
              <w:t>Deepening the Analysis: The Five Whys Technique</w:t>
            </w:r>
            <w:r w:rsidRPr="004A1176">
              <w:rPr>
                <w:noProof/>
                <w:webHidden/>
              </w:rPr>
              <w:tab/>
            </w:r>
            <w:r w:rsidRPr="004A1176">
              <w:rPr>
                <w:noProof/>
                <w:webHidden/>
              </w:rPr>
              <w:fldChar w:fldCharType="begin"/>
            </w:r>
            <w:r w:rsidRPr="004A1176">
              <w:rPr>
                <w:noProof/>
                <w:webHidden/>
              </w:rPr>
              <w:instrText xml:space="preserve"> PAGEREF _Toc235958904 \h </w:instrText>
            </w:r>
            <w:r w:rsidRPr="004A1176">
              <w:rPr>
                <w:noProof/>
                <w:webHidden/>
              </w:rPr>
            </w:r>
            <w:r w:rsidRPr="004A1176">
              <w:rPr>
                <w:noProof/>
                <w:webHidden/>
              </w:rPr>
              <w:fldChar w:fldCharType="separate"/>
            </w:r>
            <w:r w:rsidRPr="004A1176">
              <w:rPr>
                <w:noProof/>
                <w:webHidden/>
              </w:rPr>
              <w:t>5</w:t>
            </w:r>
            <w:r w:rsidRPr="004A1176">
              <w:rPr>
                <w:noProof/>
                <w:webHidden/>
              </w:rPr>
              <w:fldChar w:fldCharType="end"/>
            </w:r>
          </w:hyperlink>
        </w:p>
        <w:p w14:paraId="07DF6356" w14:textId="3495FC50" w:rsidR="00DC441F" w:rsidRPr="004A1176" w:rsidRDefault="00DC441F">
          <w:pPr>
            <w:pStyle w:val="TOC3"/>
            <w:tabs>
              <w:tab w:val="right" w:leader="dot" w:pos="9016"/>
            </w:tabs>
            <w:rPr>
              <w:rFonts w:eastAsiaTheme="minorEastAsia"/>
              <w:noProof/>
              <w:lang w:eastAsia="en-GB"/>
            </w:rPr>
          </w:pPr>
          <w:hyperlink w:anchor="_Toc235958905" w:history="1">
            <w:r w:rsidRPr="004A1176">
              <w:rPr>
                <w:rStyle w:val="Hyperlink"/>
                <w:rFonts w:ascii="Arial" w:eastAsia="Times New Roman" w:hAnsi="Arial" w:cs="Arial"/>
                <w:b/>
                <w:bCs/>
                <w:noProof/>
                <w:kern w:val="0"/>
                <w:lang w:eastAsia="en-GB"/>
                <w14:ligatures w14:val="none"/>
              </w:rPr>
              <w:t>Methodological Justification: Fishbone Diagram versus Five Whys</w:t>
            </w:r>
            <w:r w:rsidRPr="004A1176">
              <w:rPr>
                <w:noProof/>
                <w:webHidden/>
              </w:rPr>
              <w:tab/>
            </w:r>
            <w:r w:rsidRPr="004A1176">
              <w:rPr>
                <w:noProof/>
                <w:webHidden/>
              </w:rPr>
              <w:fldChar w:fldCharType="begin"/>
            </w:r>
            <w:r w:rsidRPr="004A1176">
              <w:rPr>
                <w:noProof/>
                <w:webHidden/>
              </w:rPr>
              <w:instrText xml:space="preserve"> PAGEREF _Toc235958905 \h </w:instrText>
            </w:r>
            <w:r w:rsidRPr="004A1176">
              <w:rPr>
                <w:noProof/>
                <w:webHidden/>
              </w:rPr>
            </w:r>
            <w:r w:rsidRPr="004A1176">
              <w:rPr>
                <w:noProof/>
                <w:webHidden/>
              </w:rPr>
              <w:fldChar w:fldCharType="separate"/>
            </w:r>
            <w:r w:rsidRPr="004A1176">
              <w:rPr>
                <w:noProof/>
                <w:webHidden/>
              </w:rPr>
              <w:t>6</w:t>
            </w:r>
            <w:r w:rsidRPr="004A1176">
              <w:rPr>
                <w:noProof/>
                <w:webHidden/>
              </w:rPr>
              <w:fldChar w:fldCharType="end"/>
            </w:r>
          </w:hyperlink>
        </w:p>
        <w:p w14:paraId="1FF2919E" w14:textId="285E30E8" w:rsidR="00DC441F" w:rsidRPr="004A1176" w:rsidRDefault="00DC441F">
          <w:pPr>
            <w:pStyle w:val="TOC3"/>
            <w:tabs>
              <w:tab w:val="right" w:leader="dot" w:pos="9016"/>
            </w:tabs>
            <w:rPr>
              <w:rFonts w:eastAsiaTheme="minorEastAsia"/>
              <w:noProof/>
              <w:lang w:eastAsia="en-GB"/>
            </w:rPr>
          </w:pPr>
          <w:hyperlink w:anchor="_Toc235958906" w:history="1">
            <w:r w:rsidRPr="004A1176">
              <w:rPr>
                <w:rStyle w:val="Hyperlink"/>
                <w:rFonts w:ascii="Arial" w:eastAsia="Times New Roman" w:hAnsi="Arial" w:cs="Arial"/>
                <w:b/>
                <w:bCs/>
                <w:noProof/>
                <w:kern w:val="0"/>
                <w:lang w:eastAsia="en-GB"/>
                <w14:ligatures w14:val="none"/>
              </w:rPr>
              <w:t>Structural, Process, and Outcome Analysis: The Donabedian Model</w:t>
            </w:r>
            <w:r w:rsidRPr="004A1176">
              <w:rPr>
                <w:noProof/>
                <w:webHidden/>
              </w:rPr>
              <w:tab/>
            </w:r>
            <w:r w:rsidRPr="004A1176">
              <w:rPr>
                <w:noProof/>
                <w:webHidden/>
              </w:rPr>
              <w:fldChar w:fldCharType="begin"/>
            </w:r>
            <w:r w:rsidRPr="004A1176">
              <w:rPr>
                <w:noProof/>
                <w:webHidden/>
              </w:rPr>
              <w:instrText xml:space="preserve"> PAGEREF _Toc235958906 \h </w:instrText>
            </w:r>
            <w:r w:rsidRPr="004A1176">
              <w:rPr>
                <w:noProof/>
                <w:webHidden/>
              </w:rPr>
            </w:r>
            <w:r w:rsidRPr="004A1176">
              <w:rPr>
                <w:noProof/>
                <w:webHidden/>
              </w:rPr>
              <w:fldChar w:fldCharType="separate"/>
            </w:r>
            <w:r w:rsidRPr="004A1176">
              <w:rPr>
                <w:noProof/>
                <w:webHidden/>
              </w:rPr>
              <w:t>7</w:t>
            </w:r>
            <w:r w:rsidRPr="004A1176">
              <w:rPr>
                <w:noProof/>
                <w:webHidden/>
              </w:rPr>
              <w:fldChar w:fldCharType="end"/>
            </w:r>
          </w:hyperlink>
        </w:p>
        <w:p w14:paraId="37C916CB" w14:textId="16302437" w:rsidR="00DC441F" w:rsidRPr="004A1176" w:rsidRDefault="00DC441F">
          <w:pPr>
            <w:pStyle w:val="TOC3"/>
            <w:tabs>
              <w:tab w:val="right" w:leader="dot" w:pos="9016"/>
            </w:tabs>
            <w:rPr>
              <w:rFonts w:eastAsiaTheme="minorEastAsia"/>
              <w:noProof/>
              <w:lang w:eastAsia="en-GB"/>
            </w:rPr>
          </w:pPr>
          <w:hyperlink w:anchor="_Toc235958907" w:history="1">
            <w:r w:rsidRPr="004A1176">
              <w:rPr>
                <w:rStyle w:val="Hyperlink"/>
                <w:rFonts w:ascii="Arial" w:eastAsia="Times New Roman" w:hAnsi="Arial" w:cs="Arial"/>
                <w:b/>
                <w:bCs/>
                <w:noProof/>
                <w:kern w:val="0"/>
                <w:lang w:eastAsia="en-GB"/>
                <w14:ligatures w14:val="none"/>
              </w:rPr>
              <w:t>Strategic Analysis: SWOT versus PESTLE</w:t>
            </w:r>
            <w:r w:rsidRPr="004A1176">
              <w:rPr>
                <w:noProof/>
                <w:webHidden/>
              </w:rPr>
              <w:tab/>
            </w:r>
            <w:r w:rsidRPr="004A1176">
              <w:rPr>
                <w:noProof/>
                <w:webHidden/>
              </w:rPr>
              <w:fldChar w:fldCharType="begin"/>
            </w:r>
            <w:r w:rsidRPr="004A1176">
              <w:rPr>
                <w:noProof/>
                <w:webHidden/>
              </w:rPr>
              <w:instrText xml:space="preserve"> PAGEREF _Toc235958907 \h </w:instrText>
            </w:r>
            <w:r w:rsidRPr="004A1176">
              <w:rPr>
                <w:noProof/>
                <w:webHidden/>
              </w:rPr>
            </w:r>
            <w:r w:rsidRPr="004A1176">
              <w:rPr>
                <w:noProof/>
                <w:webHidden/>
              </w:rPr>
              <w:fldChar w:fldCharType="separate"/>
            </w:r>
            <w:r w:rsidRPr="004A1176">
              <w:rPr>
                <w:noProof/>
                <w:webHidden/>
              </w:rPr>
              <w:t>8</w:t>
            </w:r>
            <w:r w:rsidRPr="004A1176">
              <w:rPr>
                <w:noProof/>
                <w:webHidden/>
              </w:rPr>
              <w:fldChar w:fldCharType="end"/>
            </w:r>
          </w:hyperlink>
        </w:p>
        <w:p w14:paraId="387C2CA8" w14:textId="61BD55B5" w:rsidR="00DC441F" w:rsidRPr="004A1176" w:rsidRDefault="00DC441F">
          <w:pPr>
            <w:pStyle w:val="TOC3"/>
            <w:tabs>
              <w:tab w:val="right" w:leader="dot" w:pos="9016"/>
            </w:tabs>
            <w:rPr>
              <w:rFonts w:eastAsiaTheme="minorEastAsia"/>
              <w:noProof/>
              <w:lang w:eastAsia="en-GB"/>
            </w:rPr>
          </w:pPr>
          <w:hyperlink w:anchor="_Toc235958908" w:history="1">
            <w:r w:rsidRPr="004A1176">
              <w:rPr>
                <w:rStyle w:val="Hyperlink"/>
                <w:rFonts w:ascii="Arial" w:eastAsia="Times New Roman" w:hAnsi="Arial" w:cs="Arial"/>
                <w:b/>
                <w:bCs/>
                <w:noProof/>
                <w:kern w:val="0"/>
                <w:lang w:eastAsia="en-GB"/>
                <w14:ligatures w14:val="none"/>
              </w:rPr>
              <w:t>Historical vs. Proposed State: Benchmark Analysis</w:t>
            </w:r>
            <w:r w:rsidRPr="004A1176">
              <w:rPr>
                <w:noProof/>
                <w:webHidden/>
              </w:rPr>
              <w:tab/>
            </w:r>
            <w:r w:rsidRPr="004A1176">
              <w:rPr>
                <w:noProof/>
                <w:webHidden/>
              </w:rPr>
              <w:fldChar w:fldCharType="begin"/>
            </w:r>
            <w:r w:rsidRPr="004A1176">
              <w:rPr>
                <w:noProof/>
                <w:webHidden/>
              </w:rPr>
              <w:instrText xml:space="preserve"> PAGEREF _Toc235958908 \h </w:instrText>
            </w:r>
            <w:r w:rsidRPr="004A1176">
              <w:rPr>
                <w:noProof/>
                <w:webHidden/>
              </w:rPr>
            </w:r>
            <w:r w:rsidRPr="004A1176">
              <w:rPr>
                <w:noProof/>
                <w:webHidden/>
              </w:rPr>
              <w:fldChar w:fldCharType="separate"/>
            </w:r>
            <w:r w:rsidRPr="004A1176">
              <w:rPr>
                <w:noProof/>
                <w:webHidden/>
              </w:rPr>
              <w:t>9</w:t>
            </w:r>
            <w:r w:rsidRPr="004A1176">
              <w:rPr>
                <w:noProof/>
                <w:webHidden/>
              </w:rPr>
              <w:fldChar w:fldCharType="end"/>
            </w:r>
          </w:hyperlink>
        </w:p>
        <w:p w14:paraId="0ECA0ABE" w14:textId="58EDC08B" w:rsidR="00DC441F" w:rsidRPr="004A1176" w:rsidRDefault="00DC441F">
          <w:pPr>
            <w:pStyle w:val="TOC3"/>
            <w:tabs>
              <w:tab w:val="right" w:leader="dot" w:pos="9016"/>
            </w:tabs>
            <w:rPr>
              <w:rFonts w:eastAsiaTheme="minorEastAsia"/>
              <w:noProof/>
              <w:lang w:eastAsia="en-GB"/>
            </w:rPr>
          </w:pPr>
          <w:hyperlink w:anchor="_Toc235958909" w:history="1">
            <w:r w:rsidRPr="004A1176">
              <w:rPr>
                <w:rStyle w:val="Hyperlink"/>
                <w:rFonts w:ascii="Arial" w:eastAsia="Times New Roman" w:hAnsi="Arial" w:cs="Arial"/>
                <w:b/>
                <w:bCs/>
                <w:noProof/>
                <w:kern w:val="0"/>
                <w:lang w:eastAsia="en-GB"/>
                <w14:ligatures w14:val="none"/>
              </w:rPr>
              <w:t>Methodological &amp; Change Management Comparisons</w:t>
            </w:r>
            <w:r w:rsidRPr="004A1176">
              <w:rPr>
                <w:noProof/>
                <w:webHidden/>
              </w:rPr>
              <w:tab/>
            </w:r>
            <w:r w:rsidRPr="004A1176">
              <w:rPr>
                <w:noProof/>
                <w:webHidden/>
              </w:rPr>
              <w:fldChar w:fldCharType="begin"/>
            </w:r>
            <w:r w:rsidRPr="004A1176">
              <w:rPr>
                <w:noProof/>
                <w:webHidden/>
              </w:rPr>
              <w:instrText xml:space="preserve"> PAGEREF _Toc235958909 \h </w:instrText>
            </w:r>
            <w:r w:rsidRPr="004A1176">
              <w:rPr>
                <w:noProof/>
                <w:webHidden/>
              </w:rPr>
            </w:r>
            <w:r w:rsidRPr="004A1176">
              <w:rPr>
                <w:noProof/>
                <w:webHidden/>
              </w:rPr>
              <w:fldChar w:fldCharType="separate"/>
            </w:r>
            <w:r w:rsidRPr="004A1176">
              <w:rPr>
                <w:noProof/>
                <w:webHidden/>
              </w:rPr>
              <w:t>10</w:t>
            </w:r>
            <w:r w:rsidRPr="004A1176">
              <w:rPr>
                <w:noProof/>
                <w:webHidden/>
              </w:rPr>
              <w:fldChar w:fldCharType="end"/>
            </w:r>
          </w:hyperlink>
        </w:p>
        <w:p w14:paraId="780AC91A" w14:textId="11DA50CB" w:rsidR="00DC441F" w:rsidRPr="004A1176" w:rsidRDefault="00DC441F">
          <w:pPr>
            <w:pStyle w:val="TOC2"/>
            <w:tabs>
              <w:tab w:val="right" w:leader="dot" w:pos="9016"/>
            </w:tabs>
            <w:rPr>
              <w:rFonts w:eastAsiaTheme="minorEastAsia"/>
              <w:noProof/>
              <w:lang w:eastAsia="en-GB"/>
            </w:rPr>
          </w:pPr>
          <w:hyperlink w:anchor="_Toc235958910" w:history="1">
            <w:r w:rsidRPr="004A1176">
              <w:rPr>
                <w:rStyle w:val="Hyperlink"/>
                <w:rFonts w:ascii="Arial" w:eastAsia="Times New Roman" w:hAnsi="Arial" w:cs="Arial"/>
                <w:b/>
                <w:bCs/>
                <w:noProof/>
                <w:kern w:val="0"/>
                <w:lang w:eastAsia="en-GB"/>
                <w14:ligatures w14:val="none"/>
              </w:rPr>
              <w:t>Recommendations &amp; Implementation Strategy</w:t>
            </w:r>
            <w:r w:rsidRPr="004A1176">
              <w:rPr>
                <w:noProof/>
                <w:webHidden/>
              </w:rPr>
              <w:tab/>
            </w:r>
            <w:r w:rsidRPr="004A1176">
              <w:rPr>
                <w:noProof/>
                <w:webHidden/>
              </w:rPr>
              <w:fldChar w:fldCharType="begin"/>
            </w:r>
            <w:r w:rsidRPr="004A1176">
              <w:rPr>
                <w:noProof/>
                <w:webHidden/>
              </w:rPr>
              <w:instrText xml:space="preserve"> PAGEREF _Toc235958910 \h </w:instrText>
            </w:r>
            <w:r w:rsidRPr="004A1176">
              <w:rPr>
                <w:noProof/>
                <w:webHidden/>
              </w:rPr>
            </w:r>
            <w:r w:rsidRPr="004A1176">
              <w:rPr>
                <w:noProof/>
                <w:webHidden/>
              </w:rPr>
              <w:fldChar w:fldCharType="separate"/>
            </w:r>
            <w:r w:rsidRPr="004A1176">
              <w:rPr>
                <w:noProof/>
                <w:webHidden/>
              </w:rPr>
              <w:t>11</w:t>
            </w:r>
            <w:r w:rsidRPr="004A1176">
              <w:rPr>
                <w:noProof/>
                <w:webHidden/>
              </w:rPr>
              <w:fldChar w:fldCharType="end"/>
            </w:r>
          </w:hyperlink>
        </w:p>
        <w:p w14:paraId="50D1DF7C" w14:textId="437BDC3D" w:rsidR="00DC441F" w:rsidRPr="004A1176" w:rsidRDefault="00DC441F">
          <w:pPr>
            <w:pStyle w:val="TOC3"/>
            <w:tabs>
              <w:tab w:val="right" w:leader="dot" w:pos="9016"/>
            </w:tabs>
            <w:rPr>
              <w:rFonts w:eastAsiaTheme="minorEastAsia"/>
              <w:noProof/>
              <w:lang w:eastAsia="en-GB"/>
            </w:rPr>
          </w:pPr>
          <w:hyperlink w:anchor="_Toc235958911" w:history="1">
            <w:r w:rsidRPr="004A1176">
              <w:rPr>
                <w:rStyle w:val="Hyperlink"/>
                <w:rFonts w:ascii="Arial" w:eastAsia="Times New Roman" w:hAnsi="Arial" w:cs="Arial"/>
                <w:b/>
                <w:bCs/>
                <w:noProof/>
                <w:kern w:val="0"/>
                <w:lang w:eastAsia="en-GB"/>
                <w14:ligatures w14:val="none"/>
              </w:rPr>
              <w:t>Implementation Roadmap: Applying the PDSA Cycle</w:t>
            </w:r>
            <w:r w:rsidRPr="004A1176">
              <w:rPr>
                <w:noProof/>
                <w:webHidden/>
              </w:rPr>
              <w:tab/>
            </w:r>
            <w:r w:rsidRPr="004A1176">
              <w:rPr>
                <w:noProof/>
                <w:webHidden/>
              </w:rPr>
              <w:fldChar w:fldCharType="begin"/>
            </w:r>
            <w:r w:rsidRPr="004A1176">
              <w:rPr>
                <w:noProof/>
                <w:webHidden/>
              </w:rPr>
              <w:instrText xml:space="preserve"> PAGEREF _Toc235958911 \h </w:instrText>
            </w:r>
            <w:r w:rsidRPr="004A1176">
              <w:rPr>
                <w:noProof/>
                <w:webHidden/>
              </w:rPr>
            </w:r>
            <w:r w:rsidRPr="004A1176">
              <w:rPr>
                <w:noProof/>
                <w:webHidden/>
              </w:rPr>
              <w:fldChar w:fldCharType="separate"/>
            </w:r>
            <w:r w:rsidRPr="004A1176">
              <w:rPr>
                <w:noProof/>
                <w:webHidden/>
              </w:rPr>
              <w:t>13</w:t>
            </w:r>
            <w:r w:rsidRPr="004A1176">
              <w:rPr>
                <w:noProof/>
                <w:webHidden/>
              </w:rPr>
              <w:fldChar w:fldCharType="end"/>
            </w:r>
          </w:hyperlink>
        </w:p>
        <w:p w14:paraId="1E776766" w14:textId="47F3CD77" w:rsidR="00DC441F" w:rsidRPr="004A1176" w:rsidRDefault="00DC441F">
          <w:pPr>
            <w:pStyle w:val="TOC3"/>
            <w:tabs>
              <w:tab w:val="right" w:leader="dot" w:pos="9016"/>
            </w:tabs>
            <w:rPr>
              <w:rFonts w:eastAsiaTheme="minorEastAsia"/>
              <w:noProof/>
              <w:lang w:eastAsia="en-GB"/>
            </w:rPr>
          </w:pPr>
          <w:hyperlink w:anchor="_Toc235958912" w:history="1">
            <w:r w:rsidRPr="004A1176">
              <w:rPr>
                <w:rStyle w:val="Hyperlink"/>
                <w:rFonts w:ascii="Arial" w:eastAsia="Times New Roman" w:hAnsi="Arial" w:cs="Arial"/>
                <w:b/>
                <w:bCs/>
                <w:noProof/>
                <w:kern w:val="0"/>
                <w:lang w:eastAsia="en-GB"/>
                <w14:ligatures w14:val="none"/>
              </w:rPr>
              <w:t>Change Management Strategy: Kotter’s Eight-Step Model</w:t>
            </w:r>
            <w:r w:rsidRPr="004A1176">
              <w:rPr>
                <w:noProof/>
                <w:webHidden/>
              </w:rPr>
              <w:tab/>
            </w:r>
            <w:r w:rsidRPr="004A1176">
              <w:rPr>
                <w:noProof/>
                <w:webHidden/>
              </w:rPr>
              <w:fldChar w:fldCharType="begin"/>
            </w:r>
            <w:r w:rsidRPr="004A1176">
              <w:rPr>
                <w:noProof/>
                <w:webHidden/>
              </w:rPr>
              <w:instrText xml:space="preserve"> PAGEREF _Toc235958912 \h </w:instrText>
            </w:r>
            <w:r w:rsidRPr="004A1176">
              <w:rPr>
                <w:noProof/>
                <w:webHidden/>
              </w:rPr>
            </w:r>
            <w:r w:rsidRPr="004A1176">
              <w:rPr>
                <w:noProof/>
                <w:webHidden/>
              </w:rPr>
              <w:fldChar w:fldCharType="separate"/>
            </w:r>
            <w:r w:rsidRPr="004A1176">
              <w:rPr>
                <w:noProof/>
                <w:webHidden/>
              </w:rPr>
              <w:t>14</w:t>
            </w:r>
            <w:r w:rsidRPr="004A1176">
              <w:rPr>
                <w:noProof/>
                <w:webHidden/>
              </w:rPr>
              <w:fldChar w:fldCharType="end"/>
            </w:r>
          </w:hyperlink>
        </w:p>
        <w:p w14:paraId="65C6753E" w14:textId="71FCEE55" w:rsidR="00DC441F" w:rsidRPr="004A1176" w:rsidRDefault="00DC441F">
          <w:pPr>
            <w:pStyle w:val="TOC2"/>
            <w:tabs>
              <w:tab w:val="right" w:leader="dot" w:pos="9016"/>
            </w:tabs>
            <w:rPr>
              <w:rFonts w:eastAsiaTheme="minorEastAsia"/>
              <w:noProof/>
              <w:lang w:eastAsia="en-GB"/>
            </w:rPr>
          </w:pPr>
          <w:hyperlink w:anchor="_Toc235958913" w:history="1">
            <w:r w:rsidRPr="004A1176">
              <w:rPr>
                <w:rStyle w:val="Hyperlink"/>
                <w:rFonts w:ascii="Times New Roman" w:eastAsia="Times New Roman" w:hAnsi="Times New Roman" w:cs="Times New Roman"/>
                <w:b/>
                <w:bCs/>
                <w:noProof/>
                <w:kern w:val="0"/>
                <w:lang w:eastAsia="en-GB"/>
                <w14:ligatures w14:val="none"/>
              </w:rPr>
              <w:t>Reference List</w:t>
            </w:r>
            <w:r w:rsidRPr="004A1176">
              <w:rPr>
                <w:noProof/>
                <w:webHidden/>
              </w:rPr>
              <w:tab/>
            </w:r>
            <w:r w:rsidRPr="004A1176">
              <w:rPr>
                <w:noProof/>
                <w:webHidden/>
              </w:rPr>
              <w:fldChar w:fldCharType="begin"/>
            </w:r>
            <w:r w:rsidRPr="004A1176">
              <w:rPr>
                <w:noProof/>
                <w:webHidden/>
              </w:rPr>
              <w:instrText xml:space="preserve"> PAGEREF _Toc235958913 \h </w:instrText>
            </w:r>
            <w:r w:rsidRPr="004A1176">
              <w:rPr>
                <w:noProof/>
                <w:webHidden/>
              </w:rPr>
            </w:r>
            <w:r w:rsidRPr="004A1176">
              <w:rPr>
                <w:noProof/>
                <w:webHidden/>
              </w:rPr>
              <w:fldChar w:fldCharType="separate"/>
            </w:r>
            <w:r w:rsidRPr="004A1176">
              <w:rPr>
                <w:noProof/>
                <w:webHidden/>
              </w:rPr>
              <w:t>15</w:t>
            </w:r>
            <w:r w:rsidRPr="004A1176">
              <w:rPr>
                <w:noProof/>
                <w:webHidden/>
              </w:rPr>
              <w:fldChar w:fldCharType="end"/>
            </w:r>
          </w:hyperlink>
        </w:p>
        <w:p w14:paraId="6FA3367A" w14:textId="098CA66A" w:rsidR="007B7BC8" w:rsidRDefault="00B755DB" w:rsidP="007B7BC8">
          <w:pPr>
            <w:rPr>
              <w:b/>
              <w:bCs/>
            </w:rPr>
          </w:pPr>
          <w:r w:rsidRPr="00F82A8C">
            <w:rPr>
              <w:rFonts w:ascii="Arial" w:hAnsi="Arial" w:cs="Arial"/>
              <w:b/>
              <w:bCs/>
              <w:sz w:val="18"/>
              <w:szCs w:val="18"/>
            </w:rPr>
            <w:fldChar w:fldCharType="end"/>
          </w:r>
        </w:p>
      </w:sdtContent>
    </w:sdt>
    <w:p w14:paraId="66B49537" w14:textId="77777777" w:rsidR="00DC441F" w:rsidRDefault="00DC441F" w:rsidP="007B7BC8">
      <w:pPr>
        <w:rPr>
          <w:rFonts w:ascii="Arial" w:eastAsia="Times New Roman" w:hAnsi="Arial" w:cs="Arial"/>
          <w:b/>
          <w:bCs/>
          <w:kern w:val="36"/>
          <w:sz w:val="22"/>
          <w:szCs w:val="22"/>
          <w:lang w:eastAsia="en-GB"/>
          <w14:ligatures w14:val="none"/>
        </w:rPr>
      </w:pPr>
    </w:p>
    <w:p w14:paraId="35D86D24" w14:textId="77777777" w:rsidR="00DC441F" w:rsidRDefault="00DC441F" w:rsidP="007B7BC8">
      <w:pPr>
        <w:rPr>
          <w:rFonts w:ascii="Arial" w:eastAsia="Times New Roman" w:hAnsi="Arial" w:cs="Arial"/>
          <w:b/>
          <w:bCs/>
          <w:kern w:val="36"/>
          <w:sz w:val="22"/>
          <w:szCs w:val="22"/>
          <w:lang w:eastAsia="en-GB"/>
          <w14:ligatures w14:val="none"/>
        </w:rPr>
      </w:pPr>
    </w:p>
    <w:p w14:paraId="06A7D85A" w14:textId="77777777" w:rsidR="00DC441F" w:rsidRDefault="00DC441F" w:rsidP="007B7BC8">
      <w:pPr>
        <w:rPr>
          <w:rFonts w:ascii="Arial" w:eastAsia="Times New Roman" w:hAnsi="Arial" w:cs="Arial"/>
          <w:b/>
          <w:bCs/>
          <w:kern w:val="36"/>
          <w:sz w:val="22"/>
          <w:szCs w:val="22"/>
          <w:lang w:eastAsia="en-GB"/>
          <w14:ligatures w14:val="none"/>
        </w:rPr>
      </w:pPr>
    </w:p>
    <w:p w14:paraId="221FDB5C" w14:textId="77777777" w:rsidR="00DC441F" w:rsidRDefault="00DC441F" w:rsidP="007B7BC8">
      <w:pPr>
        <w:rPr>
          <w:rFonts w:ascii="Arial" w:eastAsia="Times New Roman" w:hAnsi="Arial" w:cs="Arial"/>
          <w:b/>
          <w:bCs/>
          <w:kern w:val="36"/>
          <w:sz w:val="22"/>
          <w:szCs w:val="22"/>
          <w:lang w:eastAsia="en-GB"/>
          <w14:ligatures w14:val="none"/>
        </w:rPr>
      </w:pPr>
    </w:p>
    <w:p w14:paraId="172D4520" w14:textId="77777777" w:rsidR="00DC441F" w:rsidRDefault="00DC441F" w:rsidP="007B7BC8">
      <w:pPr>
        <w:rPr>
          <w:rFonts w:ascii="Arial" w:eastAsia="Times New Roman" w:hAnsi="Arial" w:cs="Arial"/>
          <w:b/>
          <w:bCs/>
          <w:kern w:val="36"/>
          <w:sz w:val="22"/>
          <w:szCs w:val="22"/>
          <w:lang w:eastAsia="en-GB"/>
          <w14:ligatures w14:val="none"/>
        </w:rPr>
      </w:pPr>
    </w:p>
    <w:p w14:paraId="251DABF6" w14:textId="77777777" w:rsidR="00DC441F" w:rsidRDefault="00DC441F" w:rsidP="007B7BC8">
      <w:pPr>
        <w:rPr>
          <w:rFonts w:ascii="Arial" w:eastAsia="Times New Roman" w:hAnsi="Arial" w:cs="Arial"/>
          <w:b/>
          <w:bCs/>
          <w:kern w:val="36"/>
          <w:sz w:val="22"/>
          <w:szCs w:val="22"/>
          <w:lang w:eastAsia="en-GB"/>
          <w14:ligatures w14:val="none"/>
        </w:rPr>
      </w:pPr>
    </w:p>
    <w:p w14:paraId="7A9126B0" w14:textId="77777777" w:rsidR="00DC441F" w:rsidRDefault="00DC441F" w:rsidP="007B7BC8">
      <w:pPr>
        <w:rPr>
          <w:rFonts w:ascii="Arial" w:eastAsia="Times New Roman" w:hAnsi="Arial" w:cs="Arial"/>
          <w:b/>
          <w:bCs/>
          <w:kern w:val="36"/>
          <w:sz w:val="22"/>
          <w:szCs w:val="22"/>
          <w:lang w:eastAsia="en-GB"/>
          <w14:ligatures w14:val="none"/>
        </w:rPr>
      </w:pPr>
    </w:p>
    <w:p w14:paraId="0BF6173F" w14:textId="77777777" w:rsidR="00DC441F" w:rsidRDefault="00DC441F" w:rsidP="007B7BC8">
      <w:pPr>
        <w:rPr>
          <w:rFonts w:ascii="Arial" w:eastAsia="Times New Roman" w:hAnsi="Arial" w:cs="Arial"/>
          <w:b/>
          <w:bCs/>
          <w:kern w:val="36"/>
          <w:sz w:val="22"/>
          <w:szCs w:val="22"/>
          <w:lang w:eastAsia="en-GB"/>
          <w14:ligatures w14:val="none"/>
        </w:rPr>
      </w:pPr>
    </w:p>
    <w:p w14:paraId="7A03E9AF" w14:textId="77777777" w:rsidR="00DC441F" w:rsidRDefault="00DC441F" w:rsidP="007B7BC8">
      <w:pPr>
        <w:rPr>
          <w:rFonts w:ascii="Arial" w:eastAsia="Times New Roman" w:hAnsi="Arial" w:cs="Arial"/>
          <w:b/>
          <w:bCs/>
          <w:kern w:val="36"/>
          <w:sz w:val="22"/>
          <w:szCs w:val="22"/>
          <w:lang w:eastAsia="en-GB"/>
          <w14:ligatures w14:val="none"/>
        </w:rPr>
      </w:pPr>
    </w:p>
    <w:p w14:paraId="508D1A56" w14:textId="77777777" w:rsidR="00DC441F" w:rsidRDefault="00DC441F" w:rsidP="007B7BC8">
      <w:pPr>
        <w:rPr>
          <w:rFonts w:ascii="Arial" w:eastAsia="Times New Roman" w:hAnsi="Arial" w:cs="Arial"/>
          <w:b/>
          <w:bCs/>
          <w:kern w:val="36"/>
          <w:sz w:val="22"/>
          <w:szCs w:val="22"/>
          <w:lang w:eastAsia="en-GB"/>
          <w14:ligatures w14:val="none"/>
        </w:rPr>
      </w:pPr>
    </w:p>
    <w:p w14:paraId="14C114D6" w14:textId="77777777" w:rsidR="00DC441F" w:rsidRDefault="00DC441F" w:rsidP="007B7BC8">
      <w:pPr>
        <w:rPr>
          <w:rFonts w:ascii="Arial" w:eastAsia="Times New Roman" w:hAnsi="Arial" w:cs="Arial"/>
          <w:b/>
          <w:bCs/>
          <w:kern w:val="36"/>
          <w:sz w:val="22"/>
          <w:szCs w:val="22"/>
          <w:lang w:eastAsia="en-GB"/>
          <w14:ligatures w14:val="none"/>
        </w:rPr>
      </w:pPr>
    </w:p>
    <w:p w14:paraId="62CB3CD3" w14:textId="77777777" w:rsidR="00DC441F" w:rsidRDefault="00DC441F" w:rsidP="007B7BC8">
      <w:pPr>
        <w:rPr>
          <w:rFonts w:ascii="Arial" w:eastAsia="Times New Roman" w:hAnsi="Arial" w:cs="Arial"/>
          <w:b/>
          <w:bCs/>
          <w:kern w:val="36"/>
          <w:sz w:val="22"/>
          <w:szCs w:val="22"/>
          <w:lang w:eastAsia="en-GB"/>
          <w14:ligatures w14:val="none"/>
        </w:rPr>
      </w:pPr>
    </w:p>
    <w:p w14:paraId="38AB5395" w14:textId="4E49082B" w:rsidR="00D8379B" w:rsidRPr="004A1176" w:rsidRDefault="00D8379B" w:rsidP="004A1176">
      <w:pPr>
        <w:spacing w:line="360" w:lineRule="auto"/>
        <w:rPr>
          <w:rFonts w:ascii="Arial" w:hAnsi="Arial" w:cs="Arial"/>
        </w:rPr>
      </w:pPr>
      <w:r w:rsidRPr="004A1176">
        <w:rPr>
          <w:rFonts w:ascii="Arial" w:eastAsia="Times New Roman" w:hAnsi="Arial" w:cs="Arial"/>
          <w:b/>
          <w:bCs/>
          <w:kern w:val="36"/>
          <w:sz w:val="22"/>
          <w:szCs w:val="22"/>
          <w:lang w:eastAsia="en-GB"/>
          <w14:ligatures w14:val="none"/>
        </w:rPr>
        <w:lastRenderedPageBreak/>
        <w:t>Report: Analysis of Quality Management Failures in the Lucy Letby Case</w:t>
      </w:r>
    </w:p>
    <w:p w14:paraId="1FB25D23" w14:textId="28C1D192" w:rsidR="00D8379B" w:rsidRPr="004A1176" w:rsidRDefault="00D8379B" w:rsidP="004A117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bookmarkStart w:id="0" w:name="_Toc235958901"/>
      <w:r w:rsidRPr="004A1176">
        <w:rPr>
          <w:rFonts w:ascii="Arial" w:eastAsia="Times New Roman" w:hAnsi="Arial" w:cs="Arial"/>
          <w:b/>
          <w:bCs/>
          <w:kern w:val="0"/>
          <w:sz w:val="22"/>
          <w:szCs w:val="22"/>
          <w:lang w:eastAsia="en-GB"/>
          <w14:ligatures w14:val="none"/>
        </w:rPr>
        <w:t>Introduction</w:t>
      </w:r>
      <w:bookmarkEnd w:id="0"/>
    </w:p>
    <w:p w14:paraId="18ABD1AC"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Quality management is a cornerstone of contemporary healthcare systems, ensuring that services remain safe, effective, patient-centred, timely, efficient, and equitable (World Health Organization [WHO], 2021). Within the United Kingdom's National Health Service (NHS), quality assurance and clinical governance mechanisms are theoretically designed to identify operational risks, monitor performance, and support continuous improvement in patient outcomes (NHS England, 2023). However, high-profile healthcare failures repeatedly demonstrate that latent weaknesses in organisational systems, dysfunctional governance structures, and toxic safety cultures can undermine these safeguards with catastrophic consequences. The most profound patient safety and clinical quality failure in modern NHS history is the case of Lucy Letby at the Countess of Chester Hospital NHS Foundation Trust.</w:t>
      </w:r>
    </w:p>
    <w:p w14:paraId="129771AE"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Between June 2015 and June 2016, neonatal nurse Lucy Letby murdered seven infants and attempted to murder several others while working on the neonatal unit at the Countess of Chester Hospital (BBC News, 2023). During this twelve-month period, the unit experienced an unprecedented and highly anomalous spike in unexplained, sudden infant collapses and deaths. Clinical consultants repeatedly raised concerns regarding these unusual mortality patterns, identifying a strong and persistent correlation between Letby’s shift patterns and the adverse events. Despite clear, early warnings from senior clinicians, the Trust's executive leadership failed to act decisively. Instead, they delayed formal investigations, discouraged police involvement, and actively compelled clinicians to apologise to Letby to protect the organisation’s reputation (Thirlwall Inquiry, 2024).</w:t>
      </w:r>
    </w:p>
    <w:p w14:paraId="6E972862" w14:textId="033F85AA"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This systemic failure represents a profound breakdown in clinical quality management. To establish the scale of the crisis, key operational statistics from the Countess of Chester Hospital's neonatal unit during the index period are highly revealing:</w:t>
      </w:r>
    </w:p>
    <w:p w14:paraId="37F53B67" w14:textId="77E7F450"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Neonatal Unit Quality Metrics (June 2015 - June 2016</w:t>
      </w:r>
      <w:r w:rsidRPr="004A1176">
        <w:rPr>
          <w:rFonts w:ascii="Arial" w:eastAsia="Times New Roman" w:hAnsi="Arial" w:cs="Arial"/>
          <w:kern w:val="0"/>
          <w:sz w:val="22"/>
          <w:szCs w:val="22"/>
          <w:lang w:eastAsia="en-GB"/>
          <w14:ligatures w14:val="none"/>
        </w:rPr>
        <w:t xml:space="preserve">)     </w:t>
      </w:r>
    </w:p>
    <w:p w14:paraId="25792E3E" w14:textId="24BB8532"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b/>
          <w:bCs/>
          <w:kern w:val="0"/>
          <w:sz w:val="22"/>
          <w:szCs w:val="22"/>
          <w:lang w:eastAsia="en-GB"/>
          <w14:ligatures w14:val="none"/>
        </w:rPr>
        <w:t>Historical Baseline Mortality</w:t>
      </w:r>
      <w:r w:rsidRPr="004A1176">
        <w:rPr>
          <w:rFonts w:ascii="Arial" w:eastAsia="Times New Roman" w:hAnsi="Arial" w:cs="Arial"/>
          <w:kern w:val="0"/>
          <w:sz w:val="22"/>
          <w:szCs w:val="22"/>
          <w:lang w:eastAsia="en-GB"/>
          <w14:ligatures w14:val="none"/>
        </w:rPr>
        <w:t>: ~2-3 deaths per annum</w:t>
      </w:r>
    </w:p>
    <w:p w14:paraId="34EFB63F" w14:textId="3C24B932"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b/>
          <w:bCs/>
          <w:kern w:val="0"/>
          <w:sz w:val="22"/>
          <w:szCs w:val="22"/>
          <w:lang w:eastAsia="en-GB"/>
          <w14:ligatures w14:val="none"/>
        </w:rPr>
        <w:t>Index Period Mortality:</w:t>
      </w:r>
      <w:r w:rsidRPr="004A1176">
        <w:rPr>
          <w:rFonts w:ascii="Arial" w:eastAsia="Times New Roman" w:hAnsi="Arial" w:cs="Arial"/>
          <w:kern w:val="0"/>
          <w:sz w:val="22"/>
          <w:szCs w:val="22"/>
          <w:lang w:eastAsia="en-GB"/>
          <w14:ligatures w14:val="none"/>
        </w:rPr>
        <w:t xml:space="preserve"> 15 infant deaths (300%+ increase)</w:t>
      </w:r>
    </w:p>
    <w:p w14:paraId="6B2F71CA" w14:textId="3306A030"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 Total Unexplained Collapses</w:t>
      </w:r>
      <w:r w:rsidRPr="004A1176">
        <w:rPr>
          <w:rFonts w:ascii="Arial" w:eastAsia="Times New Roman" w:hAnsi="Arial" w:cs="Arial"/>
          <w:kern w:val="0"/>
          <w:sz w:val="22"/>
          <w:szCs w:val="22"/>
          <w:lang w:eastAsia="en-GB"/>
          <w14:ligatures w14:val="none"/>
        </w:rPr>
        <w:t xml:space="preserve">: Over 30 recorded incidents </w:t>
      </w:r>
    </w:p>
    <w:p w14:paraId="162D4999" w14:textId="61A77D4E"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 Escalation Latency:</w:t>
      </w:r>
      <w:r w:rsidRPr="004A1176">
        <w:rPr>
          <w:rFonts w:ascii="Arial" w:eastAsia="Times New Roman" w:hAnsi="Arial" w:cs="Arial"/>
          <w:kern w:val="0"/>
          <w:sz w:val="22"/>
          <w:szCs w:val="22"/>
          <w:lang w:eastAsia="en-GB"/>
          <w14:ligatures w14:val="none"/>
        </w:rPr>
        <w:t xml:space="preserve"> 11 months before formal clinical audit</w:t>
      </w:r>
    </w:p>
    <w:p w14:paraId="104E5FA4" w14:textId="689A9BD2"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 Police Referral Latency:</w:t>
      </w:r>
      <w:r w:rsidRPr="004A1176">
        <w:rPr>
          <w:rFonts w:ascii="Arial" w:eastAsia="Times New Roman" w:hAnsi="Arial" w:cs="Arial"/>
          <w:kern w:val="0"/>
          <w:sz w:val="22"/>
          <w:szCs w:val="22"/>
          <w:lang w:eastAsia="en-GB"/>
          <w14:ligatures w14:val="none"/>
        </w:rPr>
        <w:t xml:space="preserve"> 22 months from first consultant</w:t>
      </w:r>
      <w:r w:rsidR="0099219A"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kern w:val="0"/>
          <w:sz w:val="22"/>
          <w:szCs w:val="22"/>
          <w:lang w:eastAsia="en-GB"/>
          <w14:ligatures w14:val="none"/>
        </w:rPr>
        <w:t>warning to formal police notification (May 2017)</w:t>
      </w:r>
    </w:p>
    <w:p w14:paraId="0D367116"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lastRenderedPageBreak/>
        <w:t>Contemporary patient safety literature, most notably James Reason’s (2000) "Swiss Cheese Model" of accident causation, asserts that active failures (such as individual malicious acts) only result in catastrophic harm when they pass through multiple holes in the organisation’s defensive barriers. The Letby case provides an unparalleled opportunity to evaluate how systemic weaknesses in clinical governance, deficient incident reporting systems, suppressed whistleblowing procedures, and inadequate regulatory oversight aligned to allow a tragedy of this scale to unfold.</w:t>
      </w:r>
    </w:p>
    <w:p w14:paraId="7C9D0C77"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This report critically evaluates the root causes of this clinical quality failure by applying established healthcare frameworks, including the Fishbone (Ishikawa) Diagram, the Five Whys technique, and the Donabedian Model. It also uses strategic tools like SWOT and PESTLE to guide actionable service improvement recommendations. Finally, the report outlines a robust implementation strategy using the Plan-Do-Study-Act (PDSA) cycle and Kotter’s Eight-Step Change Model to ensure sustainable systemic reform.</w:t>
      </w:r>
    </w:p>
    <w:p w14:paraId="2FF42944" w14:textId="2DD31CCD" w:rsidR="00D8379B" w:rsidRPr="004A1176" w:rsidRDefault="00D8379B" w:rsidP="004A117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bookmarkStart w:id="1" w:name="_Toc235958902"/>
      <w:r w:rsidRPr="004A1176">
        <w:rPr>
          <w:rFonts w:ascii="Arial" w:eastAsia="Times New Roman" w:hAnsi="Arial" w:cs="Arial"/>
          <w:b/>
          <w:bCs/>
          <w:kern w:val="0"/>
          <w:sz w:val="22"/>
          <w:szCs w:val="22"/>
          <w:lang w:eastAsia="en-GB"/>
          <w14:ligatures w14:val="none"/>
        </w:rPr>
        <w:t>Main Body: Root Cause Analysis &amp; Strategic Frameworks</w:t>
      </w:r>
      <w:bookmarkEnd w:id="1"/>
    </w:p>
    <w:p w14:paraId="44DFEF3E"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To move beyond individual culpability and understand the systemic landscape that permitted these events to occur, we must deploy structured Root Cause Analysis (RCA) and strategic planning tools. This section applies and critically compares these frameworks to understand the Countess of Chester Hospital's organizational breakdown.</w:t>
      </w:r>
    </w:p>
    <w:p w14:paraId="5DE9F9AF" w14:textId="0185C75E" w:rsidR="00D8379B" w:rsidRPr="004A1176" w:rsidRDefault="00D8379B"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2" w:name="_Toc235958903"/>
      <w:r w:rsidRPr="004A1176">
        <w:rPr>
          <w:rFonts w:ascii="Arial" w:eastAsia="Times New Roman" w:hAnsi="Arial" w:cs="Arial"/>
          <w:b/>
          <w:bCs/>
          <w:kern w:val="0"/>
          <w:sz w:val="22"/>
          <w:szCs w:val="22"/>
          <w:lang w:eastAsia="en-GB"/>
          <w14:ligatures w14:val="none"/>
        </w:rPr>
        <w:t>Cause and Effect: Applying the Fishbone (Ishikawa) Diagram</w:t>
      </w:r>
      <w:bookmarkEnd w:id="2"/>
    </w:p>
    <w:p w14:paraId="741C9872"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The Fishbone Diagram, pioneered by Kaoru Ishikawa (1985), is a highly effective tool for identifying, categorising, and visualising the myriad contributory factors that culminate in a major quality failure. Rather than focusing on a single point of failure, it facilitates systems thinking by mapping causes across multiple domains.</w:t>
      </w:r>
    </w:p>
    <w:p w14:paraId="08114082" w14:textId="77777777" w:rsidR="00D8379B" w:rsidRPr="004A1176" w:rsidRDefault="00D8379B" w:rsidP="004A1176">
      <w:pPr>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noProof/>
          <w:kern w:val="0"/>
          <w:sz w:val="22"/>
          <w:szCs w:val="22"/>
          <w:lang w:eastAsia="en-GB"/>
          <w14:ligatures w14:val="none"/>
        </w:rPr>
        <w:drawing>
          <wp:inline distT="0" distB="0" distL="0" distR="0" wp14:anchorId="6F589F94" wp14:editId="47796095">
            <wp:extent cx="4844845" cy="2221215"/>
            <wp:effectExtent l="0" t="0" r="0" b="8255"/>
            <wp:docPr id="5" name="Picture 6" descr="Structural layout of the Ishikawa (Fishbone) Diagram used for multi-layered Root Cause Analysis, AI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uctural layout of the Ishikawa (Fishbone) Diagram used for multi-layered Root Cause Analysis, AI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138" t="12162" r="39301" b="12437"/>
                    <a:stretch>
                      <a:fillRect/>
                    </a:stretch>
                  </pic:blipFill>
                  <pic:spPr bwMode="auto">
                    <a:xfrm>
                      <a:off x="0" y="0"/>
                      <a:ext cx="4881139" cy="2237855"/>
                    </a:xfrm>
                    <a:prstGeom prst="rect">
                      <a:avLst/>
                    </a:prstGeom>
                    <a:noFill/>
                    <a:ln>
                      <a:noFill/>
                    </a:ln>
                    <a:extLst>
                      <a:ext uri="{53640926-AAD7-44D8-BBD7-CCE9431645EC}">
                        <a14:shadowObscured xmlns:a14="http://schemas.microsoft.com/office/drawing/2010/main"/>
                      </a:ext>
                    </a:extLst>
                  </pic:spPr>
                </pic:pic>
              </a:graphicData>
            </a:graphic>
          </wp:inline>
        </w:drawing>
      </w:r>
    </w:p>
    <w:p w14:paraId="18E46EB4" w14:textId="77777777" w:rsidR="00D8379B" w:rsidRPr="004A1176" w:rsidRDefault="00D8379B" w:rsidP="004A1176">
      <w:pPr>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lastRenderedPageBreak/>
        <w:t xml:space="preserve">Structural layout of the Ishikawa (Fishbone) Diagram used for multi-layered Root Cause Analysis. Source: </w:t>
      </w:r>
      <w:proofErr w:type="spellStart"/>
      <w:r w:rsidRPr="004A1176">
        <w:rPr>
          <w:rFonts w:ascii="Arial" w:eastAsia="Times New Roman" w:hAnsi="Arial" w:cs="Arial"/>
          <w:kern w:val="0"/>
          <w:sz w:val="22"/>
          <w:szCs w:val="22"/>
          <w:lang w:eastAsia="en-GB"/>
          <w14:ligatures w14:val="none"/>
        </w:rPr>
        <w:t>Mininyx</w:t>
      </w:r>
      <w:proofErr w:type="spellEnd"/>
      <w:r w:rsidRPr="004A1176">
        <w:rPr>
          <w:rFonts w:ascii="Arial" w:eastAsia="Times New Roman" w:hAnsi="Arial" w:cs="Arial"/>
          <w:kern w:val="0"/>
          <w:sz w:val="22"/>
          <w:szCs w:val="22"/>
          <w:lang w:eastAsia="en-GB"/>
          <w14:ligatures w14:val="none"/>
        </w:rPr>
        <w:t xml:space="preserve"> Doodle / Getty Images</w:t>
      </w:r>
    </w:p>
    <w:p w14:paraId="0E77C111"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Applying this framework to the neonatal unit quality failure reveals six core domains of vulnerability:</w:t>
      </w:r>
    </w:p>
    <w:p w14:paraId="23365C34" w14:textId="77777777" w:rsidR="00D8379B" w:rsidRPr="004A1176" w:rsidRDefault="00D8379B" w:rsidP="004A1176">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People:</w:t>
      </w:r>
      <w:r w:rsidRPr="004A1176">
        <w:rPr>
          <w:rFonts w:ascii="Arial" w:eastAsia="Times New Roman" w:hAnsi="Arial" w:cs="Arial"/>
          <w:kern w:val="0"/>
          <w:sz w:val="22"/>
          <w:szCs w:val="22"/>
          <w:lang w:eastAsia="en-GB"/>
          <w14:ligatures w14:val="none"/>
        </w:rPr>
        <w:t xml:space="preserve"> Senior administrative staff and executive directors consistently prioritised reputational risk over clinical warning signs. Furthermore, a stark cognitive bias led management to view clinical consultants' warnings as a personal dispute rather than an urgent safety concern (Thirlwall Inquiry, 2024).</w:t>
      </w:r>
    </w:p>
    <w:p w14:paraId="777C051D" w14:textId="77777777" w:rsidR="00D8379B" w:rsidRPr="004A1176" w:rsidRDefault="00D8379B" w:rsidP="004A1176">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Processes:</w:t>
      </w:r>
      <w:r w:rsidRPr="004A1176">
        <w:rPr>
          <w:rFonts w:ascii="Arial" w:eastAsia="Times New Roman" w:hAnsi="Arial" w:cs="Arial"/>
          <w:kern w:val="0"/>
          <w:sz w:val="22"/>
          <w:szCs w:val="22"/>
          <w:lang w:eastAsia="en-GB"/>
          <w14:ligatures w14:val="none"/>
        </w:rPr>
        <w:t xml:space="preserve"> The unit's incident reporting systems (specifically Datix) were underutilised or treated as administrative burdens rather than real-time clinical safety tools. The escalation path from local unit reviews to executive-level risk registers was completely severed (NHS Improvement, 2018).</w:t>
      </w:r>
    </w:p>
    <w:p w14:paraId="6BDD1BA6" w14:textId="77777777" w:rsidR="00D8379B" w:rsidRPr="004A1176" w:rsidRDefault="00D8379B" w:rsidP="004A1176">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Leadership and Management:</w:t>
      </w:r>
      <w:r w:rsidRPr="004A1176">
        <w:rPr>
          <w:rFonts w:ascii="Arial" w:eastAsia="Times New Roman" w:hAnsi="Arial" w:cs="Arial"/>
          <w:kern w:val="0"/>
          <w:sz w:val="22"/>
          <w:szCs w:val="22"/>
          <w:lang w:eastAsia="en-GB"/>
          <w14:ligatures w14:val="none"/>
        </w:rPr>
        <w:t xml:space="preserve"> Executive leaders exhibited defensive, siloed management styles. There was an absence of "psychological safety"—a concept defined by Edmondson (2018) as a climate where staff feel safe to raise concerns without fear of retaliation.</w:t>
      </w:r>
    </w:p>
    <w:p w14:paraId="1C7AA1B9" w14:textId="77777777" w:rsidR="00D8379B" w:rsidRPr="004A1176" w:rsidRDefault="00D8379B" w:rsidP="004A1176">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Environment:</w:t>
      </w:r>
      <w:r w:rsidRPr="004A1176">
        <w:rPr>
          <w:rFonts w:ascii="Arial" w:eastAsia="Times New Roman" w:hAnsi="Arial" w:cs="Arial"/>
          <w:kern w:val="0"/>
          <w:sz w:val="22"/>
          <w:szCs w:val="22"/>
          <w:lang w:eastAsia="en-GB"/>
          <w14:ligatures w14:val="none"/>
        </w:rPr>
        <w:t xml:space="preserve"> The neonatal unit was operating under severe operational strain, characterized by chronic nurse understaffing and a mismatch between the acuity of the infants and the unit's clinical designation (The Guardian, 2024a). This environmental stress masked clinical anomalies as mere byproducts of an overworked unit.</w:t>
      </w:r>
    </w:p>
    <w:p w14:paraId="279AF7C5" w14:textId="77777777" w:rsidR="00D8379B" w:rsidRPr="004A1176" w:rsidRDefault="00D8379B" w:rsidP="004A1176">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Policy and Governance:</w:t>
      </w:r>
      <w:r w:rsidRPr="004A1176">
        <w:rPr>
          <w:rFonts w:ascii="Arial" w:eastAsia="Times New Roman" w:hAnsi="Arial" w:cs="Arial"/>
          <w:kern w:val="0"/>
          <w:sz w:val="22"/>
          <w:szCs w:val="22"/>
          <w:lang w:eastAsia="en-GB"/>
          <w14:ligatures w14:val="none"/>
        </w:rPr>
        <w:t xml:space="preserve"> Mortality reviews were superficial, unstructured, and lacked independent, external clinical validation (Halligan and Donaldson, 2001).</w:t>
      </w:r>
    </w:p>
    <w:p w14:paraId="7F2017EE" w14:textId="77777777" w:rsidR="00D8379B" w:rsidRPr="004A1176" w:rsidRDefault="00D8379B" w:rsidP="004A1176">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Regulatory Oversight:</w:t>
      </w:r>
      <w:r w:rsidRPr="004A1176">
        <w:rPr>
          <w:rFonts w:ascii="Arial" w:eastAsia="Times New Roman" w:hAnsi="Arial" w:cs="Arial"/>
          <w:kern w:val="0"/>
          <w:sz w:val="22"/>
          <w:szCs w:val="22"/>
          <w:lang w:eastAsia="en-GB"/>
          <w14:ligatures w14:val="none"/>
        </w:rPr>
        <w:t xml:space="preserve"> The Care Quality Commission (CQC) and local commissioners relied heavily on self-reported Trust metrics, failing to detect the underlying cultural and operational rot until the crisis became public (CQC, 2023).</w:t>
      </w:r>
    </w:p>
    <w:p w14:paraId="54005D4A" w14:textId="77777777" w:rsidR="0099219A" w:rsidRPr="004A1176" w:rsidRDefault="0099219A" w:rsidP="004A1176">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p>
    <w:p w14:paraId="0D42FDB9" w14:textId="1E3A6E5B" w:rsidR="00D8379B" w:rsidRPr="004A1176" w:rsidRDefault="00D8379B"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3" w:name="_Toc235958904"/>
      <w:r w:rsidRPr="004A1176">
        <w:rPr>
          <w:rFonts w:ascii="Arial" w:eastAsia="Times New Roman" w:hAnsi="Arial" w:cs="Arial"/>
          <w:b/>
          <w:bCs/>
          <w:kern w:val="0"/>
          <w:sz w:val="22"/>
          <w:szCs w:val="22"/>
          <w:lang w:eastAsia="en-GB"/>
          <w14:ligatures w14:val="none"/>
        </w:rPr>
        <w:t>Deepening the Analysis: The Five Whys Technique</w:t>
      </w:r>
      <w:bookmarkEnd w:id="3"/>
    </w:p>
    <w:p w14:paraId="5E0C6A36"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While the Fishbone Diagram maps the breadth of systemic vulnerabilities, the </w:t>
      </w:r>
      <w:r w:rsidRPr="004A1176">
        <w:rPr>
          <w:rFonts w:ascii="Arial" w:eastAsia="Times New Roman" w:hAnsi="Arial" w:cs="Arial"/>
          <w:b/>
          <w:bCs/>
          <w:kern w:val="0"/>
          <w:sz w:val="22"/>
          <w:szCs w:val="22"/>
          <w:lang w:eastAsia="en-GB"/>
          <w14:ligatures w14:val="none"/>
        </w:rPr>
        <w:t>Five Whys</w:t>
      </w:r>
      <w:r w:rsidRPr="004A1176">
        <w:rPr>
          <w:rFonts w:ascii="Arial" w:eastAsia="Times New Roman" w:hAnsi="Arial" w:cs="Arial"/>
          <w:kern w:val="0"/>
          <w:sz w:val="22"/>
          <w:szCs w:val="22"/>
          <w:lang w:eastAsia="en-GB"/>
          <w14:ligatures w14:val="none"/>
        </w:rPr>
        <w:t xml:space="preserve"> technique, developed by Sakichi Toyoda and formalised by Taiichi Ohno (1988), is a linear diagnostic tool designed to drill down to the foundational root cause of a specific failure through iterative questioning.</w:t>
      </w:r>
    </w:p>
    <w:p w14:paraId="52FBC40A" w14:textId="77777777" w:rsidR="0099219A" w:rsidRPr="004A1176" w:rsidRDefault="0099219A" w:rsidP="004A1176">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p>
    <w:p w14:paraId="1D5388D0" w14:textId="4AB9BFB1" w:rsidR="00D8379B" w:rsidRPr="004A1176" w:rsidRDefault="00D8379B" w:rsidP="004A1176">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lastRenderedPageBreak/>
        <w:t>Problem Statement:</w:t>
      </w:r>
    </w:p>
    <w:p w14:paraId="74EEF8A8" w14:textId="39D010D4" w:rsidR="0099219A"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kern w:val="0"/>
          <w:sz w:val="22"/>
          <w:szCs w:val="22"/>
          <w:lang w:eastAsia="en-GB"/>
          <w14:ligatures w14:val="none"/>
        </w:rPr>
        <w:t>Serious, anomalous neonatal collapses and deaths occurred repeatedly over a 12-month period without timely, decisive clinical intervention or police referral.</w:t>
      </w:r>
    </w:p>
    <w:p w14:paraId="7B1F7E4F" w14:textId="77777777" w:rsidR="00D16615" w:rsidRPr="00D16615" w:rsidRDefault="00D16615" w:rsidP="004A1176">
      <w:pPr>
        <w:spacing w:before="100" w:beforeAutospacing="1" w:after="100" w:afterAutospacing="1" w:line="360" w:lineRule="auto"/>
        <w:rPr>
          <w:rFonts w:ascii="Arial" w:eastAsia="Times New Roman" w:hAnsi="Arial" w:cs="Arial"/>
          <w:kern w:val="0"/>
          <w:sz w:val="22"/>
          <w:szCs w:val="22"/>
          <w:lang w:eastAsia="en-GB"/>
          <w14:ligatures w14:val="none"/>
        </w:rPr>
      </w:pPr>
    </w:p>
    <w:p w14:paraId="2A467794" w14:textId="77777777" w:rsidR="00D8379B"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b/>
          <w:bCs/>
          <w:kern w:val="0"/>
          <w:sz w:val="22"/>
          <w:szCs w:val="22"/>
          <w:lang w:eastAsia="en-GB"/>
          <w14:ligatures w14:val="none"/>
        </w:rPr>
        <w:t>Why 1: Why were these anomalous deaths and collapses allowed to continue without investigation?</w:t>
      </w:r>
    </w:p>
    <w:p w14:paraId="4FFB2939" w14:textId="57A6D1D2" w:rsidR="00D16615"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kern w:val="0"/>
          <w:sz w:val="22"/>
          <w:szCs w:val="22"/>
          <w:lang w:eastAsia="en-GB"/>
          <w14:ligatures w14:val="none"/>
        </w:rPr>
        <w:t>Because clinical consultants' early, formal warnings linking the events to nurse Lucy Letby were not escalated or acted upon by the hospital's executive leadership team.</w:t>
      </w:r>
    </w:p>
    <w:p w14:paraId="27196862" w14:textId="77777777" w:rsidR="00D8379B"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b/>
          <w:bCs/>
          <w:kern w:val="0"/>
          <w:sz w:val="22"/>
          <w:szCs w:val="22"/>
          <w:lang w:eastAsia="en-GB"/>
          <w14:ligatures w14:val="none"/>
        </w:rPr>
        <w:t>Why 2: Why did executive leadership fail to act on these repeated warning signs?</w:t>
      </w:r>
    </w:p>
    <w:p w14:paraId="516C3384" w14:textId="363431C4" w:rsidR="0099219A"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kern w:val="0"/>
          <w:sz w:val="22"/>
          <w:szCs w:val="22"/>
          <w:lang w:eastAsia="en-GB"/>
          <w14:ligatures w14:val="none"/>
        </w:rPr>
        <w:t>Because the executive team discounted the subjective assessments of the clinical consultants, demanding "objective, irrefutable proof" before taking administrative action.</w:t>
      </w:r>
    </w:p>
    <w:p w14:paraId="14AB4AB2" w14:textId="77777777" w:rsidR="00D8379B"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b/>
          <w:bCs/>
          <w:kern w:val="0"/>
          <w:sz w:val="22"/>
          <w:szCs w:val="22"/>
          <w:lang w:eastAsia="en-GB"/>
          <w14:ligatures w14:val="none"/>
        </w:rPr>
        <w:t>Why 3: Why did executives demand impossible thresholds of proof and reject clinical warnings?</w:t>
      </w:r>
    </w:p>
    <w:p w14:paraId="0A5D4417" w14:textId="77777777" w:rsidR="00D8379B"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kern w:val="0"/>
          <w:sz w:val="22"/>
          <w:szCs w:val="22"/>
          <w:lang w:eastAsia="en-GB"/>
          <w14:ligatures w14:val="none"/>
        </w:rPr>
        <w:t>Because they operated within a highly defensive organizational culture that viewed internal dissent as a threat to the Trust's reputation and its bid for Foundation Trust status.</w:t>
      </w:r>
    </w:p>
    <w:p w14:paraId="3709ED63" w14:textId="77777777" w:rsidR="00D8379B"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b/>
          <w:bCs/>
          <w:kern w:val="0"/>
          <w:sz w:val="22"/>
          <w:szCs w:val="22"/>
          <w:lang w:eastAsia="en-GB"/>
          <w14:ligatures w14:val="none"/>
        </w:rPr>
        <w:t>Why 4: Why did the organizational culture prioritize reputation over patient safety?</w:t>
      </w:r>
    </w:p>
    <w:p w14:paraId="12E4D04D" w14:textId="77777777" w:rsidR="00D8379B"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kern w:val="0"/>
          <w:sz w:val="22"/>
          <w:szCs w:val="22"/>
          <w:lang w:eastAsia="en-GB"/>
          <w14:ligatures w14:val="none"/>
        </w:rPr>
        <w:t>Because the prevailing NHS performance and regulatory landscape disproportionately rewarded positive public relations, financial balance, and target achievement, while lacking strong mechanisms for executive-level clinical accountability.</w:t>
      </w:r>
    </w:p>
    <w:p w14:paraId="320E40B0" w14:textId="77777777" w:rsidR="0099219A"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b/>
          <w:bCs/>
          <w:kern w:val="0"/>
          <w:sz w:val="22"/>
          <w:szCs w:val="22"/>
          <w:lang w:eastAsia="en-GB"/>
          <w14:ligatures w14:val="none"/>
        </w:rPr>
        <w:t>Why 5: Why was there no effective executive-level accountability to balance these reputational pressures?</w:t>
      </w:r>
      <w:r w:rsidR="0099219A" w:rsidRPr="00D16615">
        <w:rPr>
          <w:rFonts w:ascii="Arial" w:eastAsia="Times New Roman" w:hAnsi="Arial" w:cs="Arial"/>
          <w:kern w:val="0"/>
          <w:sz w:val="22"/>
          <w:szCs w:val="22"/>
          <w:lang w:eastAsia="en-GB"/>
          <w14:ligatures w14:val="none"/>
        </w:rPr>
        <w:t xml:space="preserve"> </w:t>
      </w:r>
    </w:p>
    <w:p w14:paraId="7EE9A9AE" w14:textId="03CB8732" w:rsidR="00D8379B" w:rsidRPr="00D16615"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D16615">
        <w:rPr>
          <w:rFonts w:ascii="Arial" w:eastAsia="Times New Roman" w:hAnsi="Arial" w:cs="Arial"/>
          <w:kern w:val="0"/>
          <w:sz w:val="22"/>
          <w:szCs w:val="22"/>
          <w:lang w:eastAsia="en-GB"/>
          <w14:ligatures w14:val="none"/>
        </w:rPr>
        <w:t>Because clinical governance systems lacked independent, external, and legally binding oversight mechanisms, allowing executive directors to bypass clinical advice without immediate regulatory or statutory consequences.</w:t>
      </w:r>
    </w:p>
    <w:p w14:paraId="4FE9ACAD" w14:textId="77777777" w:rsidR="0099219A" w:rsidRPr="004A1176" w:rsidRDefault="0099219A" w:rsidP="004A1176">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p>
    <w:p w14:paraId="6A3E9C6F" w14:textId="77777777" w:rsidR="0099219A" w:rsidRPr="004A1176" w:rsidRDefault="0099219A" w:rsidP="004A1176">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p>
    <w:p w14:paraId="651F6BF9" w14:textId="7E22791E" w:rsidR="00D8379B" w:rsidRPr="004A1176" w:rsidRDefault="00D8379B" w:rsidP="004A1176">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lastRenderedPageBreak/>
        <w:t>Foundational Root Cause:</w:t>
      </w:r>
    </w:p>
    <w:p w14:paraId="017E21BA"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The ultimate root cause is a defensive, self-preserving executive leadership culture that operated with a total lack of independent clinical accountability, allowing reputational preservation to override patient safety.</w:t>
      </w:r>
    </w:p>
    <w:p w14:paraId="5EE0901F" w14:textId="42655DC9" w:rsidR="00D8379B" w:rsidRPr="004A1176" w:rsidRDefault="00D8379B"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4" w:name="_Toc235958905"/>
      <w:r w:rsidRPr="004A1176">
        <w:rPr>
          <w:rFonts w:ascii="Arial" w:eastAsia="Times New Roman" w:hAnsi="Arial" w:cs="Arial"/>
          <w:b/>
          <w:bCs/>
          <w:kern w:val="0"/>
          <w:sz w:val="22"/>
          <w:szCs w:val="22"/>
          <w:lang w:eastAsia="en-GB"/>
          <w14:ligatures w14:val="none"/>
        </w:rPr>
        <w:t>Methodological Justification: Fishbone Diagram versus Five Whys</w:t>
      </w:r>
      <w:bookmarkEnd w:id="4"/>
    </w:p>
    <w:p w14:paraId="6805CDE7"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Choosing the right quality tool is essential for effective service improvement.</w:t>
      </w:r>
    </w:p>
    <w:p w14:paraId="41B8F7A7" w14:textId="08AE0F88"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Methodological Comparison:</w:t>
      </w:r>
      <w:r w:rsidRPr="004A1176">
        <w:rPr>
          <w:rFonts w:ascii="Arial" w:eastAsia="Times New Roman" w:hAnsi="Arial" w:cs="Arial"/>
          <w:kern w:val="0"/>
          <w:sz w:val="22"/>
          <w:szCs w:val="22"/>
          <w:lang w:eastAsia="en-GB"/>
          <w14:ligatures w14:val="none"/>
        </w:rPr>
        <w:t xml:space="preserve"> The Five Whys is an excellent tool for straightforward, linear mechanical or process failures. However, it can struggle with highly complex healthcare issues. It is prone to "cognitive </w:t>
      </w:r>
      <w:r w:rsidR="001F6296" w:rsidRPr="004A1176">
        <w:rPr>
          <w:rFonts w:ascii="Arial" w:eastAsia="Times New Roman" w:hAnsi="Arial" w:cs="Arial"/>
          <w:kern w:val="0"/>
          <w:sz w:val="22"/>
          <w:szCs w:val="22"/>
          <w:lang w:eastAsia="en-GB"/>
          <w14:ligatures w14:val="none"/>
        </w:rPr>
        <w:t>tunnelling</w:t>
      </w:r>
      <w:r w:rsidRPr="004A1176">
        <w:rPr>
          <w:rFonts w:ascii="Arial" w:eastAsia="Times New Roman" w:hAnsi="Arial" w:cs="Arial"/>
          <w:kern w:val="0"/>
          <w:sz w:val="22"/>
          <w:szCs w:val="22"/>
          <w:lang w:eastAsia="en-GB"/>
          <w14:ligatures w14:val="none"/>
        </w:rPr>
        <w:t>," where the investigator follows a single causal path and ignores other important variables (Doggett, 2005).</w:t>
      </w:r>
    </w:p>
    <w:p w14:paraId="7001883F" w14:textId="61FBD9DE"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Conversely, the Fishbone Diagram is much better suited for complex healthcare failures. It forces the investigator to </w:t>
      </w:r>
      <w:r w:rsidR="001F6296" w:rsidRPr="004A1176">
        <w:rPr>
          <w:rFonts w:ascii="Arial" w:eastAsia="Times New Roman" w:hAnsi="Arial" w:cs="Arial"/>
          <w:kern w:val="0"/>
          <w:sz w:val="22"/>
          <w:szCs w:val="22"/>
          <w:lang w:eastAsia="en-GB"/>
          <w14:ligatures w14:val="none"/>
        </w:rPr>
        <w:t>analyse</w:t>
      </w:r>
      <w:r w:rsidRPr="004A1176">
        <w:rPr>
          <w:rFonts w:ascii="Arial" w:eastAsia="Times New Roman" w:hAnsi="Arial" w:cs="Arial"/>
          <w:kern w:val="0"/>
          <w:sz w:val="22"/>
          <w:szCs w:val="22"/>
          <w:lang w:eastAsia="en-GB"/>
          <w14:ligatures w14:val="none"/>
        </w:rPr>
        <w:t xml:space="preserve"> multiple contributing factors simultaneously (human factors, environment, processes, and policies), aligning with Reason's (2000) multi-barrier "Swiss Cheese" model of patient safety.</w:t>
      </w:r>
    </w:p>
    <w:p w14:paraId="05D4DD24"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Thus, while this report uses the Five Whys to highlight the executive accountability gap, the Fishbone Diagram is the superior primary tool for this case because it captures the multi-faceted, systemic nature of the failure.</w:t>
      </w:r>
    </w:p>
    <w:p w14:paraId="5234521E" w14:textId="3055200D" w:rsidR="00D8379B" w:rsidRPr="004A1176" w:rsidRDefault="00D8379B"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5" w:name="_Toc235958906"/>
      <w:r w:rsidRPr="004A1176">
        <w:rPr>
          <w:rFonts w:ascii="Arial" w:eastAsia="Times New Roman" w:hAnsi="Arial" w:cs="Arial"/>
          <w:b/>
          <w:bCs/>
          <w:kern w:val="0"/>
          <w:sz w:val="22"/>
          <w:szCs w:val="22"/>
          <w:lang w:eastAsia="en-GB"/>
          <w14:ligatures w14:val="none"/>
        </w:rPr>
        <w:t>Structural, Process, and Outcome Analysis: The Donabedian Model</w:t>
      </w:r>
      <w:bookmarkEnd w:id="5"/>
    </w:p>
    <w:p w14:paraId="3C3F30E6"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Avedis Donabedian’s (1988) framework evaluates healthcare quality through three distinct, sequential lenses: Structure, Process, and Outcome.</w:t>
      </w:r>
    </w:p>
    <w:p w14:paraId="5F43C5E3" w14:textId="77777777" w:rsidR="00D8379B" w:rsidRPr="004A1176" w:rsidRDefault="00D8379B" w:rsidP="00D16615">
      <w:pPr>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noProof/>
          <w:kern w:val="0"/>
          <w:sz w:val="22"/>
          <w:szCs w:val="22"/>
          <w:lang w:eastAsia="en-GB"/>
          <w14:ligatures w14:val="none"/>
        </w:rPr>
        <w:drawing>
          <wp:inline distT="0" distB="0" distL="0" distR="0" wp14:anchorId="26F61601" wp14:editId="2BC0F3DF">
            <wp:extent cx="3989373" cy="1974926"/>
            <wp:effectExtent l="0" t="0" r="0" b="6350"/>
            <wp:docPr id="6" name="Picture 5" descr="The Donabedian Model framework mapping the dependencies from Structure to Process to Outcome, AI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Donabedian Model framework mapping the dependencies from Structure to Process to Outcome, AI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19944" r="16661"/>
                    <a:stretch>
                      <a:fillRect/>
                    </a:stretch>
                  </pic:blipFill>
                  <pic:spPr bwMode="auto">
                    <a:xfrm>
                      <a:off x="0" y="0"/>
                      <a:ext cx="4037281" cy="1998643"/>
                    </a:xfrm>
                    <a:prstGeom prst="rect">
                      <a:avLst/>
                    </a:prstGeom>
                    <a:noFill/>
                    <a:ln>
                      <a:noFill/>
                    </a:ln>
                    <a:extLst>
                      <a:ext uri="{53640926-AAD7-44D8-BBD7-CCE9431645EC}">
                        <a14:shadowObscured xmlns:a14="http://schemas.microsoft.com/office/drawing/2010/main"/>
                      </a:ext>
                    </a:extLst>
                  </pic:spPr>
                </pic:pic>
              </a:graphicData>
            </a:graphic>
          </wp:inline>
        </w:drawing>
      </w:r>
    </w:p>
    <w:p w14:paraId="420F5656" w14:textId="77777777" w:rsidR="001F6296" w:rsidRPr="004A1176" w:rsidRDefault="001F6296" w:rsidP="004A1176">
      <w:pPr>
        <w:spacing w:after="0" w:line="360" w:lineRule="auto"/>
        <w:rPr>
          <w:rFonts w:ascii="Arial" w:eastAsia="Times New Roman" w:hAnsi="Arial" w:cs="Arial"/>
          <w:kern w:val="0"/>
          <w:sz w:val="22"/>
          <w:szCs w:val="22"/>
          <w:lang w:eastAsia="en-GB"/>
          <w14:ligatures w14:val="none"/>
        </w:rPr>
      </w:pPr>
    </w:p>
    <w:p w14:paraId="460B899B" w14:textId="77777777" w:rsidR="00D8379B" w:rsidRPr="004A1176" w:rsidRDefault="00D8379B" w:rsidP="004A1176">
      <w:pPr>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lastRenderedPageBreak/>
        <w:t>The Donabedian Model framework mapping the dependencies from Structure to Process to Outcome. Source: ResearchGate</w:t>
      </w:r>
    </w:p>
    <w:p w14:paraId="4B899C4C" w14:textId="006BD857" w:rsidR="0099219A"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Applied to the Countess of Chester Hospital, this model illustrates how deep-seated structural flaws directly degraded clinical processes, inevitably leading to catastrophic patient outcomes:</w:t>
      </w:r>
    </w:p>
    <w:p w14:paraId="0E474F4C" w14:textId="569C34ED"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THE DONABEDIAN CAUSAL PIPELINE</w:t>
      </w:r>
      <w:r w:rsidRPr="004A1176">
        <w:rPr>
          <w:rFonts w:ascii="Arial" w:eastAsia="Times New Roman" w:hAnsi="Arial" w:cs="Arial"/>
          <w:kern w:val="0"/>
          <w:sz w:val="22"/>
          <w:szCs w:val="22"/>
          <w:lang w:eastAsia="en-GB"/>
          <w14:ligatures w14:val="none"/>
        </w:rPr>
        <w:t xml:space="preserve">                         </w:t>
      </w:r>
    </w:p>
    <w:p w14:paraId="491F736F" w14:textId="77777777" w:rsidR="00B32F11" w:rsidRPr="004A1176" w:rsidRDefault="00B32F11"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0A59BD15" w14:textId="41A74C80"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STRUCTURAL DEFICIENCIES</w:t>
      </w:r>
      <w:r w:rsidRPr="004A1176">
        <w:rPr>
          <w:rFonts w:ascii="Arial" w:eastAsia="Times New Roman" w:hAnsi="Arial" w:cs="Arial"/>
          <w:kern w:val="0"/>
          <w:sz w:val="22"/>
          <w:szCs w:val="22"/>
          <w:lang w:eastAsia="en-GB"/>
          <w14:ligatures w14:val="none"/>
        </w:rPr>
        <w:t xml:space="preserve">                                                  </w:t>
      </w:r>
    </w:p>
    <w:p w14:paraId="2FB778D1" w14:textId="298A4C27"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Severe staffing shortages &amp; skill-mix deficits (NICE, 2015).              </w:t>
      </w:r>
    </w:p>
    <w:p w14:paraId="2CA2A785" w14:textId="63BD0ADB"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Inadequate clinical governance &amp; lack of independent whistleblowing lines. </w:t>
      </w:r>
    </w:p>
    <w:p w14:paraId="752E441E" w14:textId="67495E2F" w:rsidR="00B32F11"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Disconnect between neonatal unit acuity (Level 2) &amp; staff competencies.                                                                             </w:t>
      </w:r>
    </w:p>
    <w:p w14:paraId="0D7611FD" w14:textId="65AE9245" w:rsidR="00D8379B" w:rsidRPr="004A1176" w:rsidRDefault="00B32F11"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r w:rsidR="00D8379B" w:rsidRPr="004A1176">
        <w:rPr>
          <w:rFonts w:ascii="Arial" w:eastAsia="Times New Roman" w:hAnsi="Arial" w:cs="Arial"/>
          <w:kern w:val="0"/>
          <w:sz w:val="22"/>
          <w:szCs w:val="22"/>
          <w:lang w:eastAsia="en-GB"/>
          <w14:ligatures w14:val="none"/>
        </w:rPr>
        <w:t xml:space="preserve">│                                            </w:t>
      </w:r>
    </w:p>
    <w:p w14:paraId="6C6E99BA" w14:textId="1A4699D4"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p>
    <w:p w14:paraId="6A0C6C27" w14:textId="79AB2FD3"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PROCESS FAILURES</w:t>
      </w:r>
      <w:r w:rsidRPr="004A1176">
        <w:rPr>
          <w:rFonts w:ascii="Arial" w:eastAsia="Times New Roman" w:hAnsi="Arial" w:cs="Arial"/>
          <w:kern w:val="0"/>
          <w:sz w:val="22"/>
          <w:szCs w:val="22"/>
          <w:lang w:eastAsia="en-GB"/>
          <w14:ligatures w14:val="none"/>
        </w:rPr>
        <w:t xml:space="preserve">                                                       </w:t>
      </w:r>
    </w:p>
    <w:p w14:paraId="799E1079" w14:textId="3756A292"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Superficial, non-standardised mortality reviews.                           </w:t>
      </w:r>
    </w:p>
    <w:p w14:paraId="3FEAD8E9" w14:textId="11A78AB1"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Delay in executing clinical audits following unusual spikes in deaths.     </w:t>
      </w:r>
    </w:p>
    <w:p w14:paraId="3D551087" w14:textId="12F780C5" w:rsidR="00BA464F"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Active suppression of staff safety concerns and forced mediation.                                                                       </w:t>
      </w:r>
    </w:p>
    <w:p w14:paraId="2BD63DDA" w14:textId="005B43DC"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                                            </w:t>
      </w:r>
    </w:p>
    <w:p w14:paraId="5335DC3A" w14:textId="2E088330"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p>
    <w:p w14:paraId="544E9002" w14:textId="2E400D45"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 xml:space="preserve">CATASTROPHIC OUTCOMES                                                </w:t>
      </w:r>
    </w:p>
    <w:p w14:paraId="64F78EFE" w14:textId="60F44F96"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Avoidable deaths of 7 neonates &amp; 10 attempted murders (BBC News, 2023).</w:t>
      </w:r>
    </w:p>
    <w:p w14:paraId="08358031" w14:textId="56E4E805"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Complete breakdown of local and national public trust in NHS safety.</w:t>
      </w:r>
    </w:p>
    <w:p w14:paraId="19FA6E4E" w14:textId="3CA1257E" w:rsidR="00B32F11"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Long-term psychological trauma for affected families and clinical staff.</w:t>
      </w:r>
    </w:p>
    <w:p w14:paraId="2B4E68BF" w14:textId="1F2B6BE4" w:rsidR="00D8379B" w:rsidRPr="004A1176" w:rsidRDefault="00D8379B"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6" w:name="_Toc235958907"/>
      <w:r w:rsidRPr="004A1176">
        <w:rPr>
          <w:rFonts w:ascii="Arial" w:eastAsia="Times New Roman" w:hAnsi="Arial" w:cs="Arial"/>
          <w:b/>
          <w:bCs/>
          <w:kern w:val="0"/>
          <w:sz w:val="22"/>
          <w:szCs w:val="22"/>
          <w:lang w:eastAsia="en-GB"/>
          <w14:ligatures w14:val="none"/>
        </w:rPr>
        <w:t>Strategic Analysis: SWOT versus PESTLE</w:t>
      </w:r>
      <w:bookmarkEnd w:id="6"/>
    </w:p>
    <w:p w14:paraId="7A151EC1"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To design a sustainable pathway forward, we must conduct a rigorous strategic analysis.</w:t>
      </w:r>
    </w:p>
    <w:p w14:paraId="1749DB3C" w14:textId="77777777" w:rsidR="00D8379B" w:rsidRPr="004A1176" w:rsidRDefault="00D8379B" w:rsidP="004A1176">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SWOT Analysis</w:t>
      </w:r>
      <w:r w:rsidRPr="004A1176">
        <w:rPr>
          <w:rFonts w:ascii="Arial" w:eastAsia="Times New Roman" w:hAnsi="Arial" w:cs="Arial"/>
          <w:kern w:val="0"/>
          <w:sz w:val="22"/>
          <w:szCs w:val="22"/>
          <w:lang w:eastAsia="en-GB"/>
          <w14:ligatures w14:val="none"/>
        </w:rPr>
        <w:t xml:space="preserve"> focuses primarily on an organization's internal capabilities (Strengths, Weaknesses) alongside immediate external factors (Opportunities, Threats) (Gürel and Tat, 2017).</w:t>
      </w:r>
    </w:p>
    <w:p w14:paraId="076C4FDD" w14:textId="77777777" w:rsidR="00D8379B" w:rsidRPr="004A1176" w:rsidRDefault="00D8379B" w:rsidP="004A1176">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PESTLE Analysis</w:t>
      </w:r>
      <w:r w:rsidRPr="004A1176">
        <w:rPr>
          <w:rFonts w:ascii="Arial" w:eastAsia="Times New Roman" w:hAnsi="Arial" w:cs="Arial"/>
          <w:kern w:val="0"/>
          <w:sz w:val="22"/>
          <w:szCs w:val="22"/>
          <w:lang w:eastAsia="en-GB"/>
          <w14:ligatures w14:val="none"/>
        </w:rPr>
        <w:t xml:space="preserve"> evaluates the macro-environmental forces (Political, Economic, Social, Technological, Legal, and Environmental) that shape an entire sector (Yüksel, 2012).</w:t>
      </w:r>
    </w:p>
    <w:p w14:paraId="61407433" w14:textId="6F7853FF"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lastRenderedPageBreak/>
        <w:t xml:space="preserve">For this report, SWOT analysis is chosen as the primary strategic planning tool because the critical breakdowns in the Letby case were overwhelmingly internal to the Countess of Chester Hospital NHS Foundation Trust (such as leadership </w:t>
      </w:r>
      <w:r w:rsidR="00B32F11" w:rsidRPr="004A1176">
        <w:rPr>
          <w:rFonts w:ascii="Arial" w:eastAsia="Times New Roman" w:hAnsi="Arial" w:cs="Arial"/>
          <w:kern w:val="0"/>
          <w:sz w:val="22"/>
          <w:szCs w:val="22"/>
          <w:lang w:eastAsia="en-GB"/>
          <w14:ligatures w14:val="none"/>
        </w:rPr>
        <w:t>behaviour</w:t>
      </w:r>
      <w:r w:rsidRPr="004A1176">
        <w:rPr>
          <w:rFonts w:ascii="Arial" w:eastAsia="Times New Roman" w:hAnsi="Arial" w:cs="Arial"/>
          <w:kern w:val="0"/>
          <w:sz w:val="22"/>
          <w:szCs w:val="22"/>
          <w:lang w:eastAsia="en-GB"/>
          <w14:ligatures w14:val="none"/>
        </w:rPr>
        <w:t>, clinical governance, and communication channels).</w:t>
      </w:r>
    </w:p>
    <w:p w14:paraId="00B6BB19"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However, PESTLE provides important macro-contextual depth. For example, Political pressures to meet NHS targets, Economic constraints from austerity-era staffing budgets, and Legal shifts like the statutory Duty of Candour (CQC, 2022) heavily influenced the Trust's internal climate.</w:t>
      </w:r>
    </w:p>
    <w:p w14:paraId="3164A0DA" w14:textId="20635C10" w:rsidR="00C42E6A"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The SWOT analysis below is structured to help the Trust transition from its historical weaknesses toward future improvement opportunities:</w:t>
      </w:r>
    </w:p>
    <w:tbl>
      <w:tblPr>
        <w:tblStyle w:val="TableGrid"/>
        <w:tblW w:w="0" w:type="auto"/>
        <w:tblLook w:val="04A0" w:firstRow="1" w:lastRow="0" w:firstColumn="1" w:lastColumn="0" w:noHBand="0" w:noVBand="1"/>
      </w:tblPr>
      <w:tblGrid>
        <w:gridCol w:w="4508"/>
        <w:gridCol w:w="4508"/>
      </w:tblGrid>
      <w:tr w:rsidR="001F6296" w:rsidRPr="004A1176" w14:paraId="332FA60B" w14:textId="77777777" w:rsidTr="00C52001">
        <w:trPr>
          <w:trHeight w:val="841"/>
        </w:trPr>
        <w:tc>
          <w:tcPr>
            <w:tcW w:w="4508" w:type="dxa"/>
          </w:tcPr>
          <w:p w14:paraId="6772EF30" w14:textId="77777777" w:rsidR="00DE3548" w:rsidRDefault="00DE3548" w:rsidP="005C76D2">
            <w:pPr>
              <w:spacing w:line="360" w:lineRule="auto"/>
              <w:jc w:val="center"/>
              <w:rPr>
                <w:rFonts w:ascii="Arial" w:hAnsi="Arial" w:cs="Arial"/>
                <w:b/>
                <w:bCs/>
                <w:sz w:val="20"/>
                <w:szCs w:val="20"/>
                <w:lang w:eastAsia="en-GB"/>
              </w:rPr>
            </w:pPr>
          </w:p>
          <w:p w14:paraId="1DAE6636" w14:textId="3D119AF8" w:rsidR="001F6296" w:rsidRPr="00DE3548" w:rsidRDefault="001F6296" w:rsidP="005C76D2">
            <w:pPr>
              <w:spacing w:line="360" w:lineRule="auto"/>
              <w:jc w:val="center"/>
              <w:rPr>
                <w:rFonts w:ascii="Arial" w:hAnsi="Arial" w:cs="Arial"/>
                <w:b/>
                <w:bCs/>
                <w:sz w:val="20"/>
                <w:szCs w:val="20"/>
                <w:lang w:eastAsia="en-GB"/>
              </w:rPr>
            </w:pPr>
            <w:r w:rsidRPr="00DE3548">
              <w:rPr>
                <w:rFonts w:ascii="Arial" w:hAnsi="Arial" w:cs="Arial"/>
                <w:b/>
                <w:bCs/>
                <w:sz w:val="20"/>
                <w:szCs w:val="20"/>
                <w:lang w:eastAsia="en-GB"/>
              </w:rPr>
              <w:t>SWOT Category</w:t>
            </w:r>
          </w:p>
        </w:tc>
        <w:tc>
          <w:tcPr>
            <w:tcW w:w="4508" w:type="dxa"/>
          </w:tcPr>
          <w:p w14:paraId="4693E7C7" w14:textId="3268C9EF" w:rsidR="001F6296" w:rsidRPr="00DE3548" w:rsidRDefault="001F6296" w:rsidP="004A1176">
            <w:pPr>
              <w:spacing w:line="360" w:lineRule="auto"/>
              <w:rPr>
                <w:rFonts w:ascii="Arial" w:hAnsi="Arial" w:cs="Arial"/>
                <w:sz w:val="20"/>
                <w:szCs w:val="20"/>
                <w:lang w:eastAsia="en-GB"/>
              </w:rPr>
            </w:pPr>
            <w:r w:rsidRPr="00DE3548">
              <w:rPr>
                <w:rFonts w:ascii="Arial" w:hAnsi="Arial" w:cs="Arial"/>
                <w:sz w:val="20"/>
                <w:szCs w:val="20"/>
                <w:lang w:eastAsia="en-GB"/>
              </w:rPr>
              <w:t>Key Operational and Cultural Elements (Countess of Chester Hospital)</w:t>
            </w:r>
          </w:p>
        </w:tc>
      </w:tr>
      <w:tr w:rsidR="001F6296" w:rsidRPr="004A1176" w14:paraId="3D86179D" w14:textId="77777777" w:rsidTr="001F6296">
        <w:tc>
          <w:tcPr>
            <w:tcW w:w="4508" w:type="dxa"/>
          </w:tcPr>
          <w:p w14:paraId="39BEB355" w14:textId="77777777" w:rsidR="00C52001" w:rsidRPr="00DE3548" w:rsidRDefault="00C52001" w:rsidP="004A1176">
            <w:pPr>
              <w:spacing w:line="360" w:lineRule="auto"/>
              <w:rPr>
                <w:rFonts w:ascii="Arial" w:hAnsi="Arial" w:cs="Arial"/>
                <w:sz w:val="20"/>
                <w:szCs w:val="20"/>
                <w:lang w:eastAsia="en-GB"/>
              </w:rPr>
            </w:pPr>
          </w:p>
          <w:p w14:paraId="36643352" w14:textId="77777777" w:rsidR="00DE3548" w:rsidRDefault="00DE3548" w:rsidP="005C76D2">
            <w:pPr>
              <w:spacing w:line="360" w:lineRule="auto"/>
              <w:jc w:val="center"/>
              <w:rPr>
                <w:rFonts w:ascii="Arial" w:hAnsi="Arial" w:cs="Arial"/>
                <w:b/>
                <w:bCs/>
                <w:sz w:val="20"/>
                <w:szCs w:val="20"/>
                <w:lang w:eastAsia="en-GB"/>
              </w:rPr>
            </w:pPr>
          </w:p>
          <w:p w14:paraId="4601CB4A" w14:textId="5C90B45D" w:rsidR="001F6296" w:rsidRPr="00DE3548" w:rsidRDefault="001F6296" w:rsidP="005C76D2">
            <w:pPr>
              <w:spacing w:line="360" w:lineRule="auto"/>
              <w:jc w:val="center"/>
              <w:rPr>
                <w:rFonts w:ascii="Arial" w:hAnsi="Arial" w:cs="Arial"/>
                <w:b/>
                <w:bCs/>
                <w:sz w:val="20"/>
                <w:szCs w:val="20"/>
                <w:lang w:eastAsia="en-GB"/>
              </w:rPr>
            </w:pPr>
            <w:r w:rsidRPr="00DE3548">
              <w:rPr>
                <w:rFonts w:ascii="Arial" w:hAnsi="Arial" w:cs="Arial"/>
                <w:b/>
                <w:bCs/>
                <w:sz w:val="20"/>
                <w:szCs w:val="20"/>
                <w:lang w:eastAsia="en-GB"/>
              </w:rPr>
              <w:t>Strengths (Internal)</w:t>
            </w:r>
          </w:p>
        </w:tc>
        <w:tc>
          <w:tcPr>
            <w:tcW w:w="4508" w:type="dxa"/>
          </w:tcPr>
          <w:p w14:paraId="4DE0A0D0" w14:textId="66D91DAC" w:rsidR="001F6296" w:rsidRPr="00DE3548" w:rsidRDefault="001F6296" w:rsidP="004A1176">
            <w:pPr>
              <w:spacing w:line="360" w:lineRule="auto"/>
              <w:rPr>
                <w:rFonts w:ascii="Arial" w:hAnsi="Arial" w:cs="Arial"/>
                <w:sz w:val="20"/>
                <w:szCs w:val="20"/>
                <w:lang w:eastAsia="en-GB"/>
              </w:rPr>
            </w:pPr>
            <w:r w:rsidRPr="00DE3548">
              <w:rPr>
                <w:rFonts w:ascii="Arial" w:hAnsi="Arial" w:cs="Arial"/>
                <w:sz w:val="20"/>
                <w:szCs w:val="20"/>
                <w:lang w:eastAsia="en-GB"/>
              </w:rPr>
              <w:t>Dedicated, highly trained clinical consultants who noticed anomalies early. Established NHS Patient Safety Incident Response Framework (PSIRF) guidelines. Standardised electronic health record systems for data extraction.</w:t>
            </w:r>
          </w:p>
        </w:tc>
      </w:tr>
      <w:tr w:rsidR="001F6296" w:rsidRPr="004A1176" w14:paraId="200FC94E" w14:textId="77777777" w:rsidTr="001F6296">
        <w:tc>
          <w:tcPr>
            <w:tcW w:w="4508" w:type="dxa"/>
          </w:tcPr>
          <w:p w14:paraId="6EE11EC5" w14:textId="77777777" w:rsidR="00C52001" w:rsidRPr="00DE3548" w:rsidRDefault="00C52001" w:rsidP="005C76D2">
            <w:pPr>
              <w:spacing w:line="360" w:lineRule="auto"/>
              <w:jc w:val="center"/>
              <w:rPr>
                <w:rFonts w:ascii="Arial" w:hAnsi="Arial" w:cs="Arial"/>
                <w:sz w:val="20"/>
                <w:szCs w:val="20"/>
                <w:lang w:eastAsia="en-GB"/>
              </w:rPr>
            </w:pPr>
          </w:p>
          <w:p w14:paraId="71EAECF0" w14:textId="77777777" w:rsidR="00DE3548" w:rsidRDefault="00DE3548" w:rsidP="005C76D2">
            <w:pPr>
              <w:spacing w:line="360" w:lineRule="auto"/>
              <w:jc w:val="center"/>
              <w:rPr>
                <w:rFonts w:ascii="Arial" w:hAnsi="Arial" w:cs="Arial"/>
                <w:b/>
                <w:bCs/>
                <w:sz w:val="20"/>
                <w:szCs w:val="20"/>
                <w:lang w:eastAsia="en-GB"/>
              </w:rPr>
            </w:pPr>
          </w:p>
          <w:p w14:paraId="5C44C9E2" w14:textId="52DC8BC5" w:rsidR="001F6296" w:rsidRPr="00DE3548" w:rsidRDefault="001F6296" w:rsidP="005C76D2">
            <w:pPr>
              <w:spacing w:line="360" w:lineRule="auto"/>
              <w:jc w:val="center"/>
              <w:rPr>
                <w:rFonts w:ascii="Arial" w:hAnsi="Arial" w:cs="Arial"/>
                <w:b/>
                <w:bCs/>
                <w:sz w:val="20"/>
                <w:szCs w:val="20"/>
                <w:lang w:eastAsia="en-GB"/>
              </w:rPr>
            </w:pPr>
            <w:r w:rsidRPr="00DE3548">
              <w:rPr>
                <w:rFonts w:ascii="Arial" w:hAnsi="Arial" w:cs="Arial"/>
                <w:b/>
                <w:bCs/>
                <w:sz w:val="20"/>
                <w:szCs w:val="20"/>
                <w:lang w:eastAsia="en-GB"/>
              </w:rPr>
              <w:t>Weaknesses (Internal)</w:t>
            </w:r>
          </w:p>
        </w:tc>
        <w:tc>
          <w:tcPr>
            <w:tcW w:w="4508" w:type="dxa"/>
          </w:tcPr>
          <w:p w14:paraId="5601D9DD" w14:textId="43C16140" w:rsidR="001F6296" w:rsidRPr="00DE3548" w:rsidRDefault="001F6296" w:rsidP="004A1176">
            <w:pPr>
              <w:spacing w:line="360" w:lineRule="auto"/>
              <w:rPr>
                <w:rFonts w:ascii="Arial" w:hAnsi="Arial" w:cs="Arial"/>
                <w:sz w:val="20"/>
                <w:szCs w:val="20"/>
                <w:lang w:eastAsia="en-GB"/>
              </w:rPr>
            </w:pPr>
            <w:r w:rsidRPr="00DE3548">
              <w:rPr>
                <w:rFonts w:ascii="Arial" w:hAnsi="Arial" w:cs="Arial"/>
                <w:sz w:val="20"/>
                <w:szCs w:val="20"/>
                <w:lang w:eastAsia="en-GB"/>
              </w:rPr>
              <w:t>Defensive, risk-averse executive leadership prioritising reputation over safety. Inadequate mortality monitoring and non-standardised clinical audits. A punitive, fearful culture that suppressed whistleblowers and ignored clinicians.</w:t>
            </w:r>
          </w:p>
        </w:tc>
      </w:tr>
      <w:tr w:rsidR="001F6296" w:rsidRPr="004A1176" w14:paraId="37E942E3" w14:textId="77777777" w:rsidTr="001F6296">
        <w:tc>
          <w:tcPr>
            <w:tcW w:w="4508" w:type="dxa"/>
          </w:tcPr>
          <w:p w14:paraId="65FB37C9" w14:textId="77777777" w:rsidR="00C52001" w:rsidRPr="00DE3548" w:rsidRDefault="00C52001" w:rsidP="004A1176">
            <w:pPr>
              <w:spacing w:line="360" w:lineRule="auto"/>
              <w:rPr>
                <w:rFonts w:ascii="Arial" w:hAnsi="Arial" w:cs="Arial"/>
                <w:sz w:val="20"/>
                <w:szCs w:val="20"/>
                <w:lang w:eastAsia="en-GB"/>
              </w:rPr>
            </w:pPr>
          </w:p>
          <w:p w14:paraId="4A043044" w14:textId="77777777" w:rsidR="00DE3548" w:rsidRDefault="00DE3548" w:rsidP="005C76D2">
            <w:pPr>
              <w:spacing w:line="360" w:lineRule="auto"/>
              <w:jc w:val="center"/>
              <w:rPr>
                <w:rFonts w:ascii="Arial" w:hAnsi="Arial" w:cs="Arial"/>
                <w:b/>
                <w:bCs/>
                <w:sz w:val="20"/>
                <w:szCs w:val="20"/>
                <w:lang w:eastAsia="en-GB"/>
              </w:rPr>
            </w:pPr>
          </w:p>
          <w:p w14:paraId="18AA7CE5" w14:textId="32DC570C" w:rsidR="001F6296" w:rsidRPr="00DE3548" w:rsidRDefault="001F6296" w:rsidP="005C76D2">
            <w:pPr>
              <w:spacing w:line="360" w:lineRule="auto"/>
              <w:jc w:val="center"/>
              <w:rPr>
                <w:rFonts w:ascii="Arial" w:hAnsi="Arial" w:cs="Arial"/>
                <w:b/>
                <w:bCs/>
                <w:sz w:val="20"/>
                <w:szCs w:val="20"/>
                <w:lang w:eastAsia="en-GB"/>
              </w:rPr>
            </w:pPr>
            <w:r w:rsidRPr="00DE3548">
              <w:rPr>
                <w:rFonts w:ascii="Arial" w:hAnsi="Arial" w:cs="Arial"/>
                <w:b/>
                <w:bCs/>
                <w:sz w:val="20"/>
                <w:szCs w:val="20"/>
                <w:lang w:eastAsia="en-GB"/>
              </w:rPr>
              <w:t>Opportunities (External)</w:t>
            </w:r>
          </w:p>
        </w:tc>
        <w:tc>
          <w:tcPr>
            <w:tcW w:w="4508" w:type="dxa"/>
          </w:tcPr>
          <w:p w14:paraId="5F862293" w14:textId="72CD98A5" w:rsidR="001F6296" w:rsidRPr="00DE3548" w:rsidRDefault="001F6296" w:rsidP="004A1176">
            <w:pPr>
              <w:spacing w:line="360" w:lineRule="auto"/>
              <w:rPr>
                <w:rFonts w:ascii="Arial" w:hAnsi="Arial" w:cs="Arial"/>
                <w:sz w:val="20"/>
                <w:szCs w:val="20"/>
                <w:lang w:eastAsia="en-GB"/>
              </w:rPr>
            </w:pPr>
            <w:r w:rsidRPr="00DE3548">
              <w:rPr>
                <w:rFonts w:ascii="Arial" w:hAnsi="Arial" w:cs="Arial"/>
                <w:sz w:val="20"/>
                <w:szCs w:val="20"/>
                <w:lang w:eastAsia="en-GB"/>
              </w:rPr>
              <w:t>Adopting the national "Freedom to Speak Up" (FTSU) guardian framework (NHS England, 2022). Partnering with external, independent clinical audit bodies. Deploying real-time, automated mortality surveillance software (e.g., electronic dashboards).</w:t>
            </w:r>
          </w:p>
        </w:tc>
      </w:tr>
      <w:tr w:rsidR="001F6296" w:rsidRPr="004A1176" w14:paraId="3085C87F" w14:textId="77777777" w:rsidTr="001F6296">
        <w:tc>
          <w:tcPr>
            <w:tcW w:w="4508" w:type="dxa"/>
          </w:tcPr>
          <w:p w14:paraId="72CB5308" w14:textId="77777777" w:rsidR="00C52001" w:rsidRPr="00DE3548" w:rsidRDefault="00C52001" w:rsidP="004A1176">
            <w:pPr>
              <w:spacing w:line="360" w:lineRule="auto"/>
              <w:rPr>
                <w:rFonts w:ascii="Arial" w:hAnsi="Arial" w:cs="Arial"/>
                <w:sz w:val="20"/>
                <w:szCs w:val="20"/>
                <w:lang w:eastAsia="en-GB"/>
              </w:rPr>
            </w:pPr>
          </w:p>
          <w:p w14:paraId="6131E9A0" w14:textId="77777777" w:rsidR="00DE3548" w:rsidRDefault="00DE3548" w:rsidP="005C76D2">
            <w:pPr>
              <w:spacing w:line="360" w:lineRule="auto"/>
              <w:jc w:val="center"/>
              <w:rPr>
                <w:rFonts w:ascii="Arial" w:hAnsi="Arial" w:cs="Arial"/>
                <w:b/>
                <w:bCs/>
                <w:sz w:val="20"/>
                <w:szCs w:val="20"/>
                <w:lang w:eastAsia="en-GB"/>
              </w:rPr>
            </w:pPr>
          </w:p>
          <w:p w14:paraId="0AB7BE02" w14:textId="1DBC706E" w:rsidR="001F6296" w:rsidRPr="00DE3548" w:rsidRDefault="001F6296" w:rsidP="005C76D2">
            <w:pPr>
              <w:spacing w:line="360" w:lineRule="auto"/>
              <w:jc w:val="center"/>
              <w:rPr>
                <w:rFonts w:ascii="Arial" w:hAnsi="Arial" w:cs="Arial"/>
                <w:b/>
                <w:bCs/>
                <w:sz w:val="20"/>
                <w:szCs w:val="20"/>
                <w:lang w:eastAsia="en-GB"/>
              </w:rPr>
            </w:pPr>
            <w:r w:rsidRPr="00DE3548">
              <w:rPr>
                <w:rFonts w:ascii="Arial" w:hAnsi="Arial" w:cs="Arial"/>
                <w:b/>
                <w:bCs/>
                <w:sz w:val="20"/>
                <w:szCs w:val="20"/>
                <w:lang w:eastAsia="en-GB"/>
              </w:rPr>
              <w:t>Threats (External)</w:t>
            </w:r>
          </w:p>
        </w:tc>
        <w:tc>
          <w:tcPr>
            <w:tcW w:w="4508" w:type="dxa"/>
          </w:tcPr>
          <w:p w14:paraId="46010767" w14:textId="077B396F" w:rsidR="001F6296" w:rsidRPr="00DE3548" w:rsidRDefault="001F6296" w:rsidP="004A1176">
            <w:pPr>
              <w:spacing w:line="360" w:lineRule="auto"/>
              <w:rPr>
                <w:rFonts w:ascii="Arial" w:hAnsi="Arial" w:cs="Arial"/>
                <w:sz w:val="20"/>
                <w:szCs w:val="20"/>
                <w:lang w:eastAsia="en-GB"/>
              </w:rPr>
            </w:pPr>
            <w:r w:rsidRPr="00DE3548">
              <w:rPr>
                <w:rFonts w:ascii="Arial" w:hAnsi="Arial" w:cs="Arial"/>
                <w:sz w:val="20"/>
                <w:szCs w:val="20"/>
                <w:lang w:eastAsia="en-GB"/>
              </w:rPr>
              <w:t>Severe and prolonged loss of public trust in local neonatal and paediatric services. Significant staffing shortages made worse by poor reputation and low morale. Litigation, major financial penalties, and strict regulatory sanctions from the CQC.</w:t>
            </w:r>
          </w:p>
        </w:tc>
      </w:tr>
    </w:tbl>
    <w:p w14:paraId="3114220F" w14:textId="7AD0082E" w:rsidR="00D8379B" w:rsidRPr="004A1176" w:rsidRDefault="00D8379B"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7" w:name="_Toc235958908"/>
      <w:r w:rsidRPr="004A1176">
        <w:rPr>
          <w:rFonts w:ascii="Arial" w:eastAsia="Times New Roman" w:hAnsi="Arial" w:cs="Arial"/>
          <w:b/>
          <w:bCs/>
          <w:kern w:val="0"/>
          <w:sz w:val="22"/>
          <w:szCs w:val="22"/>
          <w:lang w:eastAsia="en-GB"/>
          <w14:ligatures w14:val="none"/>
        </w:rPr>
        <w:lastRenderedPageBreak/>
        <w:t>Historical vs. Proposed State: Benchmark Analysis</w:t>
      </w:r>
      <w:bookmarkEnd w:id="7"/>
    </w:p>
    <w:p w14:paraId="00299C96" w14:textId="362CC126" w:rsidR="00C42E6A"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To operationalize the service improvement plan, we must benchmark the historical state against a high-performing, safe, and transparent future model. This table contrasts the quality indicators from the Letby period with proposed future standards, drawing on the Thirlwall Inquiry (2024) and the NHS Patient Safety Strategy (NHS England, 2023).</w:t>
      </w:r>
    </w:p>
    <w:p w14:paraId="58DFE469" w14:textId="77777777" w:rsidR="005C76D2" w:rsidRPr="004A1176" w:rsidRDefault="005C76D2" w:rsidP="004A1176">
      <w:pPr>
        <w:spacing w:before="100" w:beforeAutospacing="1" w:after="100" w:afterAutospacing="1" w:line="360" w:lineRule="auto"/>
        <w:rPr>
          <w:rFonts w:ascii="Arial" w:eastAsia="Times New Roman" w:hAnsi="Arial" w:cs="Arial"/>
          <w:kern w:val="0"/>
          <w:sz w:val="22"/>
          <w:szCs w:val="22"/>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99219A" w:rsidRPr="004A1176" w14:paraId="5BD643B2" w14:textId="77777777" w:rsidTr="0099219A">
        <w:tc>
          <w:tcPr>
            <w:tcW w:w="3005" w:type="dxa"/>
          </w:tcPr>
          <w:p w14:paraId="25CBD38D" w14:textId="393EDA85" w:rsidR="0099219A" w:rsidRPr="004A1176" w:rsidRDefault="0099219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r w:rsidRPr="004A1176">
              <w:rPr>
                <w:rFonts w:ascii="Arial" w:eastAsia="Times New Roman" w:hAnsi="Arial" w:cs="Arial"/>
                <w:b/>
                <w:bCs/>
                <w:kern w:val="0"/>
                <w:sz w:val="18"/>
                <w:szCs w:val="18"/>
                <w:lang w:eastAsia="en-GB"/>
                <w14:ligatures w14:val="none"/>
              </w:rPr>
              <w:t>Quality Indicator</w:t>
            </w:r>
          </w:p>
          <w:p w14:paraId="19E1D3A4" w14:textId="77777777" w:rsidR="0099219A" w:rsidRPr="004A1176" w:rsidRDefault="0099219A" w:rsidP="004A1176">
            <w:pPr>
              <w:spacing w:line="360" w:lineRule="auto"/>
              <w:jc w:val="center"/>
              <w:rPr>
                <w:rFonts w:ascii="Arial" w:eastAsia="Times New Roman" w:hAnsi="Arial" w:cs="Arial"/>
                <w:b/>
                <w:bCs/>
                <w:sz w:val="18"/>
                <w:szCs w:val="18"/>
                <w:lang w:eastAsia="en-GB"/>
              </w:rPr>
            </w:pPr>
          </w:p>
        </w:tc>
        <w:tc>
          <w:tcPr>
            <w:tcW w:w="3005" w:type="dxa"/>
          </w:tcPr>
          <w:p w14:paraId="0780F507" w14:textId="002EEFAD" w:rsidR="0099219A" w:rsidRPr="004A1176" w:rsidRDefault="0099219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r w:rsidRPr="004A1176">
              <w:rPr>
                <w:rFonts w:ascii="Arial" w:eastAsia="Times New Roman" w:hAnsi="Arial" w:cs="Arial"/>
                <w:b/>
                <w:bCs/>
                <w:kern w:val="0"/>
                <w:sz w:val="18"/>
                <w:szCs w:val="18"/>
                <w:lang w:eastAsia="en-GB"/>
                <w14:ligatures w14:val="none"/>
              </w:rPr>
              <w:t>Historical Benchmark (Letby Era: 2015-2016)</w:t>
            </w:r>
          </w:p>
        </w:tc>
        <w:tc>
          <w:tcPr>
            <w:tcW w:w="3006" w:type="dxa"/>
          </w:tcPr>
          <w:p w14:paraId="7944B4BA" w14:textId="0E5ACC22" w:rsidR="0099219A" w:rsidRPr="004A1176" w:rsidRDefault="0099219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r w:rsidRPr="004A1176">
              <w:rPr>
                <w:rFonts w:ascii="Arial" w:eastAsia="Times New Roman" w:hAnsi="Arial" w:cs="Arial"/>
                <w:b/>
                <w:bCs/>
                <w:kern w:val="0"/>
                <w:sz w:val="18"/>
                <w:szCs w:val="18"/>
                <w:lang w:eastAsia="en-GB"/>
                <w14:ligatures w14:val="none"/>
              </w:rPr>
              <w:t>Proposed Target Standard (Service Improvement State)</w:t>
            </w:r>
          </w:p>
        </w:tc>
      </w:tr>
      <w:tr w:rsidR="0099219A" w:rsidRPr="004A1176" w14:paraId="3B3E1662" w14:textId="77777777" w:rsidTr="0099219A">
        <w:tc>
          <w:tcPr>
            <w:tcW w:w="3005" w:type="dxa"/>
          </w:tcPr>
          <w:p w14:paraId="474DCB09" w14:textId="77777777" w:rsidR="00C42E6A" w:rsidRPr="004A1176" w:rsidRDefault="00C42E6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p>
          <w:p w14:paraId="45EFF4E1" w14:textId="0829D144" w:rsidR="0099219A" w:rsidRPr="004A1176" w:rsidRDefault="0099219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r w:rsidRPr="004A1176">
              <w:rPr>
                <w:rFonts w:ascii="Arial" w:eastAsia="Times New Roman" w:hAnsi="Arial" w:cs="Arial"/>
                <w:b/>
                <w:bCs/>
                <w:kern w:val="0"/>
                <w:sz w:val="18"/>
                <w:szCs w:val="18"/>
                <w:lang w:eastAsia="en-GB"/>
                <w14:ligatures w14:val="none"/>
              </w:rPr>
              <w:t>Clinical Escalation Path</w:t>
            </w:r>
          </w:p>
        </w:tc>
        <w:tc>
          <w:tcPr>
            <w:tcW w:w="3005" w:type="dxa"/>
          </w:tcPr>
          <w:p w14:paraId="21924730" w14:textId="46CD4855" w:rsidR="0099219A" w:rsidRPr="004A1176" w:rsidRDefault="0099219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Clinical concerns treated as personal grievances, taking over 11 months to trigger a clinical review.</w:t>
            </w:r>
          </w:p>
        </w:tc>
        <w:tc>
          <w:tcPr>
            <w:tcW w:w="3006" w:type="dxa"/>
          </w:tcPr>
          <w:p w14:paraId="03C1C20D" w14:textId="1D45B291" w:rsidR="0099219A" w:rsidRPr="004A1176" w:rsidRDefault="0099219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Immediate, mandatory escalation to an independent clinical review board within 48 hours of any unexplained mortality spike.</w:t>
            </w:r>
          </w:p>
        </w:tc>
      </w:tr>
      <w:tr w:rsidR="0099219A" w:rsidRPr="004A1176" w14:paraId="0092E800" w14:textId="77777777" w:rsidTr="0099219A">
        <w:tc>
          <w:tcPr>
            <w:tcW w:w="3005" w:type="dxa"/>
          </w:tcPr>
          <w:p w14:paraId="6A20D4F4" w14:textId="77777777" w:rsidR="00C42E6A" w:rsidRPr="004A1176" w:rsidRDefault="00C42E6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p>
          <w:p w14:paraId="57ED8724" w14:textId="0E72EDFE" w:rsidR="0099219A" w:rsidRPr="004A1176" w:rsidRDefault="0099219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r w:rsidRPr="004A1176">
              <w:rPr>
                <w:rFonts w:ascii="Arial" w:eastAsia="Times New Roman" w:hAnsi="Arial" w:cs="Arial"/>
                <w:b/>
                <w:bCs/>
                <w:kern w:val="0"/>
                <w:sz w:val="18"/>
                <w:szCs w:val="18"/>
                <w:lang w:eastAsia="en-GB"/>
                <w14:ligatures w14:val="none"/>
              </w:rPr>
              <w:t>Whistleblowing Culture</w:t>
            </w:r>
          </w:p>
        </w:tc>
        <w:tc>
          <w:tcPr>
            <w:tcW w:w="3005" w:type="dxa"/>
          </w:tcPr>
          <w:p w14:paraId="4E664C3D" w14:textId="4EE55DA4" w:rsidR="0099219A" w:rsidRPr="004A1176" w:rsidRDefault="0099219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Clinicians threatened with referral to the GMC and forced to sign apology letters to Letby.</w:t>
            </w:r>
          </w:p>
        </w:tc>
        <w:tc>
          <w:tcPr>
            <w:tcW w:w="3006" w:type="dxa"/>
          </w:tcPr>
          <w:p w14:paraId="4587AA09" w14:textId="56229E1C" w:rsidR="0099219A" w:rsidRPr="004A1176" w:rsidRDefault="0099219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Fully independent Freedom to Speak Up (FTSU) Guardians reporting directly to non-executive board directors, bypasses executives.</w:t>
            </w:r>
          </w:p>
        </w:tc>
      </w:tr>
      <w:tr w:rsidR="0099219A" w:rsidRPr="004A1176" w14:paraId="0432B12C" w14:textId="77777777" w:rsidTr="0099219A">
        <w:tc>
          <w:tcPr>
            <w:tcW w:w="3005" w:type="dxa"/>
          </w:tcPr>
          <w:p w14:paraId="6C3CB3BD" w14:textId="77777777" w:rsidR="00C42E6A" w:rsidRPr="004A1176" w:rsidRDefault="00C42E6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p>
          <w:p w14:paraId="1EDAFB7A" w14:textId="5768D83E" w:rsidR="0099219A" w:rsidRPr="004A1176" w:rsidRDefault="0099219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r w:rsidRPr="004A1176">
              <w:rPr>
                <w:rFonts w:ascii="Arial" w:eastAsia="Times New Roman" w:hAnsi="Arial" w:cs="Arial"/>
                <w:b/>
                <w:bCs/>
                <w:kern w:val="0"/>
                <w:sz w:val="18"/>
                <w:szCs w:val="18"/>
                <w:lang w:eastAsia="en-GB"/>
                <w14:ligatures w14:val="none"/>
              </w:rPr>
              <w:t>Mortality Reviews</w:t>
            </w:r>
          </w:p>
        </w:tc>
        <w:tc>
          <w:tcPr>
            <w:tcW w:w="3005" w:type="dxa"/>
          </w:tcPr>
          <w:p w14:paraId="51EE48FE" w14:textId="31505218" w:rsidR="0099219A" w:rsidRPr="004A1176" w:rsidRDefault="0099219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Superficially conducted internally without external, peer-reviewed clinical validation.</w:t>
            </w:r>
          </w:p>
        </w:tc>
        <w:tc>
          <w:tcPr>
            <w:tcW w:w="3006" w:type="dxa"/>
          </w:tcPr>
          <w:p w14:paraId="3D731D2A" w14:textId="230BF7B8" w:rsidR="0099219A" w:rsidRPr="004A1176" w:rsidRDefault="00C42E6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All paediatric/neonatal deaths undergo independent, multi-disciplinary review by an external NHS Trust or the Child Death Helpline.</w:t>
            </w:r>
          </w:p>
        </w:tc>
      </w:tr>
      <w:tr w:rsidR="0099219A" w:rsidRPr="004A1176" w14:paraId="2922FE3D" w14:textId="77777777" w:rsidTr="0099219A">
        <w:tc>
          <w:tcPr>
            <w:tcW w:w="3005" w:type="dxa"/>
          </w:tcPr>
          <w:p w14:paraId="6BB686EE" w14:textId="77777777" w:rsidR="00C42E6A" w:rsidRPr="004A1176" w:rsidRDefault="00C42E6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p>
          <w:p w14:paraId="27C3A174" w14:textId="20DA247D" w:rsidR="0099219A" w:rsidRPr="004A1176" w:rsidRDefault="0099219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r w:rsidRPr="004A1176">
              <w:rPr>
                <w:rFonts w:ascii="Arial" w:eastAsia="Times New Roman" w:hAnsi="Arial" w:cs="Arial"/>
                <w:b/>
                <w:bCs/>
                <w:kern w:val="0"/>
                <w:sz w:val="18"/>
                <w:szCs w:val="18"/>
                <w:lang w:eastAsia="en-GB"/>
                <w14:ligatures w14:val="none"/>
              </w:rPr>
              <w:t>Board Accountability</w:t>
            </w:r>
          </w:p>
        </w:tc>
        <w:tc>
          <w:tcPr>
            <w:tcW w:w="3005" w:type="dxa"/>
          </w:tcPr>
          <w:p w14:paraId="1715A906" w14:textId="38805007" w:rsidR="0099219A" w:rsidRPr="004A1176" w:rsidRDefault="00C42E6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Executive Directors immune from professional register sanctions (lacking statutory regulation).</w:t>
            </w:r>
          </w:p>
        </w:tc>
        <w:tc>
          <w:tcPr>
            <w:tcW w:w="3006" w:type="dxa"/>
          </w:tcPr>
          <w:p w14:paraId="35020267" w14:textId="59AA4214" w:rsidR="0099219A" w:rsidRPr="004A1176" w:rsidRDefault="00C42E6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Implementation of a formal, statutory "Fit and Proper Person" regulatory registry for NHS managers, matching clinical registries.</w:t>
            </w:r>
          </w:p>
        </w:tc>
      </w:tr>
      <w:tr w:rsidR="0099219A" w:rsidRPr="004A1176" w14:paraId="496127DC" w14:textId="77777777" w:rsidTr="0099219A">
        <w:tc>
          <w:tcPr>
            <w:tcW w:w="3005" w:type="dxa"/>
          </w:tcPr>
          <w:p w14:paraId="7FFA3E32" w14:textId="77777777" w:rsidR="00C42E6A" w:rsidRPr="004A1176" w:rsidRDefault="00C42E6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p>
          <w:p w14:paraId="3E803550" w14:textId="54634927" w:rsidR="0099219A" w:rsidRPr="004A1176" w:rsidRDefault="0099219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r w:rsidRPr="004A1176">
              <w:rPr>
                <w:rFonts w:ascii="Arial" w:eastAsia="Times New Roman" w:hAnsi="Arial" w:cs="Arial"/>
                <w:b/>
                <w:bCs/>
                <w:kern w:val="0"/>
                <w:sz w:val="18"/>
                <w:szCs w:val="18"/>
                <w:lang w:eastAsia="en-GB"/>
                <w14:ligatures w14:val="none"/>
              </w:rPr>
              <w:t>Staffing Adequacy</w:t>
            </w:r>
          </w:p>
        </w:tc>
        <w:tc>
          <w:tcPr>
            <w:tcW w:w="3005" w:type="dxa"/>
          </w:tcPr>
          <w:p w14:paraId="578A1F05" w14:textId="3E58E4A8" w:rsidR="0099219A" w:rsidRPr="004A1176" w:rsidRDefault="0099219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Neonatal units operating below safe limits, with nurses regularly working double shifts.</w:t>
            </w:r>
          </w:p>
        </w:tc>
        <w:tc>
          <w:tcPr>
            <w:tcW w:w="3006" w:type="dxa"/>
          </w:tcPr>
          <w:p w14:paraId="33FE407D" w14:textId="64F0C315" w:rsidR="0099219A" w:rsidRPr="004A1176" w:rsidRDefault="00C42E6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100% compliance with British Association of Perinatal Medicine (BAPM) and NICE safe staffing ratios for intensive care.</w:t>
            </w:r>
          </w:p>
          <w:p w14:paraId="68D4DE4D" w14:textId="77777777" w:rsidR="00C42E6A" w:rsidRPr="004A1176" w:rsidRDefault="00C42E6A" w:rsidP="004A1176">
            <w:pPr>
              <w:spacing w:line="360" w:lineRule="auto"/>
              <w:jc w:val="center"/>
              <w:rPr>
                <w:rFonts w:ascii="Arial" w:eastAsia="Times New Roman" w:hAnsi="Arial" w:cs="Arial"/>
                <w:sz w:val="18"/>
                <w:szCs w:val="18"/>
                <w:lang w:eastAsia="en-GB"/>
              </w:rPr>
            </w:pPr>
          </w:p>
        </w:tc>
      </w:tr>
      <w:tr w:rsidR="0099219A" w:rsidRPr="004A1176" w14:paraId="17715C7B" w14:textId="77777777" w:rsidTr="0099219A">
        <w:tc>
          <w:tcPr>
            <w:tcW w:w="3005" w:type="dxa"/>
          </w:tcPr>
          <w:p w14:paraId="7ACBED18" w14:textId="77777777" w:rsidR="00C42E6A" w:rsidRPr="004A1176" w:rsidRDefault="00C42E6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p>
          <w:p w14:paraId="2F42EE60" w14:textId="3E310CFC" w:rsidR="0099219A" w:rsidRPr="004A1176" w:rsidRDefault="0099219A" w:rsidP="004A1176">
            <w:pPr>
              <w:spacing w:before="100" w:beforeAutospacing="1" w:after="100" w:afterAutospacing="1" w:line="360" w:lineRule="auto"/>
              <w:jc w:val="center"/>
              <w:rPr>
                <w:rFonts w:ascii="Arial" w:eastAsia="Times New Roman" w:hAnsi="Arial" w:cs="Arial"/>
                <w:b/>
                <w:bCs/>
                <w:kern w:val="0"/>
                <w:sz w:val="18"/>
                <w:szCs w:val="18"/>
                <w:lang w:eastAsia="en-GB"/>
                <w14:ligatures w14:val="none"/>
              </w:rPr>
            </w:pPr>
            <w:r w:rsidRPr="004A1176">
              <w:rPr>
                <w:rFonts w:ascii="Arial" w:eastAsia="Times New Roman" w:hAnsi="Arial" w:cs="Arial"/>
                <w:b/>
                <w:bCs/>
                <w:kern w:val="0"/>
                <w:sz w:val="18"/>
                <w:szCs w:val="18"/>
                <w:lang w:eastAsia="en-GB"/>
                <w14:ligatures w14:val="none"/>
              </w:rPr>
              <w:t>Incident Reporting</w:t>
            </w:r>
          </w:p>
        </w:tc>
        <w:tc>
          <w:tcPr>
            <w:tcW w:w="3005" w:type="dxa"/>
          </w:tcPr>
          <w:p w14:paraId="35BFAF58" w14:textId="3CC3036E" w:rsidR="0099219A" w:rsidRPr="004A1176" w:rsidRDefault="0099219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Datix systems used defensively, with no real-time analysis of clinical data patterns.</w:t>
            </w:r>
          </w:p>
        </w:tc>
        <w:tc>
          <w:tcPr>
            <w:tcW w:w="3006" w:type="dxa"/>
          </w:tcPr>
          <w:p w14:paraId="15B68DFA" w14:textId="5E914887" w:rsidR="0099219A" w:rsidRPr="004A1176" w:rsidRDefault="00C42E6A" w:rsidP="004A1176">
            <w:pPr>
              <w:spacing w:before="100" w:beforeAutospacing="1" w:after="100" w:afterAutospacing="1" w:line="360" w:lineRule="auto"/>
              <w:jc w:val="center"/>
              <w:rPr>
                <w:rFonts w:ascii="Arial" w:eastAsia="Times New Roman" w:hAnsi="Arial" w:cs="Arial"/>
                <w:kern w:val="0"/>
                <w:sz w:val="18"/>
                <w:szCs w:val="18"/>
                <w:lang w:eastAsia="en-GB"/>
                <w14:ligatures w14:val="none"/>
              </w:rPr>
            </w:pPr>
            <w:r w:rsidRPr="004A1176">
              <w:rPr>
                <w:rFonts w:ascii="Arial" w:eastAsia="Times New Roman" w:hAnsi="Arial" w:cs="Arial"/>
                <w:kern w:val="0"/>
                <w:sz w:val="18"/>
                <w:szCs w:val="18"/>
                <w:lang w:eastAsia="en-GB"/>
                <w14:ligatures w14:val="none"/>
              </w:rPr>
              <w:t>Machine-learning-driven clinical dashboards that trigger automatic alerts when mortality rates exceed normal variation.</w:t>
            </w:r>
          </w:p>
        </w:tc>
      </w:tr>
    </w:tbl>
    <w:p w14:paraId="2677857F" w14:textId="77777777" w:rsidR="005C76D2" w:rsidRDefault="005C76D2"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8" w:name="_Toc235958909"/>
    </w:p>
    <w:p w14:paraId="6DF92666" w14:textId="4D8C9D33" w:rsidR="00F2585C" w:rsidRPr="004A1176" w:rsidRDefault="00D8379B"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lastRenderedPageBreak/>
        <w:t>Methodological &amp; Change Management Comparisons</w:t>
      </w:r>
      <w:bookmarkEnd w:id="8"/>
    </w:p>
    <w:p w14:paraId="1F0E9762" w14:textId="77777777" w:rsidR="00D8379B" w:rsidRPr="004A1176" w:rsidRDefault="00D8379B" w:rsidP="004A1176">
      <w:pPr>
        <w:spacing w:before="100" w:beforeAutospacing="1" w:after="100" w:afterAutospacing="1" w:line="360" w:lineRule="auto"/>
        <w:outlineLvl w:val="3"/>
        <w:rPr>
          <w:rFonts w:ascii="Arial" w:eastAsia="Times New Roman" w:hAnsi="Arial" w:cs="Arial"/>
          <w:kern w:val="0"/>
          <w:sz w:val="22"/>
          <w:szCs w:val="22"/>
          <w:lang w:eastAsia="en-GB"/>
          <w14:ligatures w14:val="none"/>
        </w:rPr>
      </w:pPr>
      <w:r w:rsidRPr="005C76D2">
        <w:rPr>
          <w:rFonts w:ascii="Arial" w:eastAsia="Times New Roman" w:hAnsi="Arial" w:cs="Arial"/>
          <w:b/>
          <w:bCs/>
          <w:kern w:val="0"/>
          <w:sz w:val="22"/>
          <w:szCs w:val="22"/>
          <w:lang w:eastAsia="en-GB"/>
          <w14:ligatures w14:val="none"/>
        </w:rPr>
        <w:t>QI Methodologies:</w:t>
      </w:r>
      <w:r w:rsidRPr="004A1176">
        <w:rPr>
          <w:rFonts w:ascii="Arial" w:eastAsia="Times New Roman" w:hAnsi="Arial" w:cs="Arial"/>
          <w:kern w:val="0"/>
          <w:sz w:val="22"/>
          <w:szCs w:val="22"/>
          <w:lang w:eastAsia="en-GB"/>
          <w14:ligatures w14:val="none"/>
        </w:rPr>
        <w:t xml:space="preserve"> PDSA versus Six Sigma</w:t>
      </w:r>
    </w:p>
    <w:p w14:paraId="0DD23D8E"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For clinical quality improvement, we must choose between the agile, iterative Plan-Do-Study-Act (PDSA) cycle and the highly structured, data-intensive Six Sigma (DMAIC) methodology.</w:t>
      </w:r>
    </w:p>
    <w:p w14:paraId="559037D7" w14:textId="522015CF" w:rsidR="00D8379B" w:rsidRPr="004A1176" w:rsidRDefault="00D8379B" w:rsidP="004A1176">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Six Sigma uses rigorous statistical </w:t>
      </w:r>
      <w:r w:rsidR="00F2585C" w:rsidRPr="004A1176">
        <w:rPr>
          <w:rFonts w:ascii="Arial" w:eastAsia="Times New Roman" w:hAnsi="Arial" w:cs="Arial"/>
          <w:kern w:val="0"/>
          <w:sz w:val="22"/>
          <w:szCs w:val="22"/>
          <w:lang w:eastAsia="en-GB"/>
          <w14:ligatures w14:val="none"/>
        </w:rPr>
        <w:t>modelling</w:t>
      </w:r>
      <w:r w:rsidRPr="004A1176">
        <w:rPr>
          <w:rFonts w:ascii="Arial" w:eastAsia="Times New Roman" w:hAnsi="Arial" w:cs="Arial"/>
          <w:kern w:val="0"/>
          <w:sz w:val="22"/>
          <w:szCs w:val="22"/>
          <w:lang w:eastAsia="en-GB"/>
          <w14:ligatures w14:val="none"/>
        </w:rPr>
        <w:t xml:space="preserve"> to reduce process variation down to 3.4 defects per million opportunities (Antony, Downey</w:t>
      </w:r>
      <w:r w:rsidRPr="004A1176">
        <w:rPr>
          <w:rFonts w:ascii="Cambria Math" w:eastAsia="Times New Roman" w:hAnsi="Cambria Math" w:cs="Cambria Math"/>
          <w:kern w:val="0"/>
          <w:sz w:val="22"/>
          <w:szCs w:val="22"/>
          <w:lang w:eastAsia="en-GB"/>
          <w14:ligatures w14:val="none"/>
        </w:rPr>
        <w:t>‐</w:t>
      </w:r>
      <w:r w:rsidRPr="004A1176">
        <w:rPr>
          <w:rFonts w:ascii="Arial" w:eastAsia="Times New Roman" w:hAnsi="Arial" w:cs="Arial"/>
          <w:kern w:val="0"/>
          <w:sz w:val="22"/>
          <w:szCs w:val="22"/>
          <w:lang w:eastAsia="en-GB"/>
          <w14:ligatures w14:val="none"/>
        </w:rPr>
        <w:t>Ennis and Antony, 2007). While highly effective in structured, high-volume settings like laboratories or operating theatre throughput, it can be overly rigid, slow, and resource-heavy for complex cultural and clinical governance turnarounds.</w:t>
      </w:r>
    </w:p>
    <w:p w14:paraId="18BB2958" w14:textId="77777777" w:rsidR="00D8379B" w:rsidRPr="004A1176" w:rsidRDefault="00D8379B" w:rsidP="004A1176">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The PDSA Cycle is highly iterative, flexible, and accessible to frontline staff (Taylor et al., 2014). It supports rapid testing of small-scale changes, making it ideal for cultural and operational shifts where clinical staff buy-in is essential.</w:t>
      </w:r>
    </w:p>
    <w:p w14:paraId="11B99F62" w14:textId="77777777" w:rsidR="005C76D2" w:rsidRDefault="00D8379B" w:rsidP="005C76D2">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Given that the failures at the Countess of Chester Hospital were deeply cultural and systemic rather than purely transactional, PDSA is the more appropriate framework to drive this turnaround.</w:t>
      </w:r>
    </w:p>
    <w:p w14:paraId="6975CA94" w14:textId="77777777" w:rsidR="005C76D2" w:rsidRDefault="005C76D2" w:rsidP="005C76D2">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E0D2571" w14:textId="5357C6E3" w:rsidR="00D8379B" w:rsidRPr="005C76D2" w:rsidRDefault="00D8379B" w:rsidP="005C76D2">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Change Management: Kotter’s 8-Step Model versus Lewin’s Three-Stage Theory</w:t>
      </w:r>
    </w:p>
    <w:p w14:paraId="5962492D"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Implementing sustainable change requires a solid theoretical foundation.</w:t>
      </w:r>
    </w:p>
    <w:p w14:paraId="2A9E1732" w14:textId="77777777" w:rsidR="00D8379B" w:rsidRPr="004A1176" w:rsidRDefault="00D8379B" w:rsidP="004A1176">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Kurt Lewin’s (1951) Three-Stage Model</w:t>
      </w:r>
      <w:r w:rsidRPr="004A1176">
        <w:rPr>
          <w:rFonts w:ascii="Arial" w:eastAsia="Times New Roman" w:hAnsi="Arial" w:cs="Arial"/>
          <w:kern w:val="0"/>
          <w:sz w:val="22"/>
          <w:szCs w:val="22"/>
          <w:lang w:eastAsia="en-GB"/>
          <w14:ligatures w14:val="none"/>
        </w:rPr>
        <w:t xml:space="preserve"> (Unfreeze, Change, Refreeze) offers a clear, high-level conceptual view of change. However, it has been criticised for being too static and linear for today’s complex, fast-paced healthcare environments (Burnes, 2020).</w:t>
      </w:r>
    </w:p>
    <w:p w14:paraId="0DEC9675" w14:textId="21340BF3" w:rsidR="00D8379B" w:rsidRPr="004A1176" w:rsidRDefault="00D8379B" w:rsidP="004A1176">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Kotter’s (1996) Eight-Step Change Model</w:t>
      </w:r>
      <w:r w:rsidRPr="004A1176">
        <w:rPr>
          <w:rFonts w:ascii="Arial" w:eastAsia="Times New Roman" w:hAnsi="Arial" w:cs="Arial"/>
          <w:kern w:val="0"/>
          <w:sz w:val="22"/>
          <w:szCs w:val="22"/>
          <w:lang w:eastAsia="en-GB"/>
          <w14:ligatures w14:val="none"/>
        </w:rPr>
        <w:t xml:space="preserve"> provides a structured, actionable roadmap. By focusing on creating a sense of urgency, building a guiding coalition, and anchoring new </w:t>
      </w:r>
      <w:r w:rsidR="00171FA5" w:rsidRPr="004A1176">
        <w:rPr>
          <w:rFonts w:ascii="Arial" w:eastAsia="Times New Roman" w:hAnsi="Arial" w:cs="Arial"/>
          <w:kern w:val="0"/>
          <w:sz w:val="22"/>
          <w:szCs w:val="22"/>
          <w:lang w:eastAsia="en-GB"/>
          <w14:ligatures w14:val="none"/>
        </w:rPr>
        <w:t>behaviours</w:t>
      </w:r>
      <w:r w:rsidRPr="004A1176">
        <w:rPr>
          <w:rFonts w:ascii="Arial" w:eastAsia="Times New Roman" w:hAnsi="Arial" w:cs="Arial"/>
          <w:kern w:val="0"/>
          <w:sz w:val="22"/>
          <w:szCs w:val="22"/>
          <w:lang w:eastAsia="en-GB"/>
          <w14:ligatures w14:val="none"/>
        </w:rPr>
        <w:t xml:space="preserve"> in organizational culture, Kotter's model is much better suited to address the deep-seated cultural resistance and systemic inertia found in the Letby case.</w:t>
      </w:r>
    </w:p>
    <w:p w14:paraId="0596EFA9" w14:textId="77777777" w:rsidR="00C42E6A" w:rsidRPr="004A1176" w:rsidRDefault="00C42E6A" w:rsidP="004A1176">
      <w:pPr>
        <w:spacing w:before="100" w:beforeAutospacing="1" w:after="100" w:afterAutospacing="1" w:line="360" w:lineRule="auto"/>
        <w:ind w:left="720"/>
        <w:rPr>
          <w:rFonts w:ascii="Arial" w:eastAsia="Times New Roman" w:hAnsi="Arial" w:cs="Arial"/>
          <w:kern w:val="0"/>
          <w:sz w:val="22"/>
          <w:szCs w:val="22"/>
          <w:lang w:eastAsia="en-GB"/>
          <w14:ligatures w14:val="none"/>
        </w:rPr>
      </w:pPr>
    </w:p>
    <w:p w14:paraId="4854D04F" w14:textId="3EE2895B" w:rsidR="00D8379B" w:rsidRPr="004A1176" w:rsidRDefault="00D8379B" w:rsidP="004A117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bookmarkStart w:id="9" w:name="_Toc235958910"/>
      <w:r w:rsidRPr="004A1176">
        <w:rPr>
          <w:rFonts w:ascii="Arial" w:eastAsia="Times New Roman" w:hAnsi="Arial" w:cs="Arial"/>
          <w:b/>
          <w:bCs/>
          <w:kern w:val="0"/>
          <w:sz w:val="22"/>
          <w:szCs w:val="22"/>
          <w:lang w:eastAsia="en-GB"/>
          <w14:ligatures w14:val="none"/>
        </w:rPr>
        <w:lastRenderedPageBreak/>
        <w:t>Recommendations &amp; Implementation Strategy</w:t>
      </w:r>
      <w:bookmarkEnd w:id="9"/>
    </w:p>
    <w:p w14:paraId="78C83D50"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Based on the root causes identified through the Fishbone, Five Whys, and Donabedian analyses, this section outlines four evidence-based recommendations to reform clinical governance and patient safety.</w:t>
      </w:r>
    </w:p>
    <w:p w14:paraId="254AFD83" w14:textId="77777777" w:rsidR="00A01A81" w:rsidRPr="004A1176" w:rsidRDefault="00A01A81"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147A5342" w14:textId="21B4847A" w:rsidR="00A01A81"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 xml:space="preserve">FOUR PILLARS OF CLINICAL REFORM    </w:t>
      </w:r>
    </w:p>
    <w:p w14:paraId="654AC262" w14:textId="0EDA8A7E"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 xml:space="preserve">                                                                                                 </w:t>
      </w:r>
    </w:p>
    <w:p w14:paraId="00101FFE" w14:textId="1DDC10AE"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 xml:space="preserve">1. MORTALITY </w:t>
      </w:r>
      <w:r w:rsidR="00A01A81" w:rsidRPr="004A1176">
        <w:rPr>
          <w:rFonts w:ascii="Arial" w:eastAsia="Times New Roman" w:hAnsi="Arial" w:cs="Arial"/>
          <w:b/>
          <w:bCs/>
          <w:kern w:val="0"/>
          <w:sz w:val="22"/>
          <w:szCs w:val="22"/>
          <w:lang w:eastAsia="en-GB"/>
          <w14:ligatures w14:val="none"/>
        </w:rPr>
        <w:t>MONITORING</w:t>
      </w:r>
      <w:r w:rsidR="00A01A81"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kern w:val="0"/>
          <w:sz w:val="22"/>
          <w:szCs w:val="22"/>
          <w:lang w:eastAsia="en-GB"/>
          <w14:ligatures w14:val="none"/>
        </w:rPr>
        <w:t xml:space="preserve">─────&gt;   Deploy real-time dashboard tracking   </w:t>
      </w:r>
    </w:p>
    <w:p w14:paraId="05A80674" w14:textId="5B4F2585"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r w:rsidR="00A01A81"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kern w:val="0"/>
          <w:sz w:val="22"/>
          <w:szCs w:val="22"/>
          <w:lang w:eastAsia="en-GB"/>
          <w14:ligatures w14:val="none"/>
        </w:rPr>
        <w:t xml:space="preserve">with independent external review.    </w:t>
      </w:r>
    </w:p>
    <w:p w14:paraId="1A0C45F1" w14:textId="5D0DA82D"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p>
    <w:p w14:paraId="5F384F05" w14:textId="1744810E" w:rsidR="00A01A81"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2. CLINICAL GOVERNANCE</w:t>
      </w:r>
      <w:r w:rsidRPr="004A1176">
        <w:rPr>
          <w:rFonts w:ascii="Arial" w:eastAsia="Times New Roman" w:hAnsi="Arial" w:cs="Arial"/>
          <w:kern w:val="0"/>
          <w:sz w:val="22"/>
          <w:szCs w:val="22"/>
          <w:lang w:eastAsia="en-GB"/>
          <w14:ligatures w14:val="none"/>
        </w:rPr>
        <w:t xml:space="preserve">   ──────&gt;   Implement mandatory </w:t>
      </w:r>
      <w:r w:rsidR="00A01A81" w:rsidRPr="004A1176">
        <w:rPr>
          <w:rFonts w:ascii="Arial" w:eastAsia="Times New Roman" w:hAnsi="Arial" w:cs="Arial"/>
          <w:kern w:val="0"/>
          <w:sz w:val="22"/>
          <w:szCs w:val="22"/>
          <w:lang w:eastAsia="en-GB"/>
          <w14:ligatures w14:val="none"/>
        </w:rPr>
        <w:t>dual track</w:t>
      </w:r>
      <w:r w:rsidRPr="004A1176">
        <w:rPr>
          <w:rFonts w:ascii="Arial" w:eastAsia="Times New Roman" w:hAnsi="Arial" w:cs="Arial"/>
          <w:kern w:val="0"/>
          <w:sz w:val="22"/>
          <w:szCs w:val="22"/>
          <w:lang w:eastAsia="en-GB"/>
          <w14:ligatures w14:val="none"/>
        </w:rPr>
        <w:t xml:space="preserve">         </w:t>
      </w:r>
    </w:p>
    <w:p w14:paraId="3CD5FCF8" w14:textId="290CC590"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r w:rsidR="00A01A81"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kern w:val="0"/>
          <w:sz w:val="22"/>
          <w:szCs w:val="22"/>
          <w:lang w:eastAsia="en-GB"/>
          <w14:ligatures w14:val="none"/>
        </w:rPr>
        <w:t xml:space="preserve">escalation paths for clinical staff.  </w:t>
      </w:r>
    </w:p>
    <w:p w14:paraId="78569686" w14:textId="4EFEDF6A"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p>
    <w:p w14:paraId="2CD98A1E" w14:textId="0393A59B"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3. FREEDOM TO SPEAK UP</w:t>
      </w:r>
      <w:r w:rsidRPr="004A1176">
        <w:rPr>
          <w:rFonts w:ascii="Arial" w:eastAsia="Times New Roman" w:hAnsi="Arial" w:cs="Arial"/>
          <w:kern w:val="0"/>
          <w:sz w:val="22"/>
          <w:szCs w:val="22"/>
          <w:lang w:eastAsia="en-GB"/>
          <w14:ligatures w14:val="none"/>
        </w:rPr>
        <w:t xml:space="preserve"> ──────&gt;   Establish external, ring-fenced  </w:t>
      </w:r>
    </w:p>
    <w:p w14:paraId="3094690E" w14:textId="76D5B978"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r w:rsidR="00A01A81"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kern w:val="0"/>
          <w:sz w:val="22"/>
          <w:szCs w:val="22"/>
          <w:lang w:eastAsia="en-GB"/>
          <w14:ligatures w14:val="none"/>
        </w:rPr>
        <w:t>FTSU Guardians reporting to the Board.</w:t>
      </w:r>
    </w:p>
    <w:p w14:paraId="488F14DA" w14:textId="0599C537"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p>
    <w:p w14:paraId="341FD613" w14:textId="41B490DA"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4. SYSTEMIC TRANSPARENCY</w:t>
      </w:r>
      <w:r w:rsidRPr="004A1176">
        <w:rPr>
          <w:rFonts w:ascii="Arial" w:eastAsia="Times New Roman" w:hAnsi="Arial" w:cs="Arial"/>
          <w:kern w:val="0"/>
          <w:sz w:val="22"/>
          <w:szCs w:val="22"/>
          <w:lang w:eastAsia="en-GB"/>
          <w14:ligatures w14:val="none"/>
        </w:rPr>
        <w:t xml:space="preserve"> ──────&gt;   Execute full compliance with Statutory </w:t>
      </w:r>
    </w:p>
    <w:p w14:paraId="44645970" w14:textId="6522A415" w:rsidR="00D8379B"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w:t>
      </w:r>
      <w:r w:rsidR="00A01A81"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kern w:val="0"/>
          <w:sz w:val="22"/>
          <w:szCs w:val="22"/>
          <w:lang w:eastAsia="en-GB"/>
          <w14:ligatures w14:val="none"/>
        </w:rPr>
        <w:t xml:space="preserve">                                        </w:t>
      </w:r>
      <w:r w:rsidR="00A01A81"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kern w:val="0"/>
          <w:sz w:val="22"/>
          <w:szCs w:val="22"/>
          <w:lang w:eastAsia="en-GB"/>
          <w14:ligatures w14:val="none"/>
        </w:rPr>
        <w:t>Duty of Candour and open disclosure</w:t>
      </w:r>
      <w:r w:rsidR="00A01A81" w:rsidRPr="004A1176">
        <w:rPr>
          <w:rFonts w:ascii="Arial" w:eastAsia="Times New Roman" w:hAnsi="Arial" w:cs="Arial"/>
          <w:kern w:val="0"/>
          <w:sz w:val="22"/>
          <w:szCs w:val="22"/>
          <w:lang w:eastAsia="en-GB"/>
          <w14:ligatures w14:val="none"/>
        </w:rPr>
        <w:t>.</w:t>
      </w:r>
    </w:p>
    <w:p w14:paraId="04630C85" w14:textId="77777777" w:rsidR="00DE3548" w:rsidRDefault="00DE3548"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726C28B7" w14:textId="77777777" w:rsidR="003E1BFC" w:rsidRPr="003E1BFC" w:rsidRDefault="003E1BFC"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771C703F" w14:textId="44C956F5" w:rsidR="00D8379B" w:rsidRPr="003E1BFC" w:rsidRDefault="00D8379B" w:rsidP="0081654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3E1BFC">
        <w:rPr>
          <w:rFonts w:ascii="Arial" w:hAnsi="Arial" w:cs="Arial"/>
          <w:b/>
          <w:bCs/>
          <w:sz w:val="22"/>
          <w:szCs w:val="22"/>
          <w:lang w:eastAsia="en-GB"/>
        </w:rPr>
        <w:t>Recommendation 1</w:t>
      </w:r>
      <w:r w:rsidRPr="003E1BFC">
        <w:rPr>
          <w:rFonts w:ascii="Arial" w:hAnsi="Arial" w:cs="Arial"/>
          <w:sz w:val="22"/>
          <w:szCs w:val="22"/>
          <w:lang w:eastAsia="en-GB"/>
        </w:rPr>
        <w:t>: Real-time, Independent Clinical Mortality Monitoring</w:t>
      </w:r>
    </w:p>
    <w:p w14:paraId="190B280F" w14:textId="77777777" w:rsidR="00D8379B" w:rsidRPr="003E1BFC" w:rsidRDefault="00D8379B" w:rsidP="004A1176">
      <w:pPr>
        <w:spacing w:line="360" w:lineRule="auto"/>
        <w:rPr>
          <w:rFonts w:ascii="Arial" w:hAnsi="Arial" w:cs="Arial"/>
          <w:sz w:val="22"/>
          <w:szCs w:val="22"/>
          <w:lang w:eastAsia="en-GB"/>
        </w:rPr>
      </w:pPr>
      <w:r w:rsidRPr="003E1BFC">
        <w:rPr>
          <w:rFonts w:ascii="Arial" w:hAnsi="Arial" w:cs="Arial"/>
          <w:b/>
          <w:bCs/>
          <w:sz w:val="22"/>
          <w:szCs w:val="22"/>
          <w:lang w:eastAsia="en-GB"/>
        </w:rPr>
        <w:t>Action:</w:t>
      </w:r>
      <w:r w:rsidRPr="003E1BFC">
        <w:rPr>
          <w:rFonts w:ascii="Arial" w:hAnsi="Arial" w:cs="Arial"/>
          <w:sz w:val="22"/>
          <w:szCs w:val="22"/>
          <w:lang w:eastAsia="en-GB"/>
        </w:rPr>
        <w:t xml:space="preserve"> Deploy an automated, electronic clinical dashboard that tracks real-time patient outcomes. Any deviation in mortality or unexpected collapses beyond 1.5 standard deviations of the historical baseline must trigger an immediate, mandatory clinical audit.</w:t>
      </w:r>
    </w:p>
    <w:p w14:paraId="5C0C9500" w14:textId="77777777" w:rsidR="00D8379B" w:rsidRPr="003E1BFC" w:rsidRDefault="00D8379B" w:rsidP="004A1176">
      <w:pPr>
        <w:spacing w:line="360" w:lineRule="auto"/>
        <w:rPr>
          <w:rFonts w:ascii="Arial" w:hAnsi="Arial" w:cs="Arial"/>
          <w:sz w:val="22"/>
          <w:szCs w:val="22"/>
          <w:lang w:eastAsia="en-GB"/>
        </w:rPr>
      </w:pPr>
      <w:r w:rsidRPr="003E1BFC">
        <w:rPr>
          <w:rFonts w:ascii="Arial" w:hAnsi="Arial" w:cs="Arial"/>
          <w:b/>
          <w:bCs/>
          <w:sz w:val="22"/>
          <w:szCs w:val="22"/>
          <w:lang w:eastAsia="en-GB"/>
        </w:rPr>
        <w:t>Independent Oversight:</w:t>
      </w:r>
      <w:r w:rsidRPr="003E1BFC">
        <w:rPr>
          <w:rFonts w:ascii="Arial" w:hAnsi="Arial" w:cs="Arial"/>
          <w:sz w:val="22"/>
          <w:szCs w:val="22"/>
          <w:lang w:eastAsia="en-GB"/>
        </w:rPr>
        <w:t xml:space="preserve"> To prevent internal cover-ups, all clinical audits must be co-signed by an external neonatal clinical lead from a partner NHS Trust (Vincent and Amalberti, 2016).</w:t>
      </w:r>
    </w:p>
    <w:p w14:paraId="6CA123D8" w14:textId="77777777" w:rsidR="00033C5E" w:rsidRPr="003E1BFC" w:rsidRDefault="00033C5E" w:rsidP="004A1176">
      <w:pPr>
        <w:spacing w:line="360" w:lineRule="auto"/>
        <w:rPr>
          <w:rFonts w:ascii="Arial" w:hAnsi="Arial" w:cs="Arial"/>
          <w:sz w:val="22"/>
          <w:szCs w:val="22"/>
          <w:lang w:eastAsia="en-GB"/>
        </w:rPr>
      </w:pPr>
    </w:p>
    <w:p w14:paraId="69BCFAC3" w14:textId="7CE90D33" w:rsidR="00D8379B" w:rsidRPr="003E1BFC" w:rsidRDefault="00D8379B" w:rsidP="004A1176">
      <w:pPr>
        <w:spacing w:line="360" w:lineRule="auto"/>
        <w:rPr>
          <w:rFonts w:ascii="Arial" w:hAnsi="Arial" w:cs="Arial"/>
          <w:sz w:val="22"/>
          <w:szCs w:val="22"/>
          <w:lang w:eastAsia="en-GB"/>
        </w:rPr>
      </w:pPr>
      <w:r w:rsidRPr="003E1BFC">
        <w:rPr>
          <w:rFonts w:ascii="Arial" w:hAnsi="Arial" w:cs="Arial"/>
          <w:b/>
          <w:bCs/>
          <w:sz w:val="22"/>
          <w:szCs w:val="22"/>
          <w:lang w:eastAsia="en-GB"/>
        </w:rPr>
        <w:t>Recommendation 2:</w:t>
      </w:r>
      <w:r w:rsidRPr="003E1BFC">
        <w:rPr>
          <w:rFonts w:ascii="Arial" w:hAnsi="Arial" w:cs="Arial"/>
          <w:sz w:val="22"/>
          <w:szCs w:val="22"/>
          <w:lang w:eastAsia="en-GB"/>
        </w:rPr>
        <w:t xml:space="preserve"> Dual-Track Governance and Escalation Paths</w:t>
      </w:r>
    </w:p>
    <w:p w14:paraId="11ECFBE9" w14:textId="2A181FBB" w:rsidR="00D8379B" w:rsidRPr="003E1BFC" w:rsidRDefault="00D8379B" w:rsidP="004A1176">
      <w:pPr>
        <w:spacing w:line="360" w:lineRule="auto"/>
        <w:rPr>
          <w:rFonts w:ascii="Arial" w:hAnsi="Arial" w:cs="Arial"/>
          <w:sz w:val="22"/>
          <w:szCs w:val="22"/>
          <w:lang w:eastAsia="en-GB"/>
        </w:rPr>
      </w:pPr>
      <w:r w:rsidRPr="003E1BFC">
        <w:rPr>
          <w:rFonts w:ascii="Arial" w:hAnsi="Arial" w:cs="Arial"/>
          <w:b/>
          <w:bCs/>
          <w:sz w:val="22"/>
          <w:szCs w:val="22"/>
          <w:lang w:eastAsia="en-GB"/>
        </w:rPr>
        <w:t>Action:</w:t>
      </w:r>
      <w:r w:rsidRPr="003E1BFC">
        <w:rPr>
          <w:rFonts w:ascii="Arial" w:hAnsi="Arial" w:cs="Arial"/>
          <w:sz w:val="22"/>
          <w:szCs w:val="22"/>
          <w:lang w:eastAsia="en-GB"/>
        </w:rPr>
        <w:t xml:space="preserve"> Restructure the clinical escalation pathway. If clinical consultants raise a formal patient safety concern about a staff member, and executive leadership fails to initiate a formal investigation within 14 business days, clinicians must have a mandatory, </w:t>
      </w:r>
      <w:r w:rsidR="00A01A81" w:rsidRPr="003E1BFC">
        <w:rPr>
          <w:rFonts w:ascii="Arial" w:hAnsi="Arial" w:cs="Arial"/>
          <w:sz w:val="22"/>
          <w:szCs w:val="22"/>
          <w:lang w:eastAsia="en-GB"/>
        </w:rPr>
        <w:t>legally protected</w:t>
      </w:r>
      <w:r w:rsidRPr="003E1BFC">
        <w:rPr>
          <w:rFonts w:ascii="Arial" w:hAnsi="Arial" w:cs="Arial"/>
          <w:sz w:val="22"/>
          <w:szCs w:val="22"/>
          <w:lang w:eastAsia="en-GB"/>
        </w:rPr>
        <w:t xml:space="preserve"> direct escalation path to the Integrated Care Board (ICB) and the Care Quality Commission (CQC) (Walshe and Smith, 2016).</w:t>
      </w:r>
    </w:p>
    <w:p w14:paraId="4B88D0CB" w14:textId="77777777" w:rsidR="00D8379B" w:rsidRPr="003E1BFC" w:rsidRDefault="00D8379B" w:rsidP="004A1176">
      <w:pPr>
        <w:spacing w:line="360" w:lineRule="auto"/>
        <w:rPr>
          <w:rFonts w:ascii="Arial" w:hAnsi="Arial" w:cs="Arial"/>
          <w:sz w:val="22"/>
          <w:szCs w:val="22"/>
          <w:lang w:eastAsia="en-GB"/>
        </w:rPr>
      </w:pPr>
      <w:r w:rsidRPr="003E1BFC">
        <w:rPr>
          <w:rFonts w:ascii="Arial" w:hAnsi="Arial" w:cs="Arial"/>
          <w:b/>
          <w:bCs/>
          <w:sz w:val="22"/>
          <w:szCs w:val="22"/>
          <w:lang w:eastAsia="en-GB"/>
        </w:rPr>
        <w:lastRenderedPageBreak/>
        <w:t>Recommendation 3:</w:t>
      </w:r>
      <w:r w:rsidRPr="003E1BFC">
        <w:rPr>
          <w:rFonts w:ascii="Arial" w:hAnsi="Arial" w:cs="Arial"/>
          <w:sz w:val="22"/>
          <w:szCs w:val="22"/>
          <w:lang w:eastAsia="en-GB"/>
        </w:rPr>
        <w:t xml:space="preserve"> Fully Independent "Freedom to Speak Up" (FTSU) Guardians</w:t>
      </w:r>
    </w:p>
    <w:p w14:paraId="5ABEC998" w14:textId="77777777" w:rsidR="00D8379B" w:rsidRDefault="00D8379B" w:rsidP="004A1176">
      <w:pPr>
        <w:spacing w:line="360" w:lineRule="auto"/>
        <w:rPr>
          <w:rFonts w:ascii="Arial" w:hAnsi="Arial" w:cs="Arial"/>
          <w:sz w:val="22"/>
          <w:szCs w:val="22"/>
          <w:lang w:eastAsia="en-GB"/>
        </w:rPr>
      </w:pPr>
      <w:r w:rsidRPr="003E1BFC">
        <w:rPr>
          <w:rFonts w:ascii="Arial" w:hAnsi="Arial" w:cs="Arial"/>
          <w:b/>
          <w:bCs/>
          <w:sz w:val="22"/>
          <w:szCs w:val="22"/>
          <w:lang w:eastAsia="en-GB"/>
        </w:rPr>
        <w:t>Action:</w:t>
      </w:r>
      <w:r w:rsidRPr="003E1BFC">
        <w:rPr>
          <w:rFonts w:ascii="Arial" w:hAnsi="Arial" w:cs="Arial"/>
          <w:sz w:val="22"/>
          <w:szCs w:val="22"/>
          <w:lang w:eastAsia="en-GB"/>
        </w:rPr>
        <w:t xml:space="preserve"> Appoint FTSU Guardians whose employment and funding are ring-fenced externally from the Trust executive budget. These Guardians will report directly to the Trust's Non-Executive Directors and the national FTSU office, ensuring staff can raise concerns without fear of career retaliation (NHS England, 2022).</w:t>
      </w:r>
    </w:p>
    <w:p w14:paraId="48E61DF3" w14:textId="77777777" w:rsidR="001254B0" w:rsidRPr="003E1BFC" w:rsidRDefault="001254B0" w:rsidP="004A1176">
      <w:pPr>
        <w:spacing w:line="360" w:lineRule="auto"/>
        <w:rPr>
          <w:rFonts w:ascii="Arial" w:hAnsi="Arial" w:cs="Arial"/>
          <w:sz w:val="22"/>
          <w:szCs w:val="22"/>
          <w:lang w:eastAsia="en-GB"/>
        </w:rPr>
      </w:pPr>
    </w:p>
    <w:p w14:paraId="6448C1DB" w14:textId="77777777" w:rsidR="00D8379B" w:rsidRPr="003E1BFC" w:rsidRDefault="00D8379B" w:rsidP="004A1176">
      <w:pPr>
        <w:spacing w:line="360" w:lineRule="auto"/>
        <w:rPr>
          <w:rFonts w:ascii="Arial" w:hAnsi="Arial" w:cs="Arial"/>
          <w:sz w:val="22"/>
          <w:szCs w:val="22"/>
          <w:lang w:eastAsia="en-GB"/>
        </w:rPr>
      </w:pPr>
      <w:r w:rsidRPr="003E1BFC">
        <w:rPr>
          <w:rFonts w:ascii="Arial" w:hAnsi="Arial" w:cs="Arial"/>
          <w:b/>
          <w:bCs/>
          <w:sz w:val="22"/>
          <w:szCs w:val="22"/>
          <w:lang w:eastAsia="en-GB"/>
        </w:rPr>
        <w:t>Recommendation 4:</w:t>
      </w:r>
      <w:r w:rsidRPr="003E1BFC">
        <w:rPr>
          <w:rFonts w:ascii="Arial" w:hAnsi="Arial" w:cs="Arial"/>
          <w:sz w:val="22"/>
          <w:szCs w:val="22"/>
          <w:lang w:eastAsia="en-GB"/>
        </w:rPr>
        <w:t xml:space="preserve"> Mandatory Duty of Candour and Systemic Transparency</w:t>
      </w:r>
    </w:p>
    <w:p w14:paraId="5641CF24" w14:textId="27632F73" w:rsidR="00D8379B" w:rsidRPr="003E1BFC" w:rsidRDefault="00D8379B" w:rsidP="004A1176">
      <w:pPr>
        <w:spacing w:line="360" w:lineRule="auto"/>
        <w:rPr>
          <w:rFonts w:ascii="Arial" w:hAnsi="Arial" w:cs="Arial"/>
          <w:sz w:val="22"/>
          <w:szCs w:val="22"/>
          <w:lang w:eastAsia="en-GB"/>
        </w:rPr>
      </w:pPr>
      <w:r w:rsidRPr="003E1BFC">
        <w:rPr>
          <w:rFonts w:ascii="Arial" w:hAnsi="Arial" w:cs="Arial"/>
          <w:b/>
          <w:bCs/>
          <w:sz w:val="22"/>
          <w:szCs w:val="22"/>
          <w:lang w:eastAsia="en-GB"/>
        </w:rPr>
        <w:t>Action:</w:t>
      </w:r>
      <w:r w:rsidRPr="003E1BFC">
        <w:rPr>
          <w:rFonts w:ascii="Arial" w:hAnsi="Arial" w:cs="Arial"/>
          <w:sz w:val="22"/>
          <w:szCs w:val="22"/>
          <w:lang w:eastAsia="en-GB"/>
        </w:rPr>
        <w:t xml:space="preserve"> Implement a zero-tolerance policy for non-disclosure. Any unexpected </w:t>
      </w:r>
      <w:r w:rsidR="00687377" w:rsidRPr="003E1BFC">
        <w:rPr>
          <w:rFonts w:ascii="Arial" w:hAnsi="Arial" w:cs="Arial"/>
          <w:sz w:val="22"/>
          <w:szCs w:val="22"/>
          <w:lang w:eastAsia="en-GB"/>
        </w:rPr>
        <w:t>paediatric</w:t>
      </w:r>
      <w:r w:rsidRPr="003E1BFC">
        <w:rPr>
          <w:rFonts w:ascii="Arial" w:hAnsi="Arial" w:cs="Arial"/>
          <w:sz w:val="22"/>
          <w:szCs w:val="22"/>
          <w:lang w:eastAsia="en-GB"/>
        </w:rPr>
        <w:t xml:space="preserve"> or neonatal collapse must be disclosed transparently to the parents within 24 hours. The disclosure must include a clear, written record of the incident and a formal invitation to participate in the subsequent multidisciplinary review (CQC, 2022).</w:t>
      </w:r>
    </w:p>
    <w:p w14:paraId="1FF772C9" w14:textId="77777777" w:rsidR="00687377" w:rsidRPr="004A1176" w:rsidRDefault="00687377"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35B47717" w14:textId="737FD488" w:rsidR="00D8379B" w:rsidRPr="004A1176" w:rsidRDefault="00D8379B"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10" w:name="_Toc235958911"/>
      <w:r w:rsidRPr="004A1176">
        <w:rPr>
          <w:rFonts w:ascii="Arial" w:eastAsia="Times New Roman" w:hAnsi="Arial" w:cs="Arial"/>
          <w:b/>
          <w:bCs/>
          <w:kern w:val="0"/>
          <w:sz w:val="22"/>
          <w:szCs w:val="22"/>
          <w:lang w:eastAsia="en-GB"/>
          <w14:ligatures w14:val="none"/>
        </w:rPr>
        <w:t>Implementation Roadmap: Applying the PDSA Cycle</w:t>
      </w:r>
      <w:bookmarkEnd w:id="10"/>
    </w:p>
    <w:p w14:paraId="2FCF89CF" w14:textId="7410A835" w:rsidR="001254B0"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To execute these recommendations, the Trust will deploy rapid, iterative PDSA cycles, starting with a pilot of the Dual-Track Governance and Escalation Path on the Neonatal Unit.</w:t>
      </w:r>
    </w:p>
    <w:p w14:paraId="27F5AB2F" w14:textId="7D55F602" w:rsidR="00D8379B" w:rsidRPr="004A1176" w:rsidRDefault="00D8379B" w:rsidP="004A1176">
      <w:pPr>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1</w:t>
      </w:r>
      <w:r w:rsidR="00687377" w:rsidRPr="004A1176">
        <w:rPr>
          <w:rFonts w:ascii="Arial" w:eastAsia="Times New Roman" w:hAnsi="Arial" w:cs="Arial"/>
          <w:b/>
          <w:bCs/>
          <w:kern w:val="0"/>
          <w:sz w:val="22"/>
          <w:szCs w:val="22"/>
          <w:lang w:eastAsia="en-GB"/>
          <w14:ligatures w14:val="none"/>
        </w:rPr>
        <w:t xml:space="preserve"> - </w:t>
      </w:r>
      <w:r w:rsidRPr="004A1176">
        <w:rPr>
          <w:rFonts w:ascii="Arial" w:eastAsia="Times New Roman" w:hAnsi="Arial" w:cs="Arial"/>
          <w:b/>
          <w:bCs/>
          <w:kern w:val="0"/>
          <w:sz w:val="22"/>
          <w:szCs w:val="22"/>
          <w:lang w:eastAsia="en-GB"/>
          <w14:ligatures w14:val="none"/>
        </w:rPr>
        <w:t>Plan: Design the Escalation Pathway and Feedback Tools</w:t>
      </w:r>
    </w:p>
    <w:p w14:paraId="16B4E904" w14:textId="77777777" w:rsidR="00D8379B" w:rsidRPr="004A1176" w:rsidRDefault="00D8379B" w:rsidP="004A1176">
      <w:pPr>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Month 1</w:t>
      </w:r>
    </w:p>
    <w:p w14:paraId="26AFE2DB" w14:textId="6C218817" w:rsidR="00D8379B" w:rsidRPr="004A1176" w:rsidRDefault="00D8379B" w:rsidP="004A1176">
      <w:pPr>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vanish/>
          <w:kern w:val="0"/>
          <w:sz w:val="22"/>
          <w:szCs w:val="22"/>
          <w:lang w:eastAsia="en-GB"/>
          <w14:ligatures w14:val="none"/>
        </w:rPr>
        <w:t>1.Plan: Design the Escalation Pathway and Feedback Tools:</w:t>
      </w:r>
      <w:r w:rsidRPr="004A1176">
        <w:rPr>
          <w:rFonts w:ascii="Arial" w:eastAsia="Times New Roman" w:hAnsi="Arial" w:cs="Arial"/>
          <w:vanish/>
          <w:kern w:val="0"/>
          <w:sz w:val="22"/>
          <w:szCs w:val="22"/>
          <w:lang w:eastAsia="en-GB"/>
          <w14:ligatures w14:val="none"/>
        </w:rPr>
        <w:t>Month 1.</w:t>
      </w:r>
      <w:r w:rsidRPr="004A1176">
        <w:rPr>
          <w:rFonts w:ascii="Arial" w:eastAsia="Times New Roman" w:hAnsi="Arial" w:cs="Arial"/>
          <w:kern w:val="0"/>
          <w:sz w:val="22"/>
          <w:szCs w:val="22"/>
          <w:lang w:eastAsia="en-GB"/>
          <w14:ligatures w14:val="none"/>
        </w:rPr>
        <w:t>Draft a clear escalation protocol that allows staff to bypass local management and report safety concerns directly to the Integrated Care Board (ICB) if internal action is delayed. Establish clear feedback mechanisms and define key performance indicators (KPIs), such as staff confidence levels and response times for escalated concerns.</w:t>
      </w:r>
    </w:p>
    <w:p w14:paraId="5AC9650F" w14:textId="77777777" w:rsidR="002F2C45" w:rsidRPr="004A1176" w:rsidRDefault="002F2C45" w:rsidP="004A1176">
      <w:pPr>
        <w:spacing w:after="0" w:line="360" w:lineRule="auto"/>
        <w:rPr>
          <w:rFonts w:ascii="Arial" w:eastAsia="Times New Roman" w:hAnsi="Arial" w:cs="Arial"/>
          <w:kern w:val="0"/>
          <w:sz w:val="22"/>
          <w:szCs w:val="22"/>
          <w:lang w:eastAsia="en-GB"/>
          <w14:ligatures w14:val="none"/>
        </w:rPr>
      </w:pPr>
    </w:p>
    <w:p w14:paraId="1561A145" w14:textId="755A47AA" w:rsidR="00D8379B" w:rsidRPr="004A1176" w:rsidRDefault="00D8379B" w:rsidP="004A1176">
      <w:pPr>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2</w:t>
      </w:r>
      <w:r w:rsidR="00687377" w:rsidRPr="004A1176">
        <w:rPr>
          <w:rFonts w:ascii="Arial" w:eastAsia="Times New Roman" w:hAnsi="Arial" w:cs="Arial"/>
          <w:b/>
          <w:bCs/>
          <w:kern w:val="0"/>
          <w:sz w:val="22"/>
          <w:szCs w:val="22"/>
          <w:lang w:eastAsia="en-GB"/>
          <w14:ligatures w14:val="none"/>
        </w:rPr>
        <w:t xml:space="preserve"> - </w:t>
      </w:r>
      <w:r w:rsidRPr="004A1176">
        <w:rPr>
          <w:rFonts w:ascii="Arial" w:eastAsia="Times New Roman" w:hAnsi="Arial" w:cs="Arial"/>
          <w:b/>
          <w:bCs/>
          <w:kern w:val="0"/>
          <w:sz w:val="22"/>
          <w:szCs w:val="22"/>
          <w:lang w:eastAsia="en-GB"/>
          <w14:ligatures w14:val="none"/>
        </w:rPr>
        <w:t>Do: Pilot the New Pathway in the Neonatal Unit</w:t>
      </w:r>
    </w:p>
    <w:p w14:paraId="5D749939" w14:textId="77777777" w:rsidR="00D8379B" w:rsidRPr="004A1176" w:rsidRDefault="00D8379B" w:rsidP="004A1176">
      <w:pPr>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Months 2 - 3</w:t>
      </w:r>
    </w:p>
    <w:p w14:paraId="3F033635" w14:textId="38476465" w:rsidR="00D8379B" w:rsidRPr="004A1176" w:rsidRDefault="00D8379B" w:rsidP="004A1176">
      <w:pPr>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vanish/>
          <w:kern w:val="0"/>
          <w:sz w:val="22"/>
          <w:szCs w:val="22"/>
          <w:lang w:eastAsia="en-GB"/>
          <w14:ligatures w14:val="none"/>
        </w:rPr>
        <w:t>2.Do: Pilot the New Pathway in the Neonatal Unit:</w:t>
      </w:r>
      <w:r w:rsidRPr="004A1176">
        <w:rPr>
          <w:rFonts w:ascii="Arial" w:eastAsia="Times New Roman" w:hAnsi="Arial" w:cs="Arial"/>
          <w:vanish/>
          <w:kern w:val="0"/>
          <w:sz w:val="22"/>
          <w:szCs w:val="22"/>
          <w:lang w:eastAsia="en-GB"/>
          <w14:ligatures w14:val="none"/>
        </w:rPr>
        <w:t>Months 2 - 3.</w:t>
      </w:r>
      <w:r w:rsidRPr="004A1176">
        <w:rPr>
          <w:rFonts w:ascii="Arial" w:eastAsia="Times New Roman" w:hAnsi="Arial" w:cs="Arial"/>
          <w:kern w:val="0"/>
          <w:sz w:val="22"/>
          <w:szCs w:val="22"/>
          <w:lang w:eastAsia="en-GB"/>
          <w14:ligatures w14:val="none"/>
        </w:rPr>
        <w:t>Launch the dual-track escalation pathway as a pilot in the Neonatal Unit. Conduct mandatory training sessions for all nursing, midwifery, and medical staff to explain the new reporting lines and highlight the legal protections for whistleblowers under the Public Interest Disclosure Act (PIDA) 1998.</w:t>
      </w:r>
    </w:p>
    <w:p w14:paraId="00547D8E" w14:textId="77777777" w:rsidR="002F2C45" w:rsidRPr="004A1176" w:rsidRDefault="002F2C45" w:rsidP="004A1176">
      <w:pPr>
        <w:spacing w:after="0" w:line="360" w:lineRule="auto"/>
        <w:rPr>
          <w:rFonts w:ascii="Arial" w:eastAsia="Times New Roman" w:hAnsi="Arial" w:cs="Arial"/>
          <w:kern w:val="0"/>
          <w:sz w:val="22"/>
          <w:szCs w:val="22"/>
          <w:lang w:eastAsia="en-GB"/>
          <w14:ligatures w14:val="none"/>
        </w:rPr>
      </w:pPr>
    </w:p>
    <w:p w14:paraId="0FE840C8" w14:textId="77777777" w:rsidR="001254B0" w:rsidRDefault="001254B0" w:rsidP="004A1176">
      <w:pPr>
        <w:spacing w:after="0" w:line="360" w:lineRule="auto"/>
        <w:rPr>
          <w:rFonts w:ascii="Arial" w:eastAsia="Times New Roman" w:hAnsi="Arial" w:cs="Arial"/>
          <w:b/>
          <w:bCs/>
          <w:kern w:val="0"/>
          <w:sz w:val="22"/>
          <w:szCs w:val="22"/>
          <w:lang w:eastAsia="en-GB"/>
          <w14:ligatures w14:val="none"/>
        </w:rPr>
      </w:pPr>
    </w:p>
    <w:p w14:paraId="01E2FAFA" w14:textId="77777777" w:rsidR="001254B0" w:rsidRDefault="001254B0" w:rsidP="004A1176">
      <w:pPr>
        <w:spacing w:after="0" w:line="360" w:lineRule="auto"/>
        <w:rPr>
          <w:rFonts w:ascii="Arial" w:eastAsia="Times New Roman" w:hAnsi="Arial" w:cs="Arial"/>
          <w:b/>
          <w:bCs/>
          <w:kern w:val="0"/>
          <w:sz w:val="22"/>
          <w:szCs w:val="22"/>
          <w:lang w:eastAsia="en-GB"/>
          <w14:ligatures w14:val="none"/>
        </w:rPr>
      </w:pPr>
    </w:p>
    <w:p w14:paraId="0494A76C" w14:textId="77777777" w:rsidR="001254B0" w:rsidRDefault="001254B0" w:rsidP="004A1176">
      <w:pPr>
        <w:spacing w:after="0" w:line="360" w:lineRule="auto"/>
        <w:rPr>
          <w:rFonts w:ascii="Arial" w:eastAsia="Times New Roman" w:hAnsi="Arial" w:cs="Arial"/>
          <w:b/>
          <w:bCs/>
          <w:kern w:val="0"/>
          <w:sz w:val="22"/>
          <w:szCs w:val="22"/>
          <w:lang w:eastAsia="en-GB"/>
          <w14:ligatures w14:val="none"/>
        </w:rPr>
      </w:pPr>
    </w:p>
    <w:p w14:paraId="2A266F43" w14:textId="7BC30B47" w:rsidR="00D8379B" w:rsidRPr="004A1176" w:rsidRDefault="00D8379B" w:rsidP="004A1176">
      <w:pPr>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lastRenderedPageBreak/>
        <w:t>3</w:t>
      </w:r>
      <w:r w:rsidR="00687377" w:rsidRPr="004A1176">
        <w:rPr>
          <w:rFonts w:ascii="Arial" w:eastAsia="Times New Roman" w:hAnsi="Arial" w:cs="Arial"/>
          <w:b/>
          <w:bCs/>
          <w:kern w:val="0"/>
          <w:sz w:val="22"/>
          <w:szCs w:val="22"/>
          <w:lang w:eastAsia="en-GB"/>
          <w14:ligatures w14:val="none"/>
        </w:rPr>
        <w:t xml:space="preserve"> - </w:t>
      </w:r>
      <w:r w:rsidRPr="004A1176">
        <w:rPr>
          <w:rFonts w:ascii="Arial" w:eastAsia="Times New Roman" w:hAnsi="Arial" w:cs="Arial"/>
          <w:b/>
          <w:bCs/>
          <w:kern w:val="0"/>
          <w:sz w:val="22"/>
          <w:szCs w:val="22"/>
          <w:lang w:eastAsia="en-GB"/>
          <w14:ligatures w14:val="none"/>
        </w:rPr>
        <w:t>Study: Evaluate Staff Trust and Escalation Latency</w:t>
      </w:r>
    </w:p>
    <w:p w14:paraId="1F8732AF" w14:textId="77777777" w:rsidR="00D8379B" w:rsidRPr="004A1176" w:rsidRDefault="00D8379B" w:rsidP="004A1176">
      <w:pPr>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Month 4</w:t>
      </w:r>
    </w:p>
    <w:p w14:paraId="238D048E" w14:textId="6D047783" w:rsidR="00D8379B" w:rsidRPr="004A1176" w:rsidRDefault="00D8379B" w:rsidP="004A1176">
      <w:pPr>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vanish/>
          <w:kern w:val="0"/>
          <w:sz w:val="22"/>
          <w:szCs w:val="22"/>
          <w:lang w:eastAsia="en-GB"/>
          <w14:ligatures w14:val="none"/>
        </w:rPr>
        <w:t>3.Study: Evaluate Staff Trust and Escalation Latency:</w:t>
      </w:r>
      <w:r w:rsidRPr="004A1176">
        <w:rPr>
          <w:rFonts w:ascii="Arial" w:eastAsia="Times New Roman" w:hAnsi="Arial" w:cs="Arial"/>
          <w:vanish/>
          <w:kern w:val="0"/>
          <w:sz w:val="22"/>
          <w:szCs w:val="22"/>
          <w:lang w:eastAsia="en-GB"/>
          <w14:ligatures w14:val="none"/>
        </w:rPr>
        <w:t>Month 4.</w:t>
      </w:r>
      <w:r w:rsidRPr="004A1176">
        <w:rPr>
          <w:rFonts w:ascii="Arial" w:eastAsia="Times New Roman" w:hAnsi="Arial" w:cs="Arial"/>
          <w:kern w:val="0"/>
          <w:sz w:val="22"/>
          <w:szCs w:val="22"/>
          <w:lang w:eastAsia="en-GB"/>
          <w14:ligatures w14:val="none"/>
        </w:rPr>
        <w:t>Analyse the pilot data. Measure key metrics, including the number of concerns escalated, the average time taken to initiate investigations (targeting under 14 days), and anonymous staff feedback on psychological safety. Pay close attention to any signs of informal management pushback or staff anxiety about speaking up.</w:t>
      </w:r>
    </w:p>
    <w:p w14:paraId="63F5B1C4" w14:textId="77777777" w:rsidR="002F2C45" w:rsidRPr="004A1176" w:rsidRDefault="002F2C45" w:rsidP="004A1176">
      <w:pPr>
        <w:spacing w:after="0" w:line="360" w:lineRule="auto"/>
        <w:rPr>
          <w:rFonts w:ascii="Arial" w:eastAsia="Times New Roman" w:hAnsi="Arial" w:cs="Arial"/>
          <w:kern w:val="0"/>
          <w:sz w:val="22"/>
          <w:szCs w:val="22"/>
          <w:lang w:eastAsia="en-GB"/>
          <w14:ligatures w14:val="none"/>
        </w:rPr>
      </w:pPr>
    </w:p>
    <w:p w14:paraId="03F9631E" w14:textId="6DB805B0" w:rsidR="00D8379B" w:rsidRPr="004A1176" w:rsidRDefault="00D8379B" w:rsidP="004A1176">
      <w:pPr>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4</w:t>
      </w:r>
      <w:r w:rsidR="00687377" w:rsidRPr="004A1176">
        <w:rPr>
          <w:rFonts w:ascii="Arial" w:eastAsia="Times New Roman" w:hAnsi="Arial" w:cs="Arial"/>
          <w:b/>
          <w:bCs/>
          <w:kern w:val="0"/>
          <w:sz w:val="22"/>
          <w:szCs w:val="22"/>
          <w:lang w:eastAsia="en-GB"/>
          <w14:ligatures w14:val="none"/>
        </w:rPr>
        <w:t xml:space="preserve"> - </w:t>
      </w:r>
      <w:r w:rsidRPr="004A1176">
        <w:rPr>
          <w:rFonts w:ascii="Arial" w:eastAsia="Times New Roman" w:hAnsi="Arial" w:cs="Arial"/>
          <w:b/>
          <w:bCs/>
          <w:kern w:val="0"/>
          <w:sz w:val="22"/>
          <w:szCs w:val="22"/>
          <w:lang w:eastAsia="en-GB"/>
          <w14:ligatures w14:val="none"/>
        </w:rPr>
        <w:t>Act: Embed, Standardise, and Scale the Pathway</w:t>
      </w:r>
    </w:p>
    <w:p w14:paraId="115C2448" w14:textId="77777777" w:rsidR="00D8379B" w:rsidRPr="004A1176" w:rsidRDefault="00D8379B" w:rsidP="004A1176">
      <w:pPr>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Months 5 - 6</w:t>
      </w:r>
    </w:p>
    <w:p w14:paraId="2A935537" w14:textId="2017645B" w:rsidR="00033C5E" w:rsidRDefault="00D8379B" w:rsidP="00F37D7E">
      <w:pPr>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vanish/>
          <w:kern w:val="0"/>
          <w:sz w:val="22"/>
          <w:szCs w:val="22"/>
          <w:lang w:eastAsia="en-GB"/>
          <w14:ligatures w14:val="none"/>
        </w:rPr>
        <w:t>4.Act: Embed, Standardise, and Scale the Pathway:</w:t>
      </w:r>
      <w:r w:rsidRPr="004A1176">
        <w:rPr>
          <w:rFonts w:ascii="Arial" w:eastAsia="Times New Roman" w:hAnsi="Arial" w:cs="Arial"/>
          <w:vanish/>
          <w:kern w:val="0"/>
          <w:sz w:val="22"/>
          <w:szCs w:val="22"/>
          <w:lang w:eastAsia="en-GB"/>
          <w14:ligatures w14:val="none"/>
        </w:rPr>
        <w:t>Months 5 - 6.</w:t>
      </w:r>
      <w:r w:rsidRPr="004A1176">
        <w:rPr>
          <w:rFonts w:ascii="Arial" w:eastAsia="Times New Roman" w:hAnsi="Arial" w:cs="Arial"/>
          <w:kern w:val="0"/>
          <w:sz w:val="22"/>
          <w:szCs w:val="22"/>
          <w:lang w:eastAsia="en-GB"/>
          <w14:ligatures w14:val="none"/>
        </w:rPr>
        <w:t xml:space="preserve">Refine the protocol based on the pilot's findings. Once the process is polished, embed the dual-track escalation path into standard Trust policy and roll it out across all clinical departments, including </w:t>
      </w:r>
      <w:r w:rsidR="00687377" w:rsidRPr="004A1176">
        <w:rPr>
          <w:rFonts w:ascii="Arial" w:eastAsia="Times New Roman" w:hAnsi="Arial" w:cs="Arial"/>
          <w:kern w:val="0"/>
          <w:sz w:val="22"/>
          <w:szCs w:val="22"/>
          <w:lang w:eastAsia="en-GB"/>
          <w14:ligatures w14:val="none"/>
        </w:rPr>
        <w:t>paediatrics</w:t>
      </w:r>
      <w:r w:rsidRPr="004A1176">
        <w:rPr>
          <w:rFonts w:ascii="Arial" w:eastAsia="Times New Roman" w:hAnsi="Arial" w:cs="Arial"/>
          <w:kern w:val="0"/>
          <w:sz w:val="22"/>
          <w:szCs w:val="22"/>
          <w:lang w:eastAsia="en-GB"/>
          <w14:ligatures w14:val="none"/>
        </w:rPr>
        <w:t>, maternity, and adult intensive care.</w:t>
      </w:r>
    </w:p>
    <w:p w14:paraId="51FB8D19" w14:textId="77777777" w:rsidR="00816542" w:rsidRPr="00F37D7E" w:rsidRDefault="00816542" w:rsidP="00F37D7E">
      <w:pPr>
        <w:spacing w:after="0" w:line="360" w:lineRule="auto"/>
        <w:rPr>
          <w:rFonts w:ascii="Arial" w:eastAsia="Times New Roman" w:hAnsi="Arial" w:cs="Arial"/>
          <w:kern w:val="0"/>
          <w:sz w:val="22"/>
          <w:szCs w:val="22"/>
          <w:lang w:eastAsia="en-GB"/>
          <w14:ligatures w14:val="none"/>
        </w:rPr>
      </w:pPr>
    </w:p>
    <w:p w14:paraId="6727BCAF" w14:textId="0DB66D7F" w:rsidR="00D8379B" w:rsidRPr="004A1176" w:rsidRDefault="00D8379B" w:rsidP="004A117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11" w:name="_Toc235958912"/>
      <w:r w:rsidRPr="004A1176">
        <w:rPr>
          <w:rFonts w:ascii="Arial" w:eastAsia="Times New Roman" w:hAnsi="Arial" w:cs="Arial"/>
          <w:b/>
          <w:bCs/>
          <w:kern w:val="0"/>
          <w:sz w:val="22"/>
          <w:szCs w:val="22"/>
          <w:lang w:eastAsia="en-GB"/>
          <w14:ligatures w14:val="none"/>
        </w:rPr>
        <w:t>Change Management Strategy: Kotter’s Eight-Step Model</w:t>
      </w:r>
      <w:bookmarkEnd w:id="11"/>
    </w:p>
    <w:p w14:paraId="48C912F2" w14:textId="55AF2397" w:rsidR="000169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To ensure these structural and cultural reforms take root and last, we will apply Kotter's (1996) Eight-Step Change Model to drive the cultural transformation:</w:t>
      </w:r>
    </w:p>
    <w:p w14:paraId="69A21B66" w14:textId="443FEDA9" w:rsidR="00C0147E"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r w:rsidRPr="004A1176">
        <w:rPr>
          <w:rFonts w:ascii="Arial" w:eastAsia="Times New Roman" w:hAnsi="Arial" w:cs="Arial"/>
          <w:b/>
          <w:bCs/>
          <w:kern w:val="0"/>
          <w:sz w:val="22"/>
          <w:szCs w:val="22"/>
          <w:lang w:eastAsia="en-GB"/>
          <w14:ligatures w14:val="none"/>
        </w:rPr>
        <w:t>KOTTER'S CULTURAL RECOVERY TIMELINE</w:t>
      </w:r>
    </w:p>
    <w:p w14:paraId="73DEEB43"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p>
    <w:p w14:paraId="3EF51D17"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p>
    <w:p w14:paraId="43BEBEAA"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STEP 1: CREATE URGENCY</w:t>
      </w:r>
      <w:r w:rsidRPr="004A1176">
        <w:rPr>
          <w:rFonts w:ascii="Arial" w:eastAsia="Times New Roman" w:hAnsi="Arial" w:cs="Arial"/>
          <w:kern w:val="0"/>
          <w:sz w:val="22"/>
          <w:szCs w:val="22"/>
          <w:lang w:eastAsia="en-GB"/>
          <w14:ligatures w14:val="none"/>
        </w:rPr>
        <w:t xml:space="preserve"> ─────&gt; Leverage the Thirlwall Inquiry findings</w:t>
      </w:r>
    </w:p>
    <w:p w14:paraId="07A550FC"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to dismantle executive defensiveness.</w:t>
      </w:r>
    </w:p>
    <w:p w14:paraId="6C208320"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36534994"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STEP 2: BUILD COALITION</w:t>
      </w:r>
      <w:r w:rsidRPr="004A1176">
        <w:rPr>
          <w:rFonts w:ascii="Arial" w:eastAsia="Times New Roman" w:hAnsi="Arial" w:cs="Arial"/>
          <w:kern w:val="0"/>
          <w:sz w:val="22"/>
          <w:szCs w:val="22"/>
          <w:lang w:eastAsia="en-GB"/>
          <w14:ligatures w14:val="none"/>
        </w:rPr>
        <w:t xml:space="preserve"> ─────&gt; Unite Senior Clinicians, FTSU Guardians,</w:t>
      </w:r>
    </w:p>
    <w:p w14:paraId="343A7C6C"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and Patient Advocacy Groups.</w:t>
      </w:r>
    </w:p>
    <w:p w14:paraId="42C403EA"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74D70930"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STEP 3: CREATE VISION]</w:t>
      </w:r>
      <w:r w:rsidRPr="004A1176">
        <w:rPr>
          <w:rFonts w:ascii="Arial" w:eastAsia="Times New Roman" w:hAnsi="Arial" w:cs="Arial"/>
          <w:kern w:val="0"/>
          <w:sz w:val="22"/>
          <w:szCs w:val="22"/>
          <w:lang w:eastAsia="en-GB"/>
          <w14:ligatures w14:val="none"/>
        </w:rPr>
        <w:t xml:space="preserve"> ─────&gt; Pivot to a "Just Culture" those balances</w:t>
      </w:r>
    </w:p>
    <w:p w14:paraId="788866D4"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accountability with psychological safety.</w:t>
      </w:r>
    </w:p>
    <w:p w14:paraId="23DDBE8A"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0CE380CA"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STEP 4: COMMUNICATE</w:t>
      </w:r>
      <w:r w:rsidRPr="004A1176">
        <w:rPr>
          <w:rFonts w:ascii="Arial" w:eastAsia="Times New Roman" w:hAnsi="Arial" w:cs="Arial"/>
          <w:kern w:val="0"/>
          <w:sz w:val="22"/>
          <w:szCs w:val="22"/>
          <w:lang w:eastAsia="en-GB"/>
          <w14:ligatures w14:val="none"/>
        </w:rPr>
        <w:t xml:space="preserve"> ─────&gt; Town halls, open-door board sessions,</w:t>
      </w:r>
    </w:p>
    <w:p w14:paraId="0ED071E5"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and transparent safety dashboards.</w:t>
      </w:r>
    </w:p>
    <w:p w14:paraId="6DAE0D9E"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494D65C7" w14:textId="32AF321E"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STEP 5: EMPOWER ACTION</w:t>
      </w:r>
      <w:r w:rsidRPr="004A1176">
        <w:rPr>
          <w:rFonts w:ascii="Arial" w:eastAsia="Times New Roman" w:hAnsi="Arial" w:cs="Arial"/>
          <w:kern w:val="0"/>
          <w:sz w:val="22"/>
          <w:szCs w:val="22"/>
          <w:lang w:eastAsia="en-GB"/>
          <w14:ligatures w14:val="none"/>
        </w:rPr>
        <w:t xml:space="preserve"> ─────&gt; Remove barriers by ring-fencing whistleblower</w:t>
      </w:r>
    </w:p>
    <w:p w14:paraId="3946550A"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protections and reporting lines.</w:t>
      </w:r>
    </w:p>
    <w:p w14:paraId="5A3940FD"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617F1A60"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lastRenderedPageBreak/>
        <w:t>STEP 6: SHORT-TERM WINS</w:t>
      </w:r>
      <w:r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b/>
          <w:bCs/>
          <w:kern w:val="0"/>
          <w:sz w:val="22"/>
          <w:szCs w:val="22"/>
          <w:lang w:eastAsia="en-GB"/>
          <w14:ligatures w14:val="none"/>
        </w:rPr>
        <w:t>─────&gt;</w:t>
      </w:r>
      <w:r w:rsidRPr="004A1176">
        <w:rPr>
          <w:rFonts w:ascii="Arial" w:eastAsia="Times New Roman" w:hAnsi="Arial" w:cs="Arial"/>
          <w:kern w:val="0"/>
          <w:sz w:val="22"/>
          <w:szCs w:val="22"/>
          <w:lang w:eastAsia="en-GB"/>
          <w14:ligatures w14:val="none"/>
        </w:rPr>
        <w:t xml:space="preserve"> Publicise the successful resolution of</w:t>
      </w:r>
    </w:p>
    <w:p w14:paraId="6423C75D"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the first three clinical escalations.</w:t>
      </w:r>
    </w:p>
    <w:p w14:paraId="4BA4299B"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73DCEB95"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STEP 7: CONSOLIDATE</w:t>
      </w:r>
      <w:r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b/>
          <w:bCs/>
          <w:kern w:val="0"/>
          <w:sz w:val="22"/>
          <w:szCs w:val="22"/>
          <w:lang w:eastAsia="en-GB"/>
          <w14:ligatures w14:val="none"/>
        </w:rPr>
        <w:t>─────&gt;</w:t>
      </w:r>
      <w:r w:rsidRPr="004A1176">
        <w:rPr>
          <w:rFonts w:ascii="Arial" w:eastAsia="Times New Roman" w:hAnsi="Arial" w:cs="Arial"/>
          <w:kern w:val="0"/>
          <w:sz w:val="22"/>
          <w:szCs w:val="22"/>
          <w:lang w:eastAsia="en-GB"/>
          <w14:ligatures w14:val="none"/>
        </w:rPr>
        <w:t xml:space="preserve"> Conduct quarterly audits of escalation</w:t>
      </w:r>
    </w:p>
    <w:p w14:paraId="7D46AFE2"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systems and refine reporting protocols.</w:t>
      </w:r>
    </w:p>
    <w:p w14:paraId="1BD65B94"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0983F497"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STEP 8: EMBED CULTURE</w:t>
      </w:r>
      <w:r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b/>
          <w:bCs/>
          <w:kern w:val="0"/>
          <w:sz w:val="22"/>
          <w:szCs w:val="22"/>
          <w:lang w:eastAsia="en-GB"/>
          <w14:ligatures w14:val="none"/>
        </w:rPr>
        <w:t>─────&gt;</w:t>
      </w:r>
      <w:r w:rsidRPr="004A1176">
        <w:rPr>
          <w:rFonts w:ascii="Arial" w:eastAsia="Times New Roman" w:hAnsi="Arial" w:cs="Arial"/>
          <w:kern w:val="0"/>
          <w:sz w:val="22"/>
          <w:szCs w:val="22"/>
          <w:lang w:eastAsia="en-GB"/>
          <w14:ligatures w14:val="none"/>
        </w:rPr>
        <w:t xml:space="preserve"> Bind clinical safety metrics to annual</w:t>
      </w:r>
    </w:p>
    <w:p w14:paraId="264B04B2" w14:textId="77777777" w:rsidR="00BD1797" w:rsidRPr="004A1176" w:rsidRDefault="00BD1797"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 xml:space="preserve">                                                               executive performance appraisals</w:t>
      </w:r>
    </w:p>
    <w:p w14:paraId="4A85A10A" w14:textId="77777777" w:rsidR="00C0147E" w:rsidRPr="004A1176" w:rsidRDefault="00C0147E"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p>
    <w:p w14:paraId="0CCE0845" w14:textId="638D4854" w:rsidR="00D8379B" w:rsidRPr="004A1176" w:rsidRDefault="00D8379B" w:rsidP="004A11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73DF5B3E" w14:textId="316F933B" w:rsidR="00D8379B" w:rsidRPr="004A1176" w:rsidRDefault="00D8379B" w:rsidP="004A1176">
      <w:pPr>
        <w:spacing w:line="360" w:lineRule="auto"/>
        <w:rPr>
          <w:rFonts w:ascii="Arial" w:eastAsia="Times New Roman" w:hAnsi="Arial" w:cs="Arial"/>
          <w:kern w:val="0"/>
          <w:sz w:val="22"/>
          <w:szCs w:val="22"/>
          <w:lang w:eastAsia="en-GB"/>
          <w14:ligatures w14:val="none"/>
        </w:rPr>
      </w:pPr>
      <w:r w:rsidRPr="004A1176">
        <w:rPr>
          <w:rFonts w:ascii="Arial" w:eastAsia="Times New Roman" w:hAnsi="Arial" w:cs="Arial"/>
          <w:b/>
          <w:bCs/>
          <w:kern w:val="0"/>
          <w:sz w:val="22"/>
          <w:szCs w:val="22"/>
          <w:lang w:eastAsia="en-GB"/>
          <w14:ligatures w14:val="none"/>
        </w:rPr>
        <w:t>Conclusion</w:t>
      </w:r>
    </w:p>
    <w:p w14:paraId="5ABC571A" w14:textId="77777777"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The quality and safety failures at the Countess of Chester Hospital during the Lucy Letby case are a stark reminder of the limitations of passive clinical governance. By applying the Fishbone Diagram, the Five Whys, and the Donabedian Model, this report shows that while Letby's actions were the immediate cause of harm, the tragedy was enabled by deep systemic vulnerabilities. These included severe nursing shortages, inadequate incident reporting, superficial mortality reviews, and a defensive, self-serving executive culture that prioritized reputation over patient safety.</w:t>
      </w:r>
    </w:p>
    <w:p w14:paraId="111727AF" w14:textId="77777777" w:rsidR="004A1176"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Strategic and comparative analyses demonstrate that addressing these failures requires more than minor procedural tweaks. It demands a fundamental shift in organizational culture and accountability. Implementing the proposed recommendations</w:t>
      </w:r>
      <w:r w:rsidR="004A1176"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kern w:val="0"/>
          <w:sz w:val="22"/>
          <w:szCs w:val="22"/>
          <w:lang w:eastAsia="en-GB"/>
          <w14:ligatures w14:val="none"/>
        </w:rPr>
        <w:t>such as real-time independent mortality monitoring, dual-track escalation pathways, ring-fenced Freedom to Speak Up (FTSU) Guardians, and strict adherence to the Duty of Candour</w:t>
      </w:r>
      <w:r w:rsidR="004A1176" w:rsidRPr="004A1176">
        <w:rPr>
          <w:rFonts w:ascii="Arial" w:eastAsia="Times New Roman" w:hAnsi="Arial" w:cs="Arial"/>
          <w:kern w:val="0"/>
          <w:sz w:val="22"/>
          <w:szCs w:val="22"/>
          <w:lang w:eastAsia="en-GB"/>
          <w14:ligatures w14:val="none"/>
        </w:rPr>
        <w:t xml:space="preserve"> </w:t>
      </w:r>
      <w:r w:rsidRPr="004A1176">
        <w:rPr>
          <w:rFonts w:ascii="Arial" w:eastAsia="Times New Roman" w:hAnsi="Arial" w:cs="Arial"/>
          <w:kern w:val="0"/>
          <w:sz w:val="22"/>
          <w:szCs w:val="22"/>
          <w:lang w:eastAsia="en-GB"/>
          <w14:ligatures w14:val="none"/>
        </w:rPr>
        <w:t>will provide the necessary structural safeguards.</w:t>
      </w:r>
      <w:r w:rsidR="004A1176" w:rsidRPr="004A1176">
        <w:rPr>
          <w:rFonts w:ascii="Arial" w:eastAsia="Times New Roman" w:hAnsi="Arial" w:cs="Arial"/>
          <w:kern w:val="0"/>
          <w:sz w:val="22"/>
          <w:szCs w:val="22"/>
          <w:lang w:eastAsia="en-GB"/>
          <w14:ligatures w14:val="none"/>
        </w:rPr>
        <w:t xml:space="preserve"> </w:t>
      </w:r>
    </w:p>
    <w:p w14:paraId="221AD7BE" w14:textId="6DD4A051" w:rsidR="00D8379B" w:rsidRPr="004A1176" w:rsidRDefault="00D8379B" w:rsidP="004A1176">
      <w:pPr>
        <w:spacing w:before="100" w:beforeAutospacing="1" w:after="100" w:afterAutospacing="1" w:line="360" w:lineRule="auto"/>
        <w:rPr>
          <w:rFonts w:ascii="Arial" w:eastAsia="Times New Roman" w:hAnsi="Arial" w:cs="Arial"/>
          <w:kern w:val="0"/>
          <w:sz w:val="22"/>
          <w:szCs w:val="22"/>
          <w:lang w:eastAsia="en-GB"/>
          <w14:ligatures w14:val="none"/>
        </w:rPr>
      </w:pPr>
      <w:r w:rsidRPr="004A1176">
        <w:rPr>
          <w:rFonts w:ascii="Arial" w:eastAsia="Times New Roman" w:hAnsi="Arial" w:cs="Arial"/>
          <w:kern w:val="0"/>
          <w:sz w:val="22"/>
          <w:szCs w:val="22"/>
          <w:lang w:eastAsia="en-GB"/>
          <w14:ligatures w14:val="none"/>
        </w:rPr>
        <w:t>By driving these reforms through the iterative Plan-Do-Study-Act (PDSA) cycle and Kotter’s Eight-Step Change Model, healthcare organizations can move away from defensive management. In its place, they can build a transparent, "Just Culture" that values clinical feedback, protects whistleblowers, and places patient safety at the heart of executive decision-making.</w:t>
      </w:r>
    </w:p>
    <w:p w14:paraId="2DCAB724" w14:textId="77777777" w:rsidR="004A1176" w:rsidRDefault="004A1176" w:rsidP="00D8379B">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bookmarkStart w:id="12" w:name="_Toc235958913"/>
    </w:p>
    <w:p w14:paraId="5085274E" w14:textId="77777777" w:rsidR="001254B0" w:rsidRDefault="001254B0" w:rsidP="00D8379B">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37ADA710" w14:textId="77777777" w:rsidR="001254B0" w:rsidRDefault="001254B0" w:rsidP="00D8379B">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7AD35522" w14:textId="1F41BAF2" w:rsidR="00D8379B" w:rsidRPr="004A1176" w:rsidRDefault="00D8379B" w:rsidP="00D8379B">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4A1176">
        <w:rPr>
          <w:rFonts w:ascii="Arial" w:eastAsia="Times New Roman" w:hAnsi="Arial" w:cs="Arial"/>
          <w:b/>
          <w:bCs/>
          <w:kern w:val="0"/>
          <w:sz w:val="28"/>
          <w:szCs w:val="28"/>
          <w:lang w:eastAsia="en-GB"/>
          <w14:ligatures w14:val="none"/>
        </w:rPr>
        <w:lastRenderedPageBreak/>
        <w:t>Reference List</w:t>
      </w:r>
      <w:bookmarkEnd w:id="12"/>
    </w:p>
    <w:p w14:paraId="1875F3A3"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Antony, J., Downey‐Ennis, K. and Antony, F. (2007) ‘Can Six Sigma be the “cure” for our struggling NHS?’, </w:t>
      </w:r>
      <w:r w:rsidRPr="00D8379B">
        <w:rPr>
          <w:rFonts w:ascii="Times New Roman" w:eastAsia="Times New Roman" w:hAnsi="Times New Roman" w:cs="Times New Roman"/>
          <w:i/>
          <w:iCs/>
          <w:kern w:val="0"/>
          <w:lang w:eastAsia="en-GB"/>
          <w14:ligatures w14:val="none"/>
        </w:rPr>
        <w:t>Leadership in Health Services</w:t>
      </w:r>
      <w:r w:rsidRPr="00D8379B">
        <w:rPr>
          <w:rFonts w:ascii="Times New Roman" w:eastAsia="Times New Roman" w:hAnsi="Times New Roman" w:cs="Times New Roman"/>
          <w:kern w:val="0"/>
          <w:lang w:eastAsia="en-GB"/>
          <w14:ligatures w14:val="none"/>
        </w:rPr>
        <w:t>, 20(4), pp. 242–253.</w:t>
      </w:r>
    </w:p>
    <w:p w14:paraId="0010787B" w14:textId="738B9CDA"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BBC News (2023) </w:t>
      </w:r>
      <w:r w:rsidRPr="00D8379B">
        <w:rPr>
          <w:rFonts w:ascii="Times New Roman" w:eastAsia="Times New Roman" w:hAnsi="Times New Roman" w:cs="Times New Roman"/>
          <w:i/>
          <w:iCs/>
          <w:kern w:val="0"/>
          <w:lang w:eastAsia="en-GB"/>
          <w14:ligatures w14:val="none"/>
        </w:rPr>
        <w:t>Lucy Letby found guilty of murdering seven babies</w:t>
      </w:r>
      <w:r w:rsidRPr="00D8379B">
        <w:rPr>
          <w:rFonts w:ascii="Times New Roman" w:eastAsia="Times New Roman" w:hAnsi="Times New Roman" w:cs="Times New Roman"/>
          <w:kern w:val="0"/>
          <w:lang w:eastAsia="en-GB"/>
          <w14:ligatures w14:val="none"/>
        </w:rPr>
        <w:t xml:space="preserve">. Available at: </w:t>
      </w:r>
      <w:hyperlink r:id="rId9" w:tgtFrame="_blank" w:history="1">
        <w:r w:rsidRPr="00D8379B">
          <w:rPr>
            <w:rFonts w:ascii="Times New Roman" w:eastAsia="Times New Roman" w:hAnsi="Times New Roman" w:cs="Times New Roman"/>
            <w:color w:val="0000FF"/>
            <w:kern w:val="0"/>
            <w:u w:val="single"/>
            <w:lang w:eastAsia="en-GB"/>
            <w14:ligatures w14:val="none"/>
          </w:rPr>
          <w:t>https://www.bbc.co.uk/news/uk-england-merseyside-66160514</w:t>
        </w:r>
      </w:hyperlink>
      <w:r w:rsidRPr="00D8379B">
        <w:rPr>
          <w:rFonts w:ascii="Times New Roman" w:eastAsia="Times New Roman" w:hAnsi="Times New Roman" w:cs="Times New Roman"/>
          <w:kern w:val="0"/>
          <w:lang w:eastAsia="en-GB"/>
          <w14:ligatures w14:val="none"/>
        </w:rPr>
        <w:t xml:space="preserve"> (Accessed: </w:t>
      </w:r>
      <w:r w:rsidR="005A1924">
        <w:rPr>
          <w:rFonts w:ascii="Times New Roman" w:eastAsia="Times New Roman" w:hAnsi="Times New Roman" w:cs="Times New Roman"/>
          <w:kern w:val="0"/>
          <w:lang w:eastAsia="en-GB"/>
          <w14:ligatures w14:val="none"/>
        </w:rPr>
        <w:t>28</w:t>
      </w:r>
      <w:r w:rsidR="00D11C17">
        <w:rPr>
          <w:rFonts w:ascii="Times New Roman" w:eastAsia="Times New Roman" w:hAnsi="Times New Roman" w:cs="Times New Roman"/>
          <w:kern w:val="0"/>
          <w:lang w:eastAsia="en-GB"/>
          <w14:ligatures w14:val="none"/>
        </w:rPr>
        <w:t xml:space="preserve"> </w:t>
      </w:r>
      <w:r w:rsidRPr="00D8379B">
        <w:rPr>
          <w:rFonts w:ascii="Times New Roman" w:eastAsia="Times New Roman" w:hAnsi="Times New Roman" w:cs="Times New Roman"/>
          <w:kern w:val="0"/>
          <w:lang w:eastAsia="en-GB"/>
          <w14:ligatures w14:val="none"/>
        </w:rPr>
        <w:t>June 2026).</w:t>
      </w:r>
    </w:p>
    <w:p w14:paraId="12EAA602"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Burnes, B. (2020) </w:t>
      </w:r>
      <w:r w:rsidRPr="00D8379B">
        <w:rPr>
          <w:rFonts w:ascii="Times New Roman" w:eastAsia="Times New Roman" w:hAnsi="Times New Roman" w:cs="Times New Roman"/>
          <w:i/>
          <w:iCs/>
          <w:kern w:val="0"/>
          <w:lang w:eastAsia="en-GB"/>
          <w14:ligatures w14:val="none"/>
        </w:rPr>
        <w:t>Managing Change</w:t>
      </w:r>
      <w:r w:rsidRPr="00D8379B">
        <w:rPr>
          <w:rFonts w:ascii="Times New Roman" w:eastAsia="Times New Roman" w:hAnsi="Times New Roman" w:cs="Times New Roman"/>
          <w:kern w:val="0"/>
          <w:lang w:eastAsia="en-GB"/>
          <w14:ligatures w14:val="none"/>
        </w:rPr>
        <w:t xml:space="preserve">. 8th </w:t>
      </w:r>
      <w:proofErr w:type="spellStart"/>
      <w:r w:rsidRPr="00D8379B">
        <w:rPr>
          <w:rFonts w:ascii="Times New Roman" w:eastAsia="Times New Roman" w:hAnsi="Times New Roman" w:cs="Times New Roman"/>
          <w:kern w:val="0"/>
          <w:lang w:eastAsia="en-GB"/>
          <w14:ligatures w14:val="none"/>
        </w:rPr>
        <w:t>edn</w:t>
      </w:r>
      <w:proofErr w:type="spellEnd"/>
      <w:r w:rsidRPr="00D8379B">
        <w:rPr>
          <w:rFonts w:ascii="Times New Roman" w:eastAsia="Times New Roman" w:hAnsi="Times New Roman" w:cs="Times New Roman"/>
          <w:kern w:val="0"/>
          <w:lang w:eastAsia="en-GB"/>
          <w14:ligatures w14:val="none"/>
        </w:rPr>
        <w:t>. Harlow: Pearson.</w:t>
      </w:r>
    </w:p>
    <w:p w14:paraId="4EEF4B5B"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Camp, R.C. (1989) </w:t>
      </w:r>
      <w:r w:rsidRPr="00D8379B">
        <w:rPr>
          <w:rFonts w:ascii="Times New Roman" w:eastAsia="Times New Roman" w:hAnsi="Times New Roman" w:cs="Times New Roman"/>
          <w:i/>
          <w:iCs/>
          <w:kern w:val="0"/>
          <w:lang w:eastAsia="en-GB"/>
          <w14:ligatures w14:val="none"/>
        </w:rPr>
        <w:t>Benchmarking: The Search for Industry Best Practices That Lead to Superior Performance</w:t>
      </w:r>
      <w:r w:rsidRPr="00D8379B">
        <w:rPr>
          <w:rFonts w:ascii="Times New Roman" w:eastAsia="Times New Roman" w:hAnsi="Times New Roman" w:cs="Times New Roman"/>
          <w:kern w:val="0"/>
          <w:lang w:eastAsia="en-GB"/>
          <w14:ligatures w14:val="none"/>
        </w:rPr>
        <w:t>. Milwaukee: ASQC Quality Press.</w:t>
      </w:r>
    </w:p>
    <w:p w14:paraId="4D2AC522"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Care Quality Commission (CQC) (2016) </w:t>
      </w:r>
      <w:r w:rsidRPr="00D8379B">
        <w:rPr>
          <w:rFonts w:ascii="Times New Roman" w:eastAsia="Times New Roman" w:hAnsi="Times New Roman" w:cs="Times New Roman"/>
          <w:i/>
          <w:iCs/>
          <w:kern w:val="0"/>
          <w:lang w:eastAsia="en-GB"/>
          <w14:ligatures w14:val="none"/>
        </w:rPr>
        <w:t>Countess of Chester Hospital NHS Foundation Trust Inspection Report</w:t>
      </w:r>
      <w:r w:rsidRPr="00D8379B">
        <w:rPr>
          <w:rFonts w:ascii="Times New Roman" w:eastAsia="Times New Roman" w:hAnsi="Times New Roman" w:cs="Times New Roman"/>
          <w:kern w:val="0"/>
          <w:lang w:eastAsia="en-GB"/>
          <w14:ligatures w14:val="none"/>
        </w:rPr>
        <w:t>. Newcastle upon Tyne: Care Quality Commission.</w:t>
      </w:r>
    </w:p>
    <w:p w14:paraId="7CD98044"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Care Quality Commission (CQC) (2022) </w:t>
      </w:r>
      <w:r w:rsidRPr="00D8379B">
        <w:rPr>
          <w:rFonts w:ascii="Times New Roman" w:eastAsia="Times New Roman" w:hAnsi="Times New Roman" w:cs="Times New Roman"/>
          <w:i/>
          <w:iCs/>
          <w:kern w:val="0"/>
          <w:lang w:eastAsia="en-GB"/>
          <w14:ligatures w14:val="none"/>
        </w:rPr>
        <w:t>Regulation 20: Duty of Candour</w:t>
      </w:r>
      <w:r w:rsidRPr="00D8379B">
        <w:rPr>
          <w:rFonts w:ascii="Times New Roman" w:eastAsia="Times New Roman" w:hAnsi="Times New Roman" w:cs="Times New Roman"/>
          <w:kern w:val="0"/>
          <w:lang w:eastAsia="en-GB"/>
          <w14:ligatures w14:val="none"/>
        </w:rPr>
        <w:t>. Newcastle upon Tyne: Care Quality Commission.</w:t>
      </w:r>
    </w:p>
    <w:p w14:paraId="3F1AA584"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Care Quality Commission (CQC) (2023) </w:t>
      </w:r>
      <w:r w:rsidRPr="00D8379B">
        <w:rPr>
          <w:rFonts w:ascii="Times New Roman" w:eastAsia="Times New Roman" w:hAnsi="Times New Roman" w:cs="Times New Roman"/>
          <w:i/>
          <w:iCs/>
          <w:kern w:val="0"/>
          <w:lang w:eastAsia="en-GB"/>
          <w14:ligatures w14:val="none"/>
        </w:rPr>
        <w:t>Fundamental Standards</w:t>
      </w:r>
      <w:r w:rsidRPr="00D8379B">
        <w:rPr>
          <w:rFonts w:ascii="Times New Roman" w:eastAsia="Times New Roman" w:hAnsi="Times New Roman" w:cs="Times New Roman"/>
          <w:kern w:val="0"/>
          <w:lang w:eastAsia="en-GB"/>
          <w14:ligatures w14:val="none"/>
        </w:rPr>
        <w:t>. Newcastle upon Tyne: Care Quality Commission.</w:t>
      </w:r>
    </w:p>
    <w:p w14:paraId="7C4C99AF"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Deming, W.E. (1986) </w:t>
      </w:r>
      <w:r w:rsidRPr="00D8379B">
        <w:rPr>
          <w:rFonts w:ascii="Times New Roman" w:eastAsia="Times New Roman" w:hAnsi="Times New Roman" w:cs="Times New Roman"/>
          <w:i/>
          <w:iCs/>
          <w:kern w:val="0"/>
          <w:lang w:eastAsia="en-GB"/>
          <w14:ligatures w14:val="none"/>
        </w:rPr>
        <w:t>Out of the Crisis</w:t>
      </w:r>
      <w:r w:rsidRPr="00D8379B">
        <w:rPr>
          <w:rFonts w:ascii="Times New Roman" w:eastAsia="Times New Roman" w:hAnsi="Times New Roman" w:cs="Times New Roman"/>
          <w:kern w:val="0"/>
          <w:lang w:eastAsia="en-GB"/>
          <w14:ligatures w14:val="none"/>
        </w:rPr>
        <w:t>. Cambridge, MA: MIT Press.</w:t>
      </w:r>
    </w:p>
    <w:p w14:paraId="21B0BB86"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Department of Health (2008) </w:t>
      </w:r>
      <w:r w:rsidRPr="00D8379B">
        <w:rPr>
          <w:rFonts w:ascii="Times New Roman" w:eastAsia="Times New Roman" w:hAnsi="Times New Roman" w:cs="Times New Roman"/>
          <w:i/>
          <w:iCs/>
          <w:kern w:val="0"/>
          <w:lang w:eastAsia="en-GB"/>
          <w14:ligatures w14:val="none"/>
        </w:rPr>
        <w:t>High Quality Care for All: NHS Next Stage Review Final Report</w:t>
      </w:r>
      <w:r w:rsidRPr="00D8379B">
        <w:rPr>
          <w:rFonts w:ascii="Times New Roman" w:eastAsia="Times New Roman" w:hAnsi="Times New Roman" w:cs="Times New Roman"/>
          <w:kern w:val="0"/>
          <w:lang w:eastAsia="en-GB"/>
          <w14:ligatures w14:val="none"/>
        </w:rPr>
        <w:t>. London: Department of Health.</w:t>
      </w:r>
    </w:p>
    <w:p w14:paraId="1416BB5B"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Department of Health and Social Care (2023) </w:t>
      </w:r>
      <w:r w:rsidRPr="00D8379B">
        <w:rPr>
          <w:rFonts w:ascii="Times New Roman" w:eastAsia="Times New Roman" w:hAnsi="Times New Roman" w:cs="Times New Roman"/>
          <w:i/>
          <w:iCs/>
          <w:kern w:val="0"/>
          <w:lang w:eastAsia="en-GB"/>
          <w14:ligatures w14:val="none"/>
        </w:rPr>
        <w:t>NHS Patient Safety Strategy</w:t>
      </w:r>
      <w:r w:rsidRPr="00D8379B">
        <w:rPr>
          <w:rFonts w:ascii="Times New Roman" w:eastAsia="Times New Roman" w:hAnsi="Times New Roman" w:cs="Times New Roman"/>
          <w:kern w:val="0"/>
          <w:lang w:eastAsia="en-GB"/>
          <w14:ligatures w14:val="none"/>
        </w:rPr>
        <w:t>. London: DHSC.</w:t>
      </w:r>
    </w:p>
    <w:p w14:paraId="471E43F6"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Donabedian, A. (1988) ‘The quality of care: How can it be assessed?’, </w:t>
      </w:r>
      <w:r w:rsidRPr="00D8379B">
        <w:rPr>
          <w:rFonts w:ascii="Times New Roman" w:eastAsia="Times New Roman" w:hAnsi="Times New Roman" w:cs="Times New Roman"/>
          <w:i/>
          <w:iCs/>
          <w:kern w:val="0"/>
          <w:lang w:eastAsia="en-GB"/>
          <w14:ligatures w14:val="none"/>
        </w:rPr>
        <w:t>Journal of the American Medical Association</w:t>
      </w:r>
      <w:r w:rsidRPr="00D8379B">
        <w:rPr>
          <w:rFonts w:ascii="Times New Roman" w:eastAsia="Times New Roman" w:hAnsi="Times New Roman" w:cs="Times New Roman"/>
          <w:kern w:val="0"/>
          <w:lang w:eastAsia="en-GB"/>
          <w14:ligatures w14:val="none"/>
        </w:rPr>
        <w:t>, 260(12), pp. 1743–1748.</w:t>
      </w:r>
    </w:p>
    <w:p w14:paraId="6F220D28"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Doggett, A.M. (2005) ‘Root Cause Analysis: A Framework for Tool Selection’, </w:t>
      </w:r>
      <w:r w:rsidRPr="00D8379B">
        <w:rPr>
          <w:rFonts w:ascii="Times New Roman" w:eastAsia="Times New Roman" w:hAnsi="Times New Roman" w:cs="Times New Roman"/>
          <w:i/>
          <w:iCs/>
          <w:kern w:val="0"/>
          <w:lang w:eastAsia="en-GB"/>
          <w14:ligatures w14:val="none"/>
        </w:rPr>
        <w:t>Quality Management Journal</w:t>
      </w:r>
      <w:r w:rsidRPr="00D8379B">
        <w:rPr>
          <w:rFonts w:ascii="Times New Roman" w:eastAsia="Times New Roman" w:hAnsi="Times New Roman" w:cs="Times New Roman"/>
          <w:kern w:val="0"/>
          <w:lang w:eastAsia="en-GB"/>
          <w14:ligatures w14:val="none"/>
        </w:rPr>
        <w:t>, 12(4), pp. 34–45.</w:t>
      </w:r>
    </w:p>
    <w:p w14:paraId="085F9ABD"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Edmondson, A.C. (2018) </w:t>
      </w:r>
      <w:r w:rsidRPr="00D8379B">
        <w:rPr>
          <w:rFonts w:ascii="Times New Roman" w:eastAsia="Times New Roman" w:hAnsi="Times New Roman" w:cs="Times New Roman"/>
          <w:i/>
          <w:iCs/>
          <w:kern w:val="0"/>
          <w:lang w:eastAsia="en-GB"/>
          <w14:ligatures w14:val="none"/>
        </w:rPr>
        <w:t>The Fearless Organization: Creating Psychological Safety in the Workplace for Learning, Innovation, and Growth</w:t>
      </w:r>
      <w:r w:rsidRPr="00D8379B">
        <w:rPr>
          <w:rFonts w:ascii="Times New Roman" w:eastAsia="Times New Roman" w:hAnsi="Times New Roman" w:cs="Times New Roman"/>
          <w:kern w:val="0"/>
          <w:lang w:eastAsia="en-GB"/>
          <w14:ligatures w14:val="none"/>
        </w:rPr>
        <w:t>. Hoboken, NJ: John Wiley &amp; Sons.</w:t>
      </w:r>
    </w:p>
    <w:p w14:paraId="56C00B04"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Francis, R. (2013) </w:t>
      </w:r>
      <w:r w:rsidRPr="00D8379B">
        <w:rPr>
          <w:rFonts w:ascii="Times New Roman" w:eastAsia="Times New Roman" w:hAnsi="Times New Roman" w:cs="Times New Roman"/>
          <w:i/>
          <w:iCs/>
          <w:kern w:val="0"/>
          <w:lang w:eastAsia="en-GB"/>
          <w14:ligatures w14:val="none"/>
        </w:rPr>
        <w:t>Report of the Mid Staffordshire NHS Foundation Trust Public Inquiry</w:t>
      </w:r>
      <w:r w:rsidRPr="00D8379B">
        <w:rPr>
          <w:rFonts w:ascii="Times New Roman" w:eastAsia="Times New Roman" w:hAnsi="Times New Roman" w:cs="Times New Roman"/>
          <w:kern w:val="0"/>
          <w:lang w:eastAsia="en-GB"/>
          <w14:ligatures w14:val="none"/>
        </w:rPr>
        <w:t>. London: The Stationery Office.</w:t>
      </w:r>
    </w:p>
    <w:p w14:paraId="207387CC"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Greenhalgh, T. (2018) ‘How to improve success of quality improvement projects in healthcare’, </w:t>
      </w:r>
      <w:r w:rsidRPr="00D8379B">
        <w:rPr>
          <w:rFonts w:ascii="Times New Roman" w:eastAsia="Times New Roman" w:hAnsi="Times New Roman" w:cs="Times New Roman"/>
          <w:i/>
          <w:iCs/>
          <w:kern w:val="0"/>
          <w:lang w:eastAsia="en-GB"/>
          <w14:ligatures w14:val="none"/>
        </w:rPr>
        <w:t>BMJ</w:t>
      </w:r>
      <w:r w:rsidRPr="00D8379B">
        <w:rPr>
          <w:rFonts w:ascii="Times New Roman" w:eastAsia="Times New Roman" w:hAnsi="Times New Roman" w:cs="Times New Roman"/>
          <w:kern w:val="0"/>
          <w:lang w:eastAsia="en-GB"/>
          <w14:ligatures w14:val="none"/>
        </w:rPr>
        <w:t>, 361, p. k1895.</w:t>
      </w:r>
    </w:p>
    <w:p w14:paraId="0B2D73CE"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Gürel, E. and Tat, M. (2017) ‘SWOT analysis: A theoretical review’, </w:t>
      </w:r>
      <w:r w:rsidRPr="00D8379B">
        <w:rPr>
          <w:rFonts w:ascii="Times New Roman" w:eastAsia="Times New Roman" w:hAnsi="Times New Roman" w:cs="Times New Roman"/>
          <w:i/>
          <w:iCs/>
          <w:kern w:val="0"/>
          <w:lang w:eastAsia="en-GB"/>
          <w14:ligatures w14:val="none"/>
        </w:rPr>
        <w:t>The Journal of International Social Research</w:t>
      </w:r>
      <w:r w:rsidRPr="00D8379B">
        <w:rPr>
          <w:rFonts w:ascii="Times New Roman" w:eastAsia="Times New Roman" w:hAnsi="Times New Roman" w:cs="Times New Roman"/>
          <w:kern w:val="0"/>
          <w:lang w:eastAsia="en-GB"/>
          <w14:ligatures w14:val="none"/>
        </w:rPr>
        <w:t>, 10(51), pp. 994–1006.</w:t>
      </w:r>
    </w:p>
    <w:p w14:paraId="69C05F61"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lastRenderedPageBreak/>
        <w:t xml:space="preserve">Halligan, A. and Donaldson, L. (2001) ‘Implementing clinical governance: turning vision into reality’, </w:t>
      </w:r>
      <w:r w:rsidRPr="00D8379B">
        <w:rPr>
          <w:rFonts w:ascii="Times New Roman" w:eastAsia="Times New Roman" w:hAnsi="Times New Roman" w:cs="Times New Roman"/>
          <w:i/>
          <w:iCs/>
          <w:kern w:val="0"/>
          <w:lang w:eastAsia="en-GB"/>
          <w14:ligatures w14:val="none"/>
        </w:rPr>
        <w:t>BMJ</w:t>
      </w:r>
      <w:r w:rsidRPr="00D8379B">
        <w:rPr>
          <w:rFonts w:ascii="Times New Roman" w:eastAsia="Times New Roman" w:hAnsi="Times New Roman" w:cs="Times New Roman"/>
          <w:kern w:val="0"/>
          <w:lang w:eastAsia="en-GB"/>
          <w14:ligatures w14:val="none"/>
        </w:rPr>
        <w:t>, 322(7299), pp. 1413–1417.</w:t>
      </w:r>
    </w:p>
    <w:p w14:paraId="1417F943"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Health Foundation (2023) </w:t>
      </w:r>
      <w:r w:rsidRPr="00D8379B">
        <w:rPr>
          <w:rFonts w:ascii="Times New Roman" w:eastAsia="Times New Roman" w:hAnsi="Times New Roman" w:cs="Times New Roman"/>
          <w:i/>
          <w:iCs/>
          <w:kern w:val="0"/>
          <w:lang w:eastAsia="en-GB"/>
          <w14:ligatures w14:val="none"/>
        </w:rPr>
        <w:t>Quality Improvement Made Simple</w:t>
      </w:r>
      <w:r w:rsidRPr="00D8379B">
        <w:rPr>
          <w:rFonts w:ascii="Times New Roman" w:eastAsia="Times New Roman" w:hAnsi="Times New Roman" w:cs="Times New Roman"/>
          <w:kern w:val="0"/>
          <w:lang w:eastAsia="en-GB"/>
          <w14:ligatures w14:val="none"/>
        </w:rPr>
        <w:t>. London: The Health Foundation.</w:t>
      </w:r>
    </w:p>
    <w:p w14:paraId="76C23DD4"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Institute of Medicine (2000) </w:t>
      </w:r>
      <w:r w:rsidRPr="00D8379B">
        <w:rPr>
          <w:rFonts w:ascii="Times New Roman" w:eastAsia="Times New Roman" w:hAnsi="Times New Roman" w:cs="Times New Roman"/>
          <w:i/>
          <w:iCs/>
          <w:kern w:val="0"/>
          <w:lang w:eastAsia="en-GB"/>
          <w14:ligatures w14:val="none"/>
        </w:rPr>
        <w:t>To Err Is Human: Building a Safer Health System</w:t>
      </w:r>
      <w:r w:rsidRPr="00D8379B">
        <w:rPr>
          <w:rFonts w:ascii="Times New Roman" w:eastAsia="Times New Roman" w:hAnsi="Times New Roman" w:cs="Times New Roman"/>
          <w:kern w:val="0"/>
          <w:lang w:eastAsia="en-GB"/>
          <w14:ligatures w14:val="none"/>
        </w:rPr>
        <w:t>. Washington, DC: National Academies Press.</w:t>
      </w:r>
    </w:p>
    <w:p w14:paraId="14CADA97"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Ishikawa, K. (1985) </w:t>
      </w:r>
      <w:r w:rsidRPr="00D8379B">
        <w:rPr>
          <w:rFonts w:ascii="Times New Roman" w:eastAsia="Times New Roman" w:hAnsi="Times New Roman" w:cs="Times New Roman"/>
          <w:i/>
          <w:iCs/>
          <w:kern w:val="0"/>
          <w:lang w:eastAsia="en-GB"/>
          <w14:ligatures w14:val="none"/>
        </w:rPr>
        <w:t>What Is Total Quality Control? The Japanese Way</w:t>
      </w:r>
      <w:r w:rsidRPr="00D8379B">
        <w:rPr>
          <w:rFonts w:ascii="Times New Roman" w:eastAsia="Times New Roman" w:hAnsi="Times New Roman" w:cs="Times New Roman"/>
          <w:kern w:val="0"/>
          <w:lang w:eastAsia="en-GB"/>
          <w14:ligatures w14:val="none"/>
        </w:rPr>
        <w:t>. Englewood Cliffs, NJ: Prentice Hall.</w:t>
      </w:r>
    </w:p>
    <w:p w14:paraId="45308DF9"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Kaplan, R.S. and Norton, D.P. (1996) </w:t>
      </w:r>
      <w:r w:rsidRPr="00D8379B">
        <w:rPr>
          <w:rFonts w:ascii="Times New Roman" w:eastAsia="Times New Roman" w:hAnsi="Times New Roman" w:cs="Times New Roman"/>
          <w:i/>
          <w:iCs/>
          <w:kern w:val="0"/>
          <w:lang w:eastAsia="en-GB"/>
          <w14:ligatures w14:val="none"/>
        </w:rPr>
        <w:t>The Balanced Scorecard</w:t>
      </w:r>
      <w:r w:rsidRPr="00D8379B">
        <w:rPr>
          <w:rFonts w:ascii="Times New Roman" w:eastAsia="Times New Roman" w:hAnsi="Times New Roman" w:cs="Times New Roman"/>
          <w:kern w:val="0"/>
          <w:lang w:eastAsia="en-GB"/>
          <w14:ligatures w14:val="none"/>
        </w:rPr>
        <w:t>. Boston: Harvard Business School Press.</w:t>
      </w:r>
    </w:p>
    <w:p w14:paraId="72C36F5B"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Kotter, J.P. (1996) </w:t>
      </w:r>
      <w:r w:rsidRPr="00D8379B">
        <w:rPr>
          <w:rFonts w:ascii="Times New Roman" w:eastAsia="Times New Roman" w:hAnsi="Times New Roman" w:cs="Times New Roman"/>
          <w:i/>
          <w:iCs/>
          <w:kern w:val="0"/>
          <w:lang w:eastAsia="en-GB"/>
          <w14:ligatures w14:val="none"/>
        </w:rPr>
        <w:t>Leading Change</w:t>
      </w:r>
      <w:r w:rsidRPr="00D8379B">
        <w:rPr>
          <w:rFonts w:ascii="Times New Roman" w:eastAsia="Times New Roman" w:hAnsi="Times New Roman" w:cs="Times New Roman"/>
          <w:kern w:val="0"/>
          <w:lang w:eastAsia="en-GB"/>
          <w14:ligatures w14:val="none"/>
        </w:rPr>
        <w:t>. Boston: Harvard Business School Press.</w:t>
      </w:r>
    </w:p>
    <w:p w14:paraId="4E93F776"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Lewin, K. (1951) </w:t>
      </w:r>
      <w:r w:rsidRPr="00D8379B">
        <w:rPr>
          <w:rFonts w:ascii="Times New Roman" w:eastAsia="Times New Roman" w:hAnsi="Times New Roman" w:cs="Times New Roman"/>
          <w:i/>
          <w:iCs/>
          <w:kern w:val="0"/>
          <w:lang w:eastAsia="en-GB"/>
          <w14:ligatures w14:val="none"/>
        </w:rPr>
        <w:t>Field Theory in Social Science</w:t>
      </w:r>
      <w:r w:rsidRPr="00D8379B">
        <w:rPr>
          <w:rFonts w:ascii="Times New Roman" w:eastAsia="Times New Roman" w:hAnsi="Times New Roman" w:cs="Times New Roman"/>
          <w:kern w:val="0"/>
          <w:lang w:eastAsia="en-GB"/>
          <w14:ligatures w14:val="none"/>
        </w:rPr>
        <w:t>. New York: Harper &amp; Row.</w:t>
      </w:r>
    </w:p>
    <w:p w14:paraId="1D893805"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Mannion, R. and Davies, H. (2018) ‘Understanding organisational culture for healthcare quality improvement’, </w:t>
      </w:r>
      <w:r w:rsidRPr="00D8379B">
        <w:rPr>
          <w:rFonts w:ascii="Times New Roman" w:eastAsia="Times New Roman" w:hAnsi="Times New Roman" w:cs="Times New Roman"/>
          <w:i/>
          <w:iCs/>
          <w:kern w:val="0"/>
          <w:lang w:eastAsia="en-GB"/>
          <w14:ligatures w14:val="none"/>
        </w:rPr>
        <w:t>BMJ</w:t>
      </w:r>
      <w:r w:rsidRPr="00D8379B">
        <w:rPr>
          <w:rFonts w:ascii="Times New Roman" w:eastAsia="Times New Roman" w:hAnsi="Times New Roman" w:cs="Times New Roman"/>
          <w:kern w:val="0"/>
          <w:lang w:eastAsia="en-GB"/>
          <w14:ligatures w14:val="none"/>
        </w:rPr>
        <w:t>, 363, p. k4907.</w:t>
      </w:r>
    </w:p>
    <w:p w14:paraId="3436DC9A"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National Institute for Health and Care Excellence (NICE) (2015) </w:t>
      </w:r>
      <w:r w:rsidRPr="00D8379B">
        <w:rPr>
          <w:rFonts w:ascii="Times New Roman" w:eastAsia="Times New Roman" w:hAnsi="Times New Roman" w:cs="Times New Roman"/>
          <w:i/>
          <w:iCs/>
          <w:kern w:val="0"/>
          <w:lang w:eastAsia="en-GB"/>
          <w14:ligatures w14:val="none"/>
        </w:rPr>
        <w:t>Safe Staffing for Nursing in Neonatal Services</w:t>
      </w:r>
      <w:r w:rsidRPr="00D8379B">
        <w:rPr>
          <w:rFonts w:ascii="Times New Roman" w:eastAsia="Times New Roman" w:hAnsi="Times New Roman" w:cs="Times New Roman"/>
          <w:kern w:val="0"/>
          <w:lang w:eastAsia="en-GB"/>
          <w14:ligatures w14:val="none"/>
        </w:rPr>
        <w:t>. London: NICE.</w:t>
      </w:r>
    </w:p>
    <w:p w14:paraId="37B9D00B"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NHS England (2022) </w:t>
      </w:r>
      <w:r w:rsidRPr="00D8379B">
        <w:rPr>
          <w:rFonts w:ascii="Times New Roman" w:eastAsia="Times New Roman" w:hAnsi="Times New Roman" w:cs="Times New Roman"/>
          <w:i/>
          <w:iCs/>
          <w:kern w:val="0"/>
          <w:lang w:eastAsia="en-GB"/>
          <w14:ligatures w14:val="none"/>
        </w:rPr>
        <w:t>Freedom to Speak Up Policy</w:t>
      </w:r>
      <w:r w:rsidRPr="00D8379B">
        <w:rPr>
          <w:rFonts w:ascii="Times New Roman" w:eastAsia="Times New Roman" w:hAnsi="Times New Roman" w:cs="Times New Roman"/>
          <w:kern w:val="0"/>
          <w:lang w:eastAsia="en-GB"/>
          <w14:ligatures w14:val="none"/>
        </w:rPr>
        <w:t>. London: NHS England.</w:t>
      </w:r>
    </w:p>
    <w:p w14:paraId="6E6F1680"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NHS England (2023) </w:t>
      </w:r>
      <w:r w:rsidRPr="00D8379B">
        <w:rPr>
          <w:rFonts w:ascii="Times New Roman" w:eastAsia="Times New Roman" w:hAnsi="Times New Roman" w:cs="Times New Roman"/>
          <w:i/>
          <w:iCs/>
          <w:kern w:val="0"/>
          <w:lang w:eastAsia="en-GB"/>
          <w14:ligatures w14:val="none"/>
        </w:rPr>
        <w:t>NHS Patient Safety Strategy</w:t>
      </w:r>
      <w:r w:rsidRPr="00D8379B">
        <w:rPr>
          <w:rFonts w:ascii="Times New Roman" w:eastAsia="Times New Roman" w:hAnsi="Times New Roman" w:cs="Times New Roman"/>
          <w:kern w:val="0"/>
          <w:lang w:eastAsia="en-GB"/>
          <w14:ligatures w14:val="none"/>
        </w:rPr>
        <w:t>. London: NHS England.</w:t>
      </w:r>
    </w:p>
    <w:p w14:paraId="36BF2AE8"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NHS Improvement (2018) </w:t>
      </w:r>
      <w:r w:rsidRPr="00D8379B">
        <w:rPr>
          <w:rFonts w:ascii="Times New Roman" w:eastAsia="Times New Roman" w:hAnsi="Times New Roman" w:cs="Times New Roman"/>
          <w:i/>
          <w:iCs/>
          <w:kern w:val="0"/>
          <w:lang w:eastAsia="en-GB"/>
          <w14:ligatures w14:val="none"/>
        </w:rPr>
        <w:t>Root Cause Analysis Framework</w:t>
      </w:r>
      <w:r w:rsidRPr="00D8379B">
        <w:rPr>
          <w:rFonts w:ascii="Times New Roman" w:eastAsia="Times New Roman" w:hAnsi="Times New Roman" w:cs="Times New Roman"/>
          <w:kern w:val="0"/>
          <w:lang w:eastAsia="en-GB"/>
          <w14:ligatures w14:val="none"/>
        </w:rPr>
        <w:t>. London: NHS Improvement.</w:t>
      </w:r>
    </w:p>
    <w:p w14:paraId="5EDDCA3D"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Ohno, T. (1988) </w:t>
      </w:r>
      <w:r w:rsidRPr="00D8379B">
        <w:rPr>
          <w:rFonts w:ascii="Times New Roman" w:eastAsia="Times New Roman" w:hAnsi="Times New Roman" w:cs="Times New Roman"/>
          <w:i/>
          <w:iCs/>
          <w:kern w:val="0"/>
          <w:lang w:eastAsia="en-GB"/>
          <w14:ligatures w14:val="none"/>
        </w:rPr>
        <w:t>Toyota Production System: Beyond Large-Scale Production</w:t>
      </w:r>
      <w:r w:rsidRPr="00D8379B">
        <w:rPr>
          <w:rFonts w:ascii="Times New Roman" w:eastAsia="Times New Roman" w:hAnsi="Times New Roman" w:cs="Times New Roman"/>
          <w:kern w:val="0"/>
          <w:lang w:eastAsia="en-GB"/>
          <w14:ligatures w14:val="none"/>
        </w:rPr>
        <w:t>. Portland, OR: Productivity Press.</w:t>
      </w:r>
    </w:p>
    <w:p w14:paraId="7DA47CB1"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Øvretveit, J. (2009) </w:t>
      </w:r>
      <w:r w:rsidRPr="00D8379B">
        <w:rPr>
          <w:rFonts w:ascii="Times New Roman" w:eastAsia="Times New Roman" w:hAnsi="Times New Roman" w:cs="Times New Roman"/>
          <w:i/>
          <w:iCs/>
          <w:kern w:val="0"/>
          <w:lang w:eastAsia="en-GB"/>
          <w14:ligatures w14:val="none"/>
        </w:rPr>
        <w:t>Does Improving Quality Save Money? A Review of Evidence of Which Improvements to Quality Reduce Costs to Health Service Providers</w:t>
      </w:r>
      <w:r w:rsidRPr="00D8379B">
        <w:rPr>
          <w:rFonts w:ascii="Times New Roman" w:eastAsia="Times New Roman" w:hAnsi="Times New Roman" w:cs="Times New Roman"/>
          <w:kern w:val="0"/>
          <w:lang w:eastAsia="en-GB"/>
          <w14:ligatures w14:val="none"/>
        </w:rPr>
        <w:t>. London: The Health Foundation.</w:t>
      </w:r>
    </w:p>
    <w:p w14:paraId="2A50A024"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Reason, J. (1990) </w:t>
      </w:r>
      <w:r w:rsidRPr="00D8379B">
        <w:rPr>
          <w:rFonts w:ascii="Times New Roman" w:eastAsia="Times New Roman" w:hAnsi="Times New Roman" w:cs="Times New Roman"/>
          <w:i/>
          <w:iCs/>
          <w:kern w:val="0"/>
          <w:lang w:eastAsia="en-GB"/>
          <w14:ligatures w14:val="none"/>
        </w:rPr>
        <w:t>Human Error</w:t>
      </w:r>
      <w:r w:rsidRPr="00D8379B">
        <w:rPr>
          <w:rFonts w:ascii="Times New Roman" w:eastAsia="Times New Roman" w:hAnsi="Times New Roman" w:cs="Times New Roman"/>
          <w:kern w:val="0"/>
          <w:lang w:eastAsia="en-GB"/>
          <w14:ligatures w14:val="none"/>
        </w:rPr>
        <w:t>. Cambridge: Cambridge University Press.</w:t>
      </w:r>
    </w:p>
    <w:p w14:paraId="721C5912"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Reason, J. (2000) ‘Human error: models and management’, </w:t>
      </w:r>
      <w:r w:rsidRPr="00D8379B">
        <w:rPr>
          <w:rFonts w:ascii="Times New Roman" w:eastAsia="Times New Roman" w:hAnsi="Times New Roman" w:cs="Times New Roman"/>
          <w:i/>
          <w:iCs/>
          <w:kern w:val="0"/>
          <w:lang w:eastAsia="en-GB"/>
          <w14:ligatures w14:val="none"/>
        </w:rPr>
        <w:t>BMJ</w:t>
      </w:r>
      <w:r w:rsidRPr="00D8379B">
        <w:rPr>
          <w:rFonts w:ascii="Times New Roman" w:eastAsia="Times New Roman" w:hAnsi="Times New Roman" w:cs="Times New Roman"/>
          <w:kern w:val="0"/>
          <w:lang w:eastAsia="en-GB"/>
          <w14:ligatures w14:val="none"/>
        </w:rPr>
        <w:t>, 320(7237), pp. 768–770.</w:t>
      </w:r>
    </w:p>
    <w:p w14:paraId="4491F921"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Rooney, J.J. and Vanden Heuvel, L.N. (2004) ‘Root cause analysis for beginners’, </w:t>
      </w:r>
      <w:r w:rsidRPr="00D8379B">
        <w:rPr>
          <w:rFonts w:ascii="Times New Roman" w:eastAsia="Times New Roman" w:hAnsi="Times New Roman" w:cs="Times New Roman"/>
          <w:i/>
          <w:iCs/>
          <w:kern w:val="0"/>
          <w:lang w:eastAsia="en-GB"/>
          <w14:ligatures w14:val="none"/>
        </w:rPr>
        <w:t>Quality Progress</w:t>
      </w:r>
      <w:r w:rsidRPr="00D8379B">
        <w:rPr>
          <w:rFonts w:ascii="Times New Roman" w:eastAsia="Times New Roman" w:hAnsi="Times New Roman" w:cs="Times New Roman"/>
          <w:kern w:val="0"/>
          <w:lang w:eastAsia="en-GB"/>
          <w14:ligatures w14:val="none"/>
        </w:rPr>
        <w:t>, 37(7), pp. 45–53.</w:t>
      </w:r>
    </w:p>
    <w:p w14:paraId="2F0F4EEA"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Senge, P.M. (2006) </w:t>
      </w:r>
      <w:r w:rsidRPr="00D8379B">
        <w:rPr>
          <w:rFonts w:ascii="Times New Roman" w:eastAsia="Times New Roman" w:hAnsi="Times New Roman" w:cs="Times New Roman"/>
          <w:i/>
          <w:iCs/>
          <w:kern w:val="0"/>
          <w:lang w:eastAsia="en-GB"/>
          <w14:ligatures w14:val="none"/>
        </w:rPr>
        <w:t>The Fifth Discipline: The Art and Practice of the Learning Organisation</w:t>
      </w:r>
      <w:r w:rsidRPr="00D8379B">
        <w:rPr>
          <w:rFonts w:ascii="Times New Roman" w:eastAsia="Times New Roman" w:hAnsi="Times New Roman" w:cs="Times New Roman"/>
          <w:kern w:val="0"/>
          <w:lang w:eastAsia="en-GB"/>
          <w14:ligatures w14:val="none"/>
        </w:rPr>
        <w:t xml:space="preserve">. Revised </w:t>
      </w:r>
      <w:proofErr w:type="spellStart"/>
      <w:r w:rsidRPr="00D8379B">
        <w:rPr>
          <w:rFonts w:ascii="Times New Roman" w:eastAsia="Times New Roman" w:hAnsi="Times New Roman" w:cs="Times New Roman"/>
          <w:kern w:val="0"/>
          <w:lang w:eastAsia="en-GB"/>
          <w14:ligatures w14:val="none"/>
        </w:rPr>
        <w:t>edn</w:t>
      </w:r>
      <w:proofErr w:type="spellEnd"/>
      <w:r w:rsidRPr="00D8379B">
        <w:rPr>
          <w:rFonts w:ascii="Times New Roman" w:eastAsia="Times New Roman" w:hAnsi="Times New Roman" w:cs="Times New Roman"/>
          <w:kern w:val="0"/>
          <w:lang w:eastAsia="en-GB"/>
          <w14:ligatures w14:val="none"/>
        </w:rPr>
        <w:t>. London: Random House.</w:t>
      </w:r>
    </w:p>
    <w:p w14:paraId="79533E5F"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lastRenderedPageBreak/>
        <w:t xml:space="preserve">Taylor, M.J., McNicholas, C., Nicolay, C., Darzi, A., Bell, D. and Reed, J.E. (2014) ‘Systematic review of the application of the plan-do-study-act method to improve quality in healthcare’, </w:t>
      </w:r>
      <w:r w:rsidRPr="00D8379B">
        <w:rPr>
          <w:rFonts w:ascii="Times New Roman" w:eastAsia="Times New Roman" w:hAnsi="Times New Roman" w:cs="Times New Roman"/>
          <w:i/>
          <w:iCs/>
          <w:kern w:val="0"/>
          <w:lang w:eastAsia="en-GB"/>
          <w14:ligatures w14:val="none"/>
        </w:rPr>
        <w:t>BMJ Quality &amp; Safety</w:t>
      </w:r>
      <w:r w:rsidRPr="00D8379B">
        <w:rPr>
          <w:rFonts w:ascii="Times New Roman" w:eastAsia="Times New Roman" w:hAnsi="Times New Roman" w:cs="Times New Roman"/>
          <w:kern w:val="0"/>
          <w:lang w:eastAsia="en-GB"/>
          <w14:ligatures w14:val="none"/>
        </w:rPr>
        <w:t>, 23(4), pp. 290–298.</w:t>
      </w:r>
    </w:p>
    <w:p w14:paraId="098CBAC6" w14:textId="55ADDCEE"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The Guardian (2024a) ‘A superbug, doctor shortages and a neonatal unit out of its depth: failures at Lucy Letby’s hospital revealed’, </w:t>
      </w:r>
      <w:r w:rsidRPr="00D8379B">
        <w:rPr>
          <w:rFonts w:ascii="Times New Roman" w:eastAsia="Times New Roman" w:hAnsi="Times New Roman" w:cs="Times New Roman"/>
          <w:i/>
          <w:iCs/>
          <w:kern w:val="0"/>
          <w:lang w:eastAsia="en-GB"/>
          <w14:ligatures w14:val="none"/>
        </w:rPr>
        <w:t>The Guardian</w:t>
      </w:r>
      <w:r w:rsidRPr="00D8379B">
        <w:rPr>
          <w:rFonts w:ascii="Times New Roman" w:eastAsia="Times New Roman" w:hAnsi="Times New Roman" w:cs="Times New Roman"/>
          <w:kern w:val="0"/>
          <w:lang w:eastAsia="en-GB"/>
          <w14:ligatures w14:val="none"/>
        </w:rPr>
        <w:t xml:space="preserve">, 8 September. Available at: </w:t>
      </w:r>
      <w:hyperlink r:id="rId10" w:tgtFrame="_blank" w:history="1">
        <w:r w:rsidRPr="00D8379B">
          <w:rPr>
            <w:rFonts w:ascii="Times New Roman" w:eastAsia="Times New Roman" w:hAnsi="Times New Roman" w:cs="Times New Roman"/>
            <w:color w:val="0000FF"/>
            <w:kern w:val="0"/>
            <w:u w:val="single"/>
            <w:lang w:eastAsia="en-GB"/>
            <w14:ligatures w14:val="none"/>
          </w:rPr>
          <w:t>https://www.theguardian.com/uk-news/article/2024/sep/08/a-superbug-doctor-shortages-and-a-neonatal-unit-out-of-its-depth-failures-at-lucy-letby-hospital-revealed</w:t>
        </w:r>
      </w:hyperlink>
      <w:r w:rsidRPr="00D8379B">
        <w:rPr>
          <w:rFonts w:ascii="Times New Roman" w:eastAsia="Times New Roman" w:hAnsi="Times New Roman" w:cs="Times New Roman"/>
          <w:kern w:val="0"/>
          <w:lang w:eastAsia="en-GB"/>
          <w14:ligatures w14:val="none"/>
        </w:rPr>
        <w:t xml:space="preserve"> (Accessed: </w:t>
      </w:r>
      <w:r w:rsidR="005A1924">
        <w:rPr>
          <w:rFonts w:ascii="Times New Roman" w:eastAsia="Times New Roman" w:hAnsi="Times New Roman" w:cs="Times New Roman"/>
          <w:kern w:val="0"/>
          <w:lang w:eastAsia="en-GB"/>
          <w14:ligatures w14:val="none"/>
        </w:rPr>
        <w:t xml:space="preserve">15 </w:t>
      </w:r>
      <w:proofErr w:type="spellStart"/>
      <w:r w:rsidR="005A1924">
        <w:rPr>
          <w:rFonts w:ascii="Times New Roman" w:eastAsia="Times New Roman" w:hAnsi="Times New Roman" w:cs="Times New Roman"/>
          <w:kern w:val="0"/>
          <w:lang w:eastAsia="en-GB"/>
          <w14:ligatures w14:val="none"/>
        </w:rPr>
        <w:t>july</w:t>
      </w:r>
      <w:proofErr w:type="spellEnd"/>
      <w:r w:rsidRPr="00D8379B">
        <w:rPr>
          <w:rFonts w:ascii="Times New Roman" w:eastAsia="Times New Roman" w:hAnsi="Times New Roman" w:cs="Times New Roman"/>
          <w:kern w:val="0"/>
          <w:lang w:eastAsia="en-GB"/>
          <w14:ligatures w14:val="none"/>
        </w:rPr>
        <w:t xml:space="preserve"> 2026).</w:t>
      </w:r>
    </w:p>
    <w:p w14:paraId="76E605EF"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The Guardian (2024b) ‘Former chief executive of Letby hospital denies discouraging police inquiry’, </w:t>
      </w:r>
      <w:r w:rsidRPr="00D8379B">
        <w:rPr>
          <w:rFonts w:ascii="Times New Roman" w:eastAsia="Times New Roman" w:hAnsi="Times New Roman" w:cs="Times New Roman"/>
          <w:i/>
          <w:iCs/>
          <w:kern w:val="0"/>
          <w:lang w:eastAsia="en-GB"/>
          <w14:ligatures w14:val="none"/>
        </w:rPr>
        <w:t>The Guardian</w:t>
      </w:r>
      <w:r w:rsidRPr="00D8379B">
        <w:rPr>
          <w:rFonts w:ascii="Times New Roman" w:eastAsia="Times New Roman" w:hAnsi="Times New Roman" w:cs="Times New Roman"/>
          <w:kern w:val="0"/>
          <w:lang w:eastAsia="en-GB"/>
          <w14:ligatures w14:val="none"/>
        </w:rPr>
        <w:t>, 27 November.</w:t>
      </w:r>
    </w:p>
    <w:p w14:paraId="717E9104"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The Guardian (2024c) ‘Hospital bosses failed to report concerns over baby deaths, inquiry hears’, </w:t>
      </w:r>
      <w:r w:rsidRPr="00D8379B">
        <w:rPr>
          <w:rFonts w:ascii="Times New Roman" w:eastAsia="Times New Roman" w:hAnsi="Times New Roman" w:cs="Times New Roman"/>
          <w:i/>
          <w:iCs/>
          <w:kern w:val="0"/>
          <w:lang w:eastAsia="en-GB"/>
          <w14:ligatures w14:val="none"/>
        </w:rPr>
        <w:t>The Guardian</w:t>
      </w:r>
      <w:r w:rsidRPr="00D8379B">
        <w:rPr>
          <w:rFonts w:ascii="Times New Roman" w:eastAsia="Times New Roman" w:hAnsi="Times New Roman" w:cs="Times New Roman"/>
          <w:kern w:val="0"/>
          <w:lang w:eastAsia="en-GB"/>
          <w14:ligatures w14:val="none"/>
        </w:rPr>
        <w:t>, 15 November.</w:t>
      </w:r>
    </w:p>
    <w:p w14:paraId="1F8E3593" w14:textId="77777777"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The King's Fund (2022) </w:t>
      </w:r>
      <w:r w:rsidRPr="00D8379B">
        <w:rPr>
          <w:rFonts w:ascii="Times New Roman" w:eastAsia="Times New Roman" w:hAnsi="Times New Roman" w:cs="Times New Roman"/>
          <w:i/>
          <w:iCs/>
          <w:kern w:val="0"/>
          <w:lang w:eastAsia="en-GB"/>
          <w14:ligatures w14:val="none"/>
        </w:rPr>
        <w:t>Leadership and Patient Safety</w:t>
      </w:r>
      <w:r w:rsidRPr="00D8379B">
        <w:rPr>
          <w:rFonts w:ascii="Times New Roman" w:eastAsia="Times New Roman" w:hAnsi="Times New Roman" w:cs="Times New Roman"/>
          <w:kern w:val="0"/>
          <w:lang w:eastAsia="en-GB"/>
          <w14:ligatures w14:val="none"/>
        </w:rPr>
        <w:t>. London: The King's Fund.</w:t>
      </w:r>
    </w:p>
    <w:p w14:paraId="2DAA0A44" w14:textId="6B2CE60D" w:rsidR="00D8379B" w:rsidRPr="00D8379B" w:rsidRDefault="00D8379B" w:rsidP="00474A7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8379B">
        <w:rPr>
          <w:rFonts w:ascii="Times New Roman" w:eastAsia="Times New Roman" w:hAnsi="Times New Roman" w:cs="Times New Roman"/>
          <w:kern w:val="0"/>
          <w:lang w:eastAsia="en-GB"/>
          <w14:ligatures w14:val="none"/>
        </w:rPr>
        <w:t xml:space="preserve">Thirlwall Inquiry (2024) </w:t>
      </w:r>
      <w:r w:rsidRPr="00D8379B">
        <w:rPr>
          <w:rFonts w:ascii="Times New Roman" w:eastAsia="Times New Roman" w:hAnsi="Times New Roman" w:cs="Times New Roman"/>
          <w:i/>
          <w:iCs/>
          <w:kern w:val="0"/>
          <w:lang w:eastAsia="en-GB"/>
          <w14:ligatures w14:val="none"/>
        </w:rPr>
        <w:t>Public Inquiry into the Events at the Countess of Chester Hospital NHS Foundation Trust</w:t>
      </w:r>
      <w:r w:rsidRPr="00D8379B">
        <w:rPr>
          <w:rFonts w:ascii="Times New Roman" w:eastAsia="Times New Roman" w:hAnsi="Times New Roman" w:cs="Times New Roman"/>
          <w:kern w:val="0"/>
          <w:lang w:eastAsia="en-GB"/>
          <w14:ligatures w14:val="none"/>
        </w:rPr>
        <w:t xml:space="preserve">. London: UK Government. Available at: </w:t>
      </w:r>
      <w:hyperlink r:id="rId11" w:tgtFrame="_blank" w:history="1">
        <w:r w:rsidRPr="00D8379B">
          <w:rPr>
            <w:rFonts w:ascii="Times New Roman" w:eastAsia="Times New Roman" w:hAnsi="Times New Roman" w:cs="Times New Roman"/>
            <w:color w:val="0000FF"/>
            <w:kern w:val="0"/>
            <w:u w:val="single"/>
            <w:lang w:eastAsia="en-GB"/>
            <w14:ligatures w14:val="none"/>
          </w:rPr>
          <w:t>https://thirlwall.public-inquiry.uk/</w:t>
        </w:r>
      </w:hyperlink>
      <w:r w:rsidRPr="00D8379B">
        <w:rPr>
          <w:rFonts w:ascii="Times New Roman" w:eastAsia="Times New Roman" w:hAnsi="Times New Roman" w:cs="Times New Roman"/>
          <w:kern w:val="0"/>
          <w:lang w:eastAsia="en-GB"/>
          <w14:ligatures w14:val="none"/>
        </w:rPr>
        <w:t xml:space="preserve"> (Accessed: </w:t>
      </w:r>
      <w:r w:rsidR="00D11C17">
        <w:rPr>
          <w:rFonts w:ascii="Times New Roman" w:eastAsia="Times New Roman" w:hAnsi="Times New Roman" w:cs="Times New Roman"/>
          <w:kern w:val="0"/>
          <w:lang w:eastAsia="en-GB"/>
          <w14:ligatures w14:val="none"/>
        </w:rPr>
        <w:t>10</w:t>
      </w:r>
      <w:r w:rsidRPr="00D8379B">
        <w:rPr>
          <w:rFonts w:ascii="Times New Roman" w:eastAsia="Times New Roman" w:hAnsi="Times New Roman" w:cs="Times New Roman"/>
          <w:kern w:val="0"/>
          <w:lang w:eastAsia="en-GB"/>
          <w14:ligatures w14:val="none"/>
        </w:rPr>
        <w:t xml:space="preserve"> J</w:t>
      </w:r>
      <w:r w:rsidR="005A1924">
        <w:rPr>
          <w:rFonts w:ascii="Times New Roman" w:eastAsia="Times New Roman" w:hAnsi="Times New Roman" w:cs="Times New Roman"/>
          <w:kern w:val="0"/>
          <w:lang w:eastAsia="en-GB"/>
          <w14:ligatures w14:val="none"/>
        </w:rPr>
        <w:t>uly</w:t>
      </w:r>
      <w:r w:rsidRPr="00D8379B">
        <w:rPr>
          <w:rFonts w:ascii="Times New Roman" w:eastAsia="Times New Roman" w:hAnsi="Times New Roman" w:cs="Times New Roman"/>
          <w:kern w:val="0"/>
          <w:lang w:eastAsia="en-GB"/>
          <w14:ligatures w14:val="none"/>
        </w:rPr>
        <w:t xml:space="preserve"> 2026).</w:t>
      </w:r>
    </w:p>
    <w:p w14:paraId="721E77AC" w14:textId="61FC1227" w:rsidR="000B7038" w:rsidRDefault="000B7038" w:rsidP="00474A7B"/>
    <w:sectPr w:rsidR="000B703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352C0" w14:textId="77777777" w:rsidR="0086404F" w:rsidRDefault="0086404F" w:rsidP="009645E6">
      <w:pPr>
        <w:spacing w:after="0" w:line="240" w:lineRule="auto"/>
      </w:pPr>
      <w:r>
        <w:separator/>
      </w:r>
    </w:p>
  </w:endnote>
  <w:endnote w:type="continuationSeparator" w:id="0">
    <w:p w14:paraId="0075FD18" w14:textId="77777777" w:rsidR="0086404F" w:rsidRDefault="0086404F" w:rsidP="00964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4165"/>
      <w:docPartObj>
        <w:docPartGallery w:val="Page Numbers (Bottom of Page)"/>
        <w:docPartUnique/>
      </w:docPartObj>
    </w:sdtPr>
    <w:sdtContent>
      <w:p w14:paraId="39DDD1CF" w14:textId="1F57A441" w:rsidR="009645E6" w:rsidRDefault="009645E6">
        <w:pPr>
          <w:pStyle w:val="Footer"/>
          <w:jc w:val="right"/>
        </w:pPr>
        <w:r>
          <w:fldChar w:fldCharType="begin"/>
        </w:r>
        <w:r>
          <w:instrText>PAGE   \* MERGEFORMAT</w:instrText>
        </w:r>
        <w:r>
          <w:fldChar w:fldCharType="separate"/>
        </w:r>
        <w:r>
          <w:t>2</w:t>
        </w:r>
        <w:r>
          <w:fldChar w:fldCharType="end"/>
        </w:r>
      </w:p>
    </w:sdtContent>
  </w:sdt>
  <w:p w14:paraId="5DAE6758" w14:textId="77777777" w:rsidR="009645E6" w:rsidRDefault="00964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6CF01" w14:textId="77777777" w:rsidR="0086404F" w:rsidRDefault="0086404F" w:rsidP="009645E6">
      <w:pPr>
        <w:spacing w:after="0" w:line="240" w:lineRule="auto"/>
      </w:pPr>
      <w:r>
        <w:separator/>
      </w:r>
    </w:p>
  </w:footnote>
  <w:footnote w:type="continuationSeparator" w:id="0">
    <w:p w14:paraId="35C3EA9B" w14:textId="77777777" w:rsidR="0086404F" w:rsidRDefault="0086404F" w:rsidP="009645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10B52"/>
    <w:multiLevelType w:val="hybridMultilevel"/>
    <w:tmpl w:val="D932D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E1848"/>
    <w:multiLevelType w:val="multilevel"/>
    <w:tmpl w:val="50820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887499"/>
    <w:multiLevelType w:val="multilevel"/>
    <w:tmpl w:val="D2D01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F10E5A"/>
    <w:multiLevelType w:val="multilevel"/>
    <w:tmpl w:val="AA309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D72D46"/>
    <w:multiLevelType w:val="multilevel"/>
    <w:tmpl w:val="459009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B65AEA"/>
    <w:multiLevelType w:val="multilevel"/>
    <w:tmpl w:val="0734C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743D29"/>
    <w:multiLevelType w:val="multilevel"/>
    <w:tmpl w:val="03F4F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CD3FF2"/>
    <w:multiLevelType w:val="multilevel"/>
    <w:tmpl w:val="F46A2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540DBE"/>
    <w:multiLevelType w:val="multilevel"/>
    <w:tmpl w:val="CC64C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120334"/>
    <w:multiLevelType w:val="multilevel"/>
    <w:tmpl w:val="31FCE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0357E2"/>
    <w:multiLevelType w:val="multilevel"/>
    <w:tmpl w:val="A2A4F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1576009">
    <w:abstractNumId w:val="7"/>
  </w:num>
  <w:num w:numId="2" w16cid:durableId="614407134">
    <w:abstractNumId w:val="4"/>
  </w:num>
  <w:num w:numId="3" w16cid:durableId="35735570">
    <w:abstractNumId w:val="9"/>
  </w:num>
  <w:num w:numId="4" w16cid:durableId="1203789250">
    <w:abstractNumId w:val="6"/>
  </w:num>
  <w:num w:numId="5" w16cid:durableId="1242447246">
    <w:abstractNumId w:val="3"/>
  </w:num>
  <w:num w:numId="6" w16cid:durableId="2065709908">
    <w:abstractNumId w:val="2"/>
  </w:num>
  <w:num w:numId="7" w16cid:durableId="1677806595">
    <w:abstractNumId w:val="5"/>
  </w:num>
  <w:num w:numId="8" w16cid:durableId="1264412962">
    <w:abstractNumId w:val="10"/>
  </w:num>
  <w:num w:numId="9" w16cid:durableId="1328049067">
    <w:abstractNumId w:val="1"/>
  </w:num>
  <w:num w:numId="10" w16cid:durableId="1579903247">
    <w:abstractNumId w:val="8"/>
  </w:num>
  <w:num w:numId="11" w16cid:durableId="1466463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038"/>
    <w:rsid w:val="0001336D"/>
    <w:rsid w:val="0001699B"/>
    <w:rsid w:val="00033C5E"/>
    <w:rsid w:val="000B7038"/>
    <w:rsid w:val="000C40B5"/>
    <w:rsid w:val="001254B0"/>
    <w:rsid w:val="00171FA5"/>
    <w:rsid w:val="001A7A0E"/>
    <w:rsid w:val="001D12D5"/>
    <w:rsid w:val="001F6296"/>
    <w:rsid w:val="00243AF3"/>
    <w:rsid w:val="002823B1"/>
    <w:rsid w:val="002F2C45"/>
    <w:rsid w:val="0031050B"/>
    <w:rsid w:val="003D2A89"/>
    <w:rsid w:val="003E1BFC"/>
    <w:rsid w:val="00474A7B"/>
    <w:rsid w:val="004A1176"/>
    <w:rsid w:val="004D7536"/>
    <w:rsid w:val="00555B0A"/>
    <w:rsid w:val="005A1924"/>
    <w:rsid w:val="005C76D2"/>
    <w:rsid w:val="005E5EA6"/>
    <w:rsid w:val="00602053"/>
    <w:rsid w:val="00633D09"/>
    <w:rsid w:val="00687377"/>
    <w:rsid w:val="00752F94"/>
    <w:rsid w:val="007B7BC8"/>
    <w:rsid w:val="00816542"/>
    <w:rsid w:val="0086404F"/>
    <w:rsid w:val="0088131E"/>
    <w:rsid w:val="009178D6"/>
    <w:rsid w:val="00950B76"/>
    <w:rsid w:val="009645E6"/>
    <w:rsid w:val="00982CB8"/>
    <w:rsid w:val="0099219A"/>
    <w:rsid w:val="009C5768"/>
    <w:rsid w:val="00A01A81"/>
    <w:rsid w:val="00AA134D"/>
    <w:rsid w:val="00B32F11"/>
    <w:rsid w:val="00B755DB"/>
    <w:rsid w:val="00BA464F"/>
    <w:rsid w:val="00BD1797"/>
    <w:rsid w:val="00C0147E"/>
    <w:rsid w:val="00C42E6A"/>
    <w:rsid w:val="00C52001"/>
    <w:rsid w:val="00D11C17"/>
    <w:rsid w:val="00D16615"/>
    <w:rsid w:val="00D8379B"/>
    <w:rsid w:val="00DC441F"/>
    <w:rsid w:val="00DE3548"/>
    <w:rsid w:val="00E879C8"/>
    <w:rsid w:val="00F222CB"/>
    <w:rsid w:val="00F2585C"/>
    <w:rsid w:val="00F37D7E"/>
    <w:rsid w:val="00F82A8C"/>
    <w:rsid w:val="00FB4C0B"/>
    <w:rsid w:val="00FD6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80A3E"/>
  <w15:chartTrackingRefBased/>
  <w15:docId w15:val="{9E832D9F-CDBB-4749-A6E3-F14737395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0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70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70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70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70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70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0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0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0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0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70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70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70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70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70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0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0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038"/>
    <w:rPr>
      <w:rFonts w:eastAsiaTheme="majorEastAsia" w:cstheme="majorBidi"/>
      <w:color w:val="272727" w:themeColor="text1" w:themeTint="D8"/>
    </w:rPr>
  </w:style>
  <w:style w:type="paragraph" w:styleId="Title">
    <w:name w:val="Title"/>
    <w:basedOn w:val="Normal"/>
    <w:next w:val="Normal"/>
    <w:link w:val="TitleChar"/>
    <w:uiPriority w:val="10"/>
    <w:qFormat/>
    <w:rsid w:val="000B70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0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0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0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038"/>
    <w:pPr>
      <w:spacing w:before="160"/>
      <w:jc w:val="center"/>
    </w:pPr>
    <w:rPr>
      <w:i/>
      <w:iCs/>
      <w:color w:val="404040" w:themeColor="text1" w:themeTint="BF"/>
    </w:rPr>
  </w:style>
  <w:style w:type="character" w:customStyle="1" w:styleId="QuoteChar">
    <w:name w:val="Quote Char"/>
    <w:basedOn w:val="DefaultParagraphFont"/>
    <w:link w:val="Quote"/>
    <w:uiPriority w:val="29"/>
    <w:rsid w:val="000B7038"/>
    <w:rPr>
      <w:i/>
      <w:iCs/>
      <w:color w:val="404040" w:themeColor="text1" w:themeTint="BF"/>
    </w:rPr>
  </w:style>
  <w:style w:type="paragraph" w:styleId="ListParagraph">
    <w:name w:val="List Paragraph"/>
    <w:basedOn w:val="Normal"/>
    <w:uiPriority w:val="34"/>
    <w:qFormat/>
    <w:rsid w:val="000B7038"/>
    <w:pPr>
      <w:ind w:left="720"/>
      <w:contextualSpacing/>
    </w:pPr>
  </w:style>
  <w:style w:type="character" w:styleId="IntenseEmphasis">
    <w:name w:val="Intense Emphasis"/>
    <w:basedOn w:val="DefaultParagraphFont"/>
    <w:uiPriority w:val="21"/>
    <w:qFormat/>
    <w:rsid w:val="000B7038"/>
    <w:rPr>
      <w:i/>
      <w:iCs/>
      <w:color w:val="0F4761" w:themeColor="accent1" w:themeShade="BF"/>
    </w:rPr>
  </w:style>
  <w:style w:type="paragraph" w:styleId="IntenseQuote">
    <w:name w:val="Intense Quote"/>
    <w:basedOn w:val="Normal"/>
    <w:next w:val="Normal"/>
    <w:link w:val="IntenseQuoteChar"/>
    <w:uiPriority w:val="30"/>
    <w:qFormat/>
    <w:rsid w:val="000B70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7038"/>
    <w:rPr>
      <w:i/>
      <w:iCs/>
      <w:color w:val="0F4761" w:themeColor="accent1" w:themeShade="BF"/>
    </w:rPr>
  </w:style>
  <w:style w:type="character" w:styleId="IntenseReference">
    <w:name w:val="Intense Reference"/>
    <w:basedOn w:val="DefaultParagraphFont"/>
    <w:uiPriority w:val="32"/>
    <w:qFormat/>
    <w:rsid w:val="000B7038"/>
    <w:rPr>
      <w:b/>
      <w:bCs/>
      <w:smallCaps/>
      <w:color w:val="0F4761" w:themeColor="accent1" w:themeShade="BF"/>
      <w:spacing w:val="5"/>
    </w:rPr>
  </w:style>
  <w:style w:type="table" w:styleId="TableGrid">
    <w:name w:val="Table Grid"/>
    <w:basedOn w:val="TableNormal"/>
    <w:uiPriority w:val="39"/>
    <w:rsid w:val="001F62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755D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755DB"/>
    <w:pPr>
      <w:spacing w:after="100"/>
    </w:pPr>
  </w:style>
  <w:style w:type="paragraph" w:styleId="TOC2">
    <w:name w:val="toc 2"/>
    <w:basedOn w:val="Normal"/>
    <w:next w:val="Normal"/>
    <w:autoRedefine/>
    <w:uiPriority w:val="39"/>
    <w:unhideWhenUsed/>
    <w:rsid w:val="00B755DB"/>
    <w:pPr>
      <w:spacing w:after="100"/>
      <w:ind w:left="240"/>
    </w:pPr>
  </w:style>
  <w:style w:type="paragraph" w:styleId="TOC3">
    <w:name w:val="toc 3"/>
    <w:basedOn w:val="Normal"/>
    <w:next w:val="Normal"/>
    <w:autoRedefine/>
    <w:uiPriority w:val="39"/>
    <w:unhideWhenUsed/>
    <w:rsid w:val="00B755DB"/>
    <w:pPr>
      <w:spacing w:after="100"/>
      <w:ind w:left="480"/>
    </w:pPr>
  </w:style>
  <w:style w:type="character" w:styleId="Hyperlink">
    <w:name w:val="Hyperlink"/>
    <w:basedOn w:val="DefaultParagraphFont"/>
    <w:uiPriority w:val="99"/>
    <w:unhideWhenUsed/>
    <w:rsid w:val="00B755DB"/>
    <w:rPr>
      <w:color w:val="467886" w:themeColor="hyperlink"/>
      <w:u w:val="single"/>
    </w:rPr>
  </w:style>
  <w:style w:type="paragraph" w:styleId="Header">
    <w:name w:val="header"/>
    <w:basedOn w:val="Normal"/>
    <w:link w:val="HeaderChar"/>
    <w:uiPriority w:val="99"/>
    <w:unhideWhenUsed/>
    <w:rsid w:val="00964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5E6"/>
  </w:style>
  <w:style w:type="paragraph" w:styleId="Footer">
    <w:name w:val="footer"/>
    <w:basedOn w:val="Normal"/>
    <w:link w:val="FooterChar"/>
    <w:uiPriority w:val="99"/>
    <w:unhideWhenUsed/>
    <w:rsid w:val="00964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irlwall.public-inquiry.uk/" TargetMode="External"/><Relationship Id="rId5" Type="http://schemas.openxmlformats.org/officeDocument/2006/relationships/footnotes" Target="footnotes.xml"/><Relationship Id="rId10" Type="http://schemas.openxmlformats.org/officeDocument/2006/relationships/hyperlink" Target="https://www.theguardian.com/uk-news/article/2024/sep/08/a-superbug-doctor-shortages-and-a-neonatal-unit-out-of-its-depth-failures-at-lucy-letby-hospital-revealed" TargetMode="External"/><Relationship Id="rId4" Type="http://schemas.openxmlformats.org/officeDocument/2006/relationships/webSettings" Target="webSettings.xml"/><Relationship Id="rId9" Type="http://schemas.openxmlformats.org/officeDocument/2006/relationships/hyperlink" Target="https://www.bbc.co.uk/news/uk-england-merseyside-6616051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1687</TotalTime>
  <Pages>18</Pages>
  <Words>4881</Words>
  <Characters>27825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53</cp:revision>
  <dcterms:created xsi:type="dcterms:W3CDTF">2026-07-15T09:27:00Z</dcterms:created>
  <dcterms:modified xsi:type="dcterms:W3CDTF">2026-07-26T11:04:00Z</dcterms:modified>
</cp:coreProperties>
</file>