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default"/>
          <w:b/>
          <w:bCs/>
          <w:sz w:val="24"/>
          <w:szCs w:val="32"/>
          <w:lang w:val="en-US" w:eastAsia="zh-CN"/>
        </w:rPr>
      </w:pPr>
      <w:r>
        <w:rPr>
          <w:rFonts w:hint="default"/>
          <w:b w:val="0"/>
          <w:bCs w:val="0"/>
          <w:sz w:val="24"/>
          <w:szCs w:val="32"/>
          <w:lang w:val="en-US" w:eastAsia="zh-CN"/>
        </w:rPr>
        <w:t xml:space="preserve">2318942  Zihang Ye  </w:t>
      </w:r>
      <w:bookmarkStart w:id="0" w:name="_GoBack"/>
      <w:bookmarkEnd w:id="0"/>
    </w:p>
    <w:p>
      <w:pPr>
        <w:jc w:val="center"/>
        <w:rPr>
          <w:rFonts w:hint="eastAsia"/>
          <w:b/>
          <w:bCs/>
          <w:sz w:val="28"/>
          <w:szCs w:val="36"/>
          <w:lang w:val="en-US" w:eastAsia="zh-CN"/>
        </w:rPr>
      </w:pPr>
    </w:p>
    <w:p>
      <w:pPr>
        <w:jc w:val="center"/>
        <w:rPr>
          <w:rFonts w:hint="eastAsia"/>
          <w:b/>
          <w:bCs/>
          <w:sz w:val="28"/>
          <w:szCs w:val="36"/>
          <w:lang w:val="en-US" w:eastAsia="zh-CN"/>
        </w:rPr>
      </w:pPr>
      <w:r>
        <w:rPr>
          <w:rFonts w:hint="eastAsia"/>
          <w:b/>
          <w:bCs/>
          <w:sz w:val="28"/>
          <w:szCs w:val="36"/>
          <w:lang w:val="en-US" w:eastAsia="zh-CN"/>
        </w:rPr>
        <w:t>Resonance analysis of dream core images based on Generation Z</w:t>
      </w:r>
    </w:p>
    <w:p>
      <w:pPr>
        <w:ind w:firstLine="560" w:firstLineChars="200"/>
        <w:rPr>
          <w:rFonts w:hint="eastAsia"/>
          <w:sz w:val="28"/>
          <w:szCs w:val="36"/>
          <w:lang w:val="en-US" w:eastAsia="zh-CN"/>
        </w:rPr>
      </w:pPr>
    </w:p>
    <w:p>
      <w:pPr>
        <w:ind w:firstLine="560" w:firstLineChars="200"/>
        <w:rPr>
          <w:rFonts w:hint="eastAsia"/>
          <w:sz w:val="28"/>
          <w:szCs w:val="36"/>
          <w:lang w:val="en-US" w:eastAsia="zh-CN"/>
        </w:rPr>
      </w:pPr>
      <w:r>
        <w:rPr>
          <w:rFonts w:hint="eastAsia"/>
          <w:sz w:val="28"/>
          <w:szCs w:val="36"/>
          <w:lang w:val="en-US" w:eastAsia="zh-CN"/>
        </w:rPr>
        <w:t>The topic of Dreamcore images originated from an image posted on April 21, 2018. At that time, an anonymous user posted a picture on the 4chan community to collect images that made people feel "uncomfortable", and the comment area under the post caused a stir  attracted community attention. This phenomenon and attention began in mainland China around 2022. Now, this term has become an emerging subculture that uses videos or pictures of familiar scenes to arouse nostalgic resonance among viewers. This new phenomenon can resonate widely among the contemporary young group - Generation Z (Sladek, S., &amp; Grabinger, A. 2014).</w:t>
      </w:r>
    </w:p>
    <w:p>
      <w:pPr>
        <w:ind w:firstLine="560" w:firstLineChars="200"/>
        <w:rPr>
          <w:rFonts w:hint="eastAsia"/>
          <w:sz w:val="28"/>
          <w:szCs w:val="36"/>
          <w:lang w:val="en-US" w:eastAsia="zh-CN"/>
        </w:rPr>
      </w:pPr>
    </w:p>
    <w:p>
      <w:pPr>
        <w:ind w:firstLine="560" w:firstLineChars="200"/>
        <w:rPr>
          <w:rFonts w:hint="default"/>
          <w:sz w:val="28"/>
          <w:szCs w:val="36"/>
          <w:lang w:val="en-US" w:eastAsia="zh-CN"/>
        </w:rPr>
      </w:pPr>
      <w:r>
        <w:rPr>
          <w:rFonts w:hint="eastAsia"/>
          <w:sz w:val="28"/>
          <w:szCs w:val="36"/>
          <w:lang w:val="en-US" w:eastAsia="zh-CN"/>
        </w:rPr>
        <w:t xml:space="preserve">The reason for this phenomenon is that Generation Z generally grew up in an era of rapid economic development. In this era, most families can enjoy the dividends of economic development, increase their family income, and have a sense of identity with their growth experiences and memories. At the same time, due to economic growth, education levels have generally increased, which has improved young people’s understanding and thinking level of the world. When faced with the current economic downturn, a sense of fragmentation has arisen ( </w:t>
      </w:r>
      <w:r>
        <w:rPr>
          <w:rFonts w:hint="default"/>
          <w:sz w:val="28"/>
          <w:szCs w:val="36"/>
          <w:lang w:val="en-US"/>
        </w:rPr>
        <w:t xml:space="preserve">Novkovska, B., &amp; Serafimovic, G. 2018 </w:t>
      </w:r>
      <w:r>
        <w:rPr>
          <w:rFonts w:hint="eastAsia"/>
          <w:sz w:val="28"/>
          <w:szCs w:val="36"/>
          <w:lang w:val="en-US" w:eastAsia="zh-CN"/>
        </w:rPr>
        <w:t>), further strengthening the sense of identification with the past period. This sense of identification has produced nostalgia for the rapid economic growth in the past, which is concretely reflected in the popularity of retro and nostalgic aesthetics. This kind of popularity becomes a subculture that reacts on society and will have an impact on aesthetics and innovation. It is specifically reflected in the fields of popular elements, clothing design, graphic design, etc. At the same time, it has an impact on social interaction and culture. Through this common topic, it condenses into a circle and derives the possibility of some new trends of thought.</w:t>
      </w:r>
    </w:p>
    <w:p>
      <w:pPr>
        <w:rPr>
          <w:rFonts w:hint="default"/>
          <w:sz w:val="28"/>
          <w:szCs w:val="36"/>
          <w:lang w:val="en-US"/>
        </w:rPr>
      </w:pPr>
    </w:p>
    <w:p>
      <w:pPr>
        <w:ind w:firstLine="560" w:firstLineChars="200"/>
        <w:rPr>
          <w:rFonts w:hint="eastAsia"/>
          <w:sz w:val="28"/>
          <w:szCs w:val="36"/>
          <w:lang w:val="en-US" w:eastAsia="zh-CN"/>
        </w:rPr>
      </w:pPr>
      <w:r>
        <w:rPr>
          <w:rFonts w:hint="eastAsia"/>
          <w:sz w:val="28"/>
          <w:szCs w:val="36"/>
          <w:lang w:val="en-US" w:eastAsia="zh-CN"/>
        </w:rPr>
        <w:t>This article will use the methodology of phenomenology (Edmund Husserl. 1901) to conduct research and prove the resonance of dream core images through investigation. Next, we will analyze and explain the causes of the phenomenon through phenomenological methods. Human cognition is determined by consciousness. , emotions, and environment, some of the causes of the dream core phenomenon are explained in the referenced article (Wu, H. 2022).</w:t>
      </w:r>
    </w:p>
    <w:p>
      <w:pPr>
        <w:ind w:firstLine="560" w:firstLineChars="200"/>
        <w:rPr>
          <w:rFonts w:hint="eastAsia"/>
          <w:sz w:val="28"/>
          <w:szCs w:val="36"/>
          <w:lang w:val="en-US" w:eastAsia="zh-CN"/>
        </w:rPr>
      </w:pPr>
      <w:r>
        <w:rPr>
          <w:rFonts w:hint="eastAsia"/>
          <w:sz w:val="28"/>
          <w:szCs w:val="36"/>
          <w:lang w:val="en-US" w:eastAsia="zh-CN"/>
        </w:rPr>
        <w:t xml:space="preserve">This kind of cognition is related to the economic environment, and there is a relationship between nostalgia and consumption. Consumption is a manifestation of the economic environment and can prove the changes in the economic environment ( </w:t>
      </w:r>
      <w:r>
        <w:rPr>
          <w:rFonts w:hint="default"/>
          <w:sz w:val="28"/>
          <w:szCs w:val="36"/>
          <w:lang w:val="en-US"/>
        </w:rPr>
        <w:t xml:space="preserve">Rousseau, G., &amp; Venter, D. 1999 </w:t>
      </w:r>
      <w:r>
        <w:rPr>
          <w:rFonts w:hint="eastAsia"/>
          <w:sz w:val="28"/>
          <w:szCs w:val="36"/>
          <w:lang w:val="en-US" w:eastAsia="zh-CN"/>
        </w:rPr>
        <w:t>).</w:t>
      </w:r>
    </w:p>
    <w:p>
      <w:pPr>
        <w:ind w:firstLine="560" w:firstLineChars="200"/>
        <w:rPr>
          <w:rFonts w:hint="default"/>
          <w:sz w:val="28"/>
          <w:szCs w:val="36"/>
          <w:lang w:val="en-US" w:eastAsia="zh-CN"/>
        </w:rPr>
      </w:pPr>
      <w:r>
        <w:rPr>
          <w:rFonts w:hint="eastAsia"/>
          <w:sz w:val="28"/>
          <w:szCs w:val="36"/>
          <w:lang w:val="en-US" w:eastAsia="zh-CN"/>
        </w:rPr>
        <w:t xml:space="preserve">The impact of this dreamcore image on society is first of all the impact of nostalgia and retro on the market. Consumers’ aesthetic choices for consumption indirectly affect the changes in design style in the market ( </w:t>
      </w:r>
      <w:r>
        <w:rPr>
          <w:rFonts w:hint="default"/>
          <w:sz w:val="28"/>
          <w:szCs w:val="36"/>
          <w:lang w:val="en-US"/>
        </w:rPr>
        <w:t xml:space="preserve">Gajanova, L., &amp; Zdenka, V. 2020 </w:t>
      </w:r>
      <w:r>
        <w:rPr>
          <w:rFonts w:hint="eastAsia"/>
          <w:sz w:val="28"/>
          <w:szCs w:val="36"/>
          <w:lang w:val="en-US" w:eastAsia="zh-CN"/>
        </w:rPr>
        <w:t>).</w:t>
      </w:r>
    </w:p>
    <w:p>
      <w:pPr>
        <w:ind w:firstLine="560" w:firstLineChars="200"/>
        <w:rPr>
          <w:rFonts w:hint="eastAsia"/>
          <w:sz w:val="28"/>
          <w:szCs w:val="36"/>
          <w:lang w:val="en-US" w:eastAsia="zh-CN"/>
        </w:rPr>
      </w:pPr>
      <w:r>
        <w:rPr>
          <w:rFonts w:hint="eastAsia"/>
          <w:sz w:val="28"/>
          <w:szCs w:val="36"/>
          <w:lang w:val="en-US" w:eastAsia="zh-CN"/>
        </w:rPr>
        <w:t>Aesthetic impact: Dreamcore images may have a strong aesthetic appeal to a subset of viewers, particularly those who enjoy psychedelic, surrealist styles. This influence may be reflected in visual arts, design, fashion, etc.</w:t>
      </w:r>
    </w:p>
    <w:p>
      <w:pPr>
        <w:ind w:firstLine="560" w:firstLineChars="200"/>
        <w:rPr>
          <w:rFonts w:hint="eastAsia"/>
          <w:sz w:val="28"/>
          <w:szCs w:val="36"/>
          <w:lang w:val="en-US" w:eastAsia="zh-CN"/>
        </w:rPr>
      </w:pPr>
      <w:r>
        <w:rPr>
          <w:rFonts w:hint="eastAsia"/>
          <w:sz w:val="28"/>
          <w:szCs w:val="36"/>
          <w:lang w:val="en-US" w:eastAsia="zh-CN"/>
        </w:rPr>
        <w:t>Emotional and emotional impact: Dreamcore images often have a dreamy, surreal atmosphere, which may trigger deep emotional resonance in the audience or stimulate their imagination and creativity.</w:t>
      </w:r>
    </w:p>
    <w:p>
      <w:pPr>
        <w:ind w:firstLine="560" w:firstLineChars="200"/>
        <w:rPr>
          <w:rFonts w:hint="eastAsia"/>
          <w:sz w:val="28"/>
          <w:szCs w:val="36"/>
          <w:lang w:val="en-US" w:eastAsia="zh-CN"/>
        </w:rPr>
      </w:pPr>
      <w:r>
        <w:rPr>
          <w:rFonts w:hint="eastAsia"/>
          <w:sz w:val="28"/>
          <w:szCs w:val="36"/>
          <w:lang w:val="en-US" w:eastAsia="zh-CN"/>
        </w:rPr>
        <w:t>Social influence: Dreamcore images may serve as a carrier of social media or subculture, forming a space for sharing and communication in some communities. This effect may have facilitated connections and interactions between social groups.</w:t>
      </w:r>
    </w:p>
    <w:p>
      <w:pPr>
        <w:ind w:firstLine="560" w:firstLineChars="200"/>
        <w:rPr>
          <w:rFonts w:hint="default"/>
          <w:sz w:val="28"/>
          <w:szCs w:val="36"/>
          <w:lang w:val="en-US" w:eastAsia="zh-CN"/>
        </w:rPr>
      </w:pPr>
      <w:r>
        <w:rPr>
          <w:rFonts w:hint="eastAsia"/>
          <w:sz w:val="28"/>
          <w:szCs w:val="36"/>
          <w:lang w:val="en-US" w:eastAsia="zh-CN"/>
        </w:rPr>
        <w:t>Cultural influence: Dreamcore images may have shaped the aesthetic tastes and values of a specific group or subculture to a certain extent. It may have become a cultural symbol or symbol, affecting the aesthetic concepts and cultural identity of the younger generation.</w:t>
      </w:r>
    </w:p>
    <w:p>
      <w:pPr>
        <w:rPr>
          <w:rFonts w:hint="default"/>
          <w:sz w:val="28"/>
          <w:szCs w:val="36"/>
          <w:lang w:val="en-US"/>
        </w:rPr>
      </w:pPr>
    </w:p>
    <w:p>
      <w:pPr>
        <w:ind w:firstLine="560" w:firstLineChars="200"/>
        <w:rPr>
          <w:rFonts w:hint="default" w:eastAsiaTheme="minorEastAsia"/>
          <w:sz w:val="28"/>
          <w:szCs w:val="36"/>
          <w:lang w:val="en-US" w:eastAsia="zh-CN"/>
        </w:rPr>
      </w:pPr>
      <w:r>
        <w:rPr>
          <w:rFonts w:hint="eastAsia"/>
          <w:sz w:val="28"/>
          <w:szCs w:val="36"/>
          <w:lang w:val="en-US" w:eastAsia="zh-CN"/>
        </w:rPr>
        <w:t xml:space="preserve">At the same time, this Phenomenology also has a certain degree of </w:t>
      </w:r>
      <w:r>
        <w:rPr>
          <w:rFonts w:hint="default"/>
          <w:sz w:val="28"/>
          <w:szCs w:val="36"/>
          <w:lang w:val="en-US"/>
        </w:rPr>
        <w:t xml:space="preserve">Limitation </w:t>
      </w:r>
      <w:r>
        <w:rPr>
          <w:rFonts w:hint="eastAsia"/>
          <w:sz w:val="28"/>
          <w:szCs w:val="36"/>
          <w:lang w:val="en-US" w:eastAsia="zh-CN"/>
        </w:rPr>
        <w:t xml:space="preserve">. It </w:t>
      </w:r>
      <w:r>
        <w:rPr>
          <w:rFonts w:hint="default"/>
          <w:sz w:val="28"/>
          <w:szCs w:val="36"/>
          <w:lang w:val="en-US"/>
        </w:rPr>
        <w:t xml:space="preserve">emphasizes the role and significance of the subject in experience, which may lead to overemphasis on individual subjectivity and neglect of the existence and influence of the objective world. This may limit the understanding and interpretation of objective reality. </w:t>
      </w:r>
      <w:r>
        <w:rPr>
          <w:rFonts w:hint="eastAsia"/>
          <w:sz w:val="28"/>
          <w:szCs w:val="36"/>
          <w:lang w:val="en-US" w:eastAsia="zh-CN"/>
        </w:rPr>
        <w:t>Research needs to be conducted in conjunction with other methodologies.</w:t>
      </w:r>
    </w:p>
    <w:p>
      <w:pPr>
        <w:rPr>
          <w:rFonts w:hint="default"/>
          <w:sz w:val="28"/>
          <w:szCs w:val="36"/>
          <w:lang w:val="en-US"/>
        </w:rPr>
      </w:pPr>
    </w:p>
    <w:p>
      <w:pPr>
        <w:ind w:firstLine="560" w:firstLineChars="200"/>
        <w:rPr>
          <w:rFonts w:hint="default" w:eastAsiaTheme="minorEastAsia"/>
          <w:sz w:val="28"/>
          <w:szCs w:val="36"/>
          <w:lang w:val="en-US" w:eastAsia="zh-CN"/>
        </w:rPr>
      </w:pPr>
      <w:r>
        <w:rPr>
          <w:rFonts w:hint="eastAsia"/>
          <w:sz w:val="28"/>
          <w:szCs w:val="36"/>
          <w:lang w:val="en-US" w:eastAsia="zh-CN"/>
        </w:rPr>
        <w:t>This article conducts research through phenomenological methodology. This methodology provides guidance for the next step of research methods, and explains the phenomenon through actual investigation, data collection, data induction, and data analysis.</w:t>
      </w:r>
    </w:p>
    <w:p>
      <w:pPr>
        <w:rPr>
          <w:rFonts w:hint="default"/>
          <w:sz w:val="28"/>
          <w:szCs w:val="36"/>
          <w:lang w:val="en-US"/>
        </w:rPr>
      </w:pPr>
    </w:p>
    <w:p>
      <w:pPr>
        <w:ind w:firstLine="560" w:firstLineChars="200"/>
        <w:rPr>
          <w:rFonts w:hint="eastAsia"/>
          <w:sz w:val="28"/>
          <w:szCs w:val="36"/>
          <w:lang w:val="en-US" w:eastAsia="zh-CN"/>
        </w:rPr>
      </w:pPr>
      <w:r>
        <w:rPr>
          <w:rFonts w:hint="eastAsia"/>
          <w:sz w:val="28"/>
          <w:szCs w:val="36"/>
          <w:lang w:val="en-US" w:eastAsia="zh-CN"/>
        </w:rPr>
        <w:t xml:space="preserve">In terms of research methods, this article chose Fieldwork to interview the target population through questionnaires to collect their experiences, memories, growth environment, and views on today, etc. Then analyze and summarize the collected data. First of all, it is necessary to explain the necessity of Fieldwork in a research ( </w:t>
      </w:r>
      <w:r>
        <w:rPr>
          <w:rFonts w:hint="default"/>
          <w:sz w:val="28"/>
          <w:szCs w:val="36"/>
          <w:lang w:val="en-US"/>
        </w:rPr>
        <w:t xml:space="preserve">Atkinson, P. 2006 </w:t>
      </w:r>
      <w:r>
        <w:rPr>
          <w:rFonts w:hint="eastAsia"/>
          <w:sz w:val="28"/>
          <w:szCs w:val="36"/>
          <w:lang w:val="en-US" w:eastAsia="zh-CN"/>
        </w:rPr>
        <w:t xml:space="preserve">). Secondly, for the questionnaire design, it is necessary to follow certain principles for reasonable question arrangements and rules ( </w:t>
      </w:r>
      <w:r>
        <w:rPr>
          <w:rFonts w:hint="default" w:eastAsiaTheme="minorEastAsia"/>
          <w:sz w:val="28"/>
          <w:szCs w:val="36"/>
          <w:lang w:val="en-US" w:eastAsia="zh-CN"/>
        </w:rPr>
        <w:t xml:space="preserve">Roopa, S., &amp; Rani, MS 2012 </w:t>
      </w:r>
      <w:r>
        <w:rPr>
          <w:rFonts w:hint="eastAsia"/>
          <w:sz w:val="28"/>
          <w:szCs w:val="36"/>
          <w:lang w:val="en-US" w:eastAsia="zh-CN"/>
        </w:rPr>
        <w:t xml:space="preserve">), obtain the required data by designing a questionnaire survey, and prove the necessity of this step through the results. At the same time, field research is also objective ( </w:t>
      </w:r>
      <w:r>
        <w:rPr>
          <w:rFonts w:hint="default"/>
          <w:sz w:val="28"/>
          <w:szCs w:val="36"/>
          <w:lang w:val="en-US"/>
        </w:rPr>
        <w:t xml:space="preserve">Kiesler, S., &amp; Sproull, LS 1986 </w:t>
      </w:r>
      <w:r>
        <w:rPr>
          <w:rFonts w:hint="eastAsia"/>
          <w:sz w:val="28"/>
          <w:szCs w:val="36"/>
          <w:lang w:val="en-US" w:eastAsia="zh-CN"/>
        </w:rPr>
        <w:t>) and can provide effective data support for applications in research.</w:t>
      </w:r>
    </w:p>
    <w:p>
      <w:pPr>
        <w:ind w:firstLine="560" w:firstLineChars="200"/>
        <w:rPr>
          <w:rFonts w:hint="eastAsia"/>
          <w:sz w:val="28"/>
          <w:szCs w:val="36"/>
          <w:lang w:val="en-US" w:eastAsia="zh-CN"/>
        </w:rPr>
      </w:pPr>
      <w:r>
        <w:rPr>
          <w:rFonts w:hint="eastAsia"/>
          <w:sz w:val="28"/>
          <w:szCs w:val="36"/>
          <w:lang w:val="en-US" w:eastAsia="zh-CN"/>
        </w:rPr>
        <w:t>Of course, Fieldwork also has certain limitations. Fieldwork is usually conducted at a specific time and place. At the same time, fieldwork has the bias of a specific group, and a specific range of groups has its specific values, so the data obtained may not be broad representativeness. Researchers may only be able to study a small portion of a local group or community, rather than being representative of the entire population or culture.</w:t>
      </w:r>
    </w:p>
    <w:p>
      <w:pPr>
        <w:ind w:firstLine="560" w:firstLineChars="200"/>
        <w:rPr>
          <w:rFonts w:hint="default"/>
          <w:sz w:val="28"/>
          <w:szCs w:val="36"/>
          <w:lang w:val="en-US" w:eastAsia="zh-CN"/>
        </w:rPr>
      </w:pPr>
      <w:r>
        <w:rPr>
          <w:rFonts w:hint="eastAsia"/>
          <w:sz w:val="28"/>
          <w:szCs w:val="36"/>
          <w:lang w:val="en-US" w:eastAsia="zh-CN"/>
        </w:rPr>
        <w:t>Also, this study has limitations. In the process of dissemination of Dreamcore images, it mainly adopted information data from Internet users, ignoring some groups that are difficult to access the Internet. There may also be resonance phenomena among these groups, but this is excluded outside of this study.</w:t>
      </w:r>
    </w:p>
    <w:p>
      <w:pPr>
        <w:ind w:firstLine="560" w:firstLineChars="200"/>
        <w:rPr>
          <w:rFonts w:hint="default"/>
          <w:sz w:val="28"/>
          <w:szCs w:val="36"/>
          <w:lang w:val="en-US" w:eastAsia="zh-CN"/>
        </w:rPr>
      </w:pPr>
    </w:p>
    <w:p>
      <w:pPr>
        <w:rPr>
          <w:rFonts w:hint="default"/>
          <w:sz w:val="28"/>
          <w:szCs w:val="36"/>
          <w:lang w:val="en-US"/>
        </w:rPr>
      </w:pPr>
    </w:p>
    <w:p>
      <w:pPr>
        <w:rPr>
          <w:rFonts w:hint="eastAsia"/>
          <w:sz w:val="28"/>
          <w:szCs w:val="36"/>
          <w:lang w:val="en-US" w:eastAsia="zh-CN"/>
        </w:rPr>
      </w:pPr>
      <w:r>
        <w:rPr>
          <w:rFonts w:hint="eastAsia"/>
          <w:sz w:val="28"/>
          <w:szCs w:val="36"/>
          <w:lang w:val="en-US" w:eastAsia="zh-CN"/>
        </w:rPr>
        <w:t>Reference</w:t>
      </w:r>
    </w:p>
    <w:p>
      <w:pPr>
        <w:rPr>
          <w:rFonts w:hint="default"/>
          <w:sz w:val="28"/>
          <w:szCs w:val="36"/>
          <w:lang w:val="en-US"/>
        </w:rPr>
      </w:pPr>
      <w:r>
        <w:rPr>
          <w:rFonts w:hint="eastAsia"/>
          <w:sz w:val="28"/>
          <w:szCs w:val="36"/>
          <w:lang w:val="en-US" w:eastAsia="zh-CN"/>
        </w:rPr>
        <w:t xml:space="preserve">[1] </w:t>
      </w:r>
      <w:r>
        <w:rPr>
          <w:rFonts w:hint="default"/>
          <w:sz w:val="28"/>
          <w:szCs w:val="36"/>
          <w:lang w:val="en-US"/>
        </w:rPr>
        <w:t>Wu, H. (2022) 'Lost items and exposed shame – dreamcore's inheritance and transcendence of liminal space and defamiliarization', Journal for Cultural Research, 26(2), pp. 153–165. doi: 10.1080/14797585.2022. 2097013.</w:t>
      </w:r>
    </w:p>
    <w:p>
      <w:pPr>
        <w:rPr>
          <w:rFonts w:hint="default"/>
          <w:sz w:val="28"/>
          <w:szCs w:val="36"/>
          <w:lang w:val="en-US"/>
        </w:rPr>
      </w:pPr>
      <w:r>
        <w:rPr>
          <w:rFonts w:hint="eastAsia"/>
          <w:sz w:val="28"/>
          <w:szCs w:val="36"/>
          <w:lang w:val="en-US" w:eastAsia="zh-CN"/>
        </w:rPr>
        <w:t xml:space="preserve">[2] </w:t>
      </w:r>
      <w:r>
        <w:rPr>
          <w:rFonts w:hint="default"/>
          <w:sz w:val="28"/>
          <w:szCs w:val="36"/>
          <w:lang w:val="en-US"/>
        </w:rPr>
        <w:t>Rousseau, G., &amp; Venter, D. (1999). The influence of nostalgia on consumer preference. SA Journal of Industrial Psychology, 25(1), 36-42. doi:https://doi.org/10.4102/sajip.v25i1.669</w:t>
      </w:r>
    </w:p>
    <w:p>
      <w:pPr>
        <w:rPr>
          <w:rFonts w:hint="default"/>
          <w:sz w:val="28"/>
          <w:szCs w:val="36"/>
          <w:lang w:val="en-US"/>
        </w:rPr>
      </w:pPr>
      <w:r>
        <w:rPr>
          <w:rFonts w:hint="eastAsia"/>
          <w:sz w:val="28"/>
          <w:szCs w:val="36"/>
          <w:lang w:val="en-US" w:eastAsia="zh-CN"/>
        </w:rPr>
        <w:t xml:space="preserve">[3] </w:t>
      </w:r>
      <w:r>
        <w:rPr>
          <w:rFonts w:hint="default"/>
          <w:sz w:val="28"/>
          <w:szCs w:val="36"/>
          <w:lang w:val="en-US"/>
        </w:rPr>
        <w:t>Gajanova, L., &amp; Zdenka, V. (2020). RETRO MARKETING – A PHENOMENON OF MODERN TIMES. Technology Transfer: Innovative Solutions in Social Sciences and Humanities, 42-44. https://doi.org/10.21303/2613-5647.2020.001299</w:t>
      </w:r>
    </w:p>
    <w:p>
      <w:pPr>
        <w:rPr>
          <w:rFonts w:hint="default"/>
          <w:sz w:val="28"/>
          <w:szCs w:val="36"/>
          <w:lang w:val="en-US"/>
        </w:rPr>
      </w:pPr>
      <w:r>
        <w:rPr>
          <w:rFonts w:hint="eastAsia"/>
          <w:sz w:val="28"/>
          <w:szCs w:val="36"/>
          <w:lang w:val="en-US" w:eastAsia="zh-CN"/>
        </w:rPr>
        <w:t xml:space="preserve">[4] </w:t>
      </w:r>
      <w:r>
        <w:rPr>
          <w:rFonts w:hint="default"/>
          <w:sz w:val="28"/>
          <w:szCs w:val="36"/>
          <w:lang w:val="en-US"/>
        </w:rPr>
        <w:t xml:space="preserve">Atkinson, P. (2006). Why do Fieldwork? Sociologisk Forskning, 43(2), 128–134. </w:t>
      </w:r>
      <w:r>
        <w:rPr>
          <w:rFonts w:hint="default"/>
          <w:sz w:val="28"/>
          <w:szCs w:val="36"/>
          <w:lang w:val="en-US"/>
        </w:rPr>
        <w:fldChar w:fldCharType="begin"/>
      </w:r>
      <w:r>
        <w:rPr>
          <w:rFonts w:hint="default"/>
          <w:sz w:val="28"/>
          <w:szCs w:val="36"/>
          <w:lang w:val="en-US"/>
        </w:rPr>
        <w:instrText xml:space="preserve"> HYPERLINK "http://www.jstor.org/stable/20853481" </w:instrText>
      </w:r>
      <w:r>
        <w:rPr>
          <w:rFonts w:hint="default"/>
          <w:sz w:val="28"/>
          <w:szCs w:val="36"/>
          <w:lang w:val="en-US"/>
        </w:rPr>
        <w:fldChar w:fldCharType="separate"/>
      </w:r>
      <w:r>
        <w:rPr>
          <w:rStyle w:val="4"/>
          <w:rFonts w:hint="default"/>
          <w:sz w:val="28"/>
          <w:szCs w:val="36"/>
          <w:lang w:val="en-US"/>
        </w:rPr>
        <w:t>http://www.jstor.org/stable/20853481</w:t>
      </w:r>
      <w:r>
        <w:rPr>
          <w:rFonts w:hint="default"/>
          <w:sz w:val="28"/>
          <w:szCs w:val="36"/>
          <w:lang w:val="en-US"/>
        </w:rPr>
        <w:fldChar w:fldCharType="end"/>
      </w:r>
    </w:p>
    <w:p>
      <w:pPr>
        <w:rPr>
          <w:rFonts w:hint="default"/>
          <w:sz w:val="28"/>
          <w:szCs w:val="36"/>
          <w:lang w:val="en-US"/>
        </w:rPr>
      </w:pPr>
      <w:r>
        <w:rPr>
          <w:rFonts w:hint="eastAsia"/>
          <w:sz w:val="28"/>
          <w:szCs w:val="36"/>
          <w:lang w:val="en-US" w:eastAsia="zh-CN"/>
        </w:rPr>
        <w:t xml:space="preserve">[5] </w:t>
      </w:r>
      <w:r>
        <w:rPr>
          <w:rFonts w:hint="default" w:eastAsiaTheme="minorEastAsia"/>
          <w:sz w:val="28"/>
          <w:szCs w:val="36"/>
          <w:lang w:val="en-US" w:eastAsia="zh-CN"/>
        </w:rPr>
        <w:t>Roopa, S., &amp; Rani, M. S. (2012). Questionnaire designing for a survey. Journal of Indian Orthodontic Society, 46(4_suppl1), 273-277.</w:t>
      </w:r>
    </w:p>
    <w:p>
      <w:pPr>
        <w:rPr>
          <w:rFonts w:hint="default"/>
          <w:sz w:val="28"/>
          <w:szCs w:val="36"/>
          <w:lang w:val="en-US"/>
        </w:rPr>
      </w:pPr>
      <w:r>
        <w:rPr>
          <w:rFonts w:hint="eastAsia"/>
          <w:sz w:val="28"/>
          <w:szCs w:val="36"/>
          <w:lang w:val="en-US" w:eastAsia="zh-CN"/>
        </w:rPr>
        <w:t xml:space="preserve">[6] </w:t>
      </w:r>
      <w:r>
        <w:rPr>
          <w:rFonts w:hint="default"/>
          <w:sz w:val="28"/>
          <w:szCs w:val="36"/>
          <w:lang w:val="en-US"/>
        </w:rPr>
        <w:t>Kiesler, S., &amp; Sproull, L. S. (1986). Response effects in the electronic survey. Public Opinion Quarterly, 50(3), 402-413.</w:t>
      </w:r>
    </w:p>
    <w:p>
      <w:pPr>
        <w:rPr>
          <w:rFonts w:hint="default"/>
          <w:sz w:val="28"/>
          <w:szCs w:val="36"/>
          <w:lang w:val="en-US"/>
        </w:rPr>
      </w:pPr>
    </w:p>
    <w:p>
      <w:pPr>
        <w:numPr>
          <w:ilvl w:val="0"/>
          <w:numId w:val="1"/>
        </w:numPr>
        <w:rPr>
          <w:rFonts w:hint="default"/>
          <w:sz w:val="28"/>
          <w:szCs w:val="36"/>
          <w:lang w:val="en-US"/>
        </w:rPr>
      </w:pPr>
      <w:r>
        <w:rPr>
          <w:rFonts w:hint="default"/>
          <w:sz w:val="28"/>
          <w:szCs w:val="36"/>
          <w:lang w:val="en-US"/>
        </w:rPr>
        <w:t>Sladek, S., &amp; Grabinger, A. (2014). Gen Z. Introducing the first Generation of the 21st Century Available at.</w:t>
      </w:r>
    </w:p>
    <w:p>
      <w:pPr>
        <w:numPr>
          <w:ilvl w:val="0"/>
          <w:numId w:val="1"/>
        </w:numPr>
        <w:rPr>
          <w:rFonts w:hint="default"/>
          <w:sz w:val="28"/>
          <w:szCs w:val="36"/>
          <w:lang w:val="en-US"/>
        </w:rPr>
      </w:pPr>
      <w:r>
        <w:rPr>
          <w:rFonts w:hint="default"/>
          <w:sz w:val="28"/>
          <w:szCs w:val="36"/>
          <w:lang w:val="en-US"/>
        </w:rPr>
        <w:t>Novkovska, B., &amp; Serafimovic, G. (2018). Recognizing the vulnerability of Generation Z to economic and social risks. UTMS Journal of Economics, 9(1), 29-37.</w:t>
      </w:r>
    </w:p>
    <w:p>
      <w:pPr>
        <w:rPr>
          <w:rFonts w:hint="default"/>
          <w:sz w:val="28"/>
          <w:szCs w:val="36"/>
          <w:lang w:val="en-US"/>
        </w:rPr>
      </w:pPr>
    </w:p>
    <w:p>
      <w:pPr>
        <w:rPr>
          <w:rFonts w:hint="default"/>
          <w:sz w:val="28"/>
          <w:szCs w:val="36"/>
          <w:lang w:val="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CEAB086"/>
    <w:multiLevelType w:val="singleLevel"/>
    <w:tmpl w:val="CCEAB086"/>
    <w:lvl w:ilvl="0" w:tentative="0">
      <w:start w:val="7"/>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A1NGM5MTI5NTJhMzljYmE3MmZmNWRkNDUyOTgzYzkifQ=="/>
  </w:docVars>
  <w:rsids>
    <w:rsidRoot w:val="10D95A96"/>
    <w:rsid w:val="06677185"/>
    <w:rsid w:val="0D6A1423"/>
    <w:rsid w:val="10D95A96"/>
    <w:rsid w:val="11486F8B"/>
    <w:rsid w:val="1A7B5C5F"/>
    <w:rsid w:val="211E130E"/>
    <w:rsid w:val="2C50753C"/>
    <w:rsid w:val="3FEC0411"/>
    <w:rsid w:val="4010062C"/>
    <w:rsid w:val="45F13AE8"/>
    <w:rsid w:val="6C9668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character" w:styleId="4">
    <w:name w:val="Hyperlink"/>
    <w:basedOn w:val="3"/>
    <w:autoRedefine/>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1</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2024-04-14T13:29:00Z</dcterms:created>
  <dc:creator>诶嘿！</dc:creator>
  <cp:lastModifiedBy>诶嘿！</cp:lastModifiedBy>
  <dcterms:modified xsi:type="dcterms:W3CDTF">2024-04-28T15:03:59Z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C4A486D9FD174EB5AFEF336F2946A820_13</vt:lpwstr>
  </property>
</Properties>
</file>