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7BD52779" w:rsidR="00765B1F" w:rsidRDefault="3BF24D3E" w:rsidP="3BF24D3E">
      <w:pPr>
        <w:jc w:val="center"/>
      </w:pPr>
      <w:r w:rsidRPr="3BF24D3E">
        <w:rPr>
          <w:rFonts w:ascii="Times New Roman" w:eastAsia="Times New Roman" w:hAnsi="Times New Roman" w:cs="Times New Roman"/>
          <w:sz w:val="28"/>
          <w:szCs w:val="28"/>
          <w:u w:val="single"/>
        </w:rPr>
        <w:t>New Testament Survey- The Letter of Jude.</w:t>
      </w:r>
    </w:p>
    <w:p w14:paraId="0E45A576" w14:textId="6B8A4F94" w:rsidR="3BF24D3E" w:rsidRDefault="37830EE2" w:rsidP="37830EE2">
      <w:pPr>
        <w:jc w:val="both"/>
        <w:rPr>
          <w:rFonts w:ascii="Times New Roman" w:eastAsia="Times New Roman" w:hAnsi="Times New Roman" w:cs="Times New Roman"/>
          <w:sz w:val="24"/>
          <w:szCs w:val="24"/>
        </w:rPr>
      </w:pPr>
      <w:r w:rsidRPr="37830EE2">
        <w:rPr>
          <w:rFonts w:ascii="Times New Roman" w:eastAsia="Times New Roman" w:hAnsi="Times New Roman" w:cs="Times New Roman"/>
          <w:sz w:val="24"/>
          <w:szCs w:val="24"/>
        </w:rPr>
        <w:t xml:space="preserve">This paper will endeavour to produce an exegesis of Jude to uncover the </w:t>
      </w:r>
      <w:r w:rsidR="00B12D96" w:rsidRPr="37830EE2">
        <w:rPr>
          <w:rFonts w:ascii="Times New Roman" w:eastAsia="Times New Roman" w:hAnsi="Times New Roman" w:cs="Times New Roman"/>
          <w:sz w:val="24"/>
          <w:szCs w:val="24"/>
        </w:rPr>
        <w:t>author’s</w:t>
      </w:r>
      <w:r w:rsidRPr="37830EE2">
        <w:rPr>
          <w:rFonts w:ascii="Times New Roman" w:eastAsia="Times New Roman" w:hAnsi="Times New Roman" w:cs="Times New Roman"/>
          <w:sz w:val="24"/>
          <w:szCs w:val="24"/>
        </w:rPr>
        <w:t xml:space="preserve"> response to heretical teachings. To accomplish an appropriate understanding of the text, fragments will be selected meticulously</w:t>
      </w:r>
      <w:r w:rsidR="007845FB">
        <w:rPr>
          <w:rFonts w:ascii="Times New Roman" w:eastAsia="Times New Roman" w:hAnsi="Times New Roman" w:cs="Times New Roman"/>
          <w:sz w:val="24"/>
          <w:szCs w:val="24"/>
        </w:rPr>
        <w:t xml:space="preserve"> </w:t>
      </w:r>
      <w:r w:rsidRPr="37830EE2">
        <w:rPr>
          <w:rFonts w:ascii="Times New Roman" w:eastAsia="Times New Roman" w:hAnsi="Times New Roman" w:cs="Times New Roman"/>
          <w:sz w:val="24"/>
          <w:szCs w:val="24"/>
        </w:rPr>
        <w:t>and critically analysed with commentary from Scholars’ J.N. D. Kelly and A.R.C Leaney. For brevity the focus will be on the views of false teachers from Jude 3-10.</w:t>
      </w:r>
    </w:p>
    <w:p w14:paraId="59D4789E" w14:textId="183DDA90" w:rsidR="3BF24D3E" w:rsidRDefault="3BF24D3E" w:rsidP="3BF24D3E">
      <w:pPr>
        <w:jc w:val="both"/>
        <w:rPr>
          <w:rFonts w:ascii="Times New Roman" w:eastAsia="Times New Roman" w:hAnsi="Times New Roman" w:cs="Times New Roman"/>
          <w:sz w:val="24"/>
          <w:szCs w:val="24"/>
        </w:rPr>
      </w:pPr>
      <w:r w:rsidRPr="3BF24D3E">
        <w:rPr>
          <w:rFonts w:ascii="Times New Roman" w:eastAsia="Times New Roman" w:hAnsi="Times New Roman" w:cs="Times New Roman"/>
          <w:sz w:val="24"/>
          <w:szCs w:val="24"/>
        </w:rPr>
        <w:t>Once the author has concluded his greeting, he makes known the reason for his writing:</w:t>
      </w:r>
    </w:p>
    <w:p w14:paraId="343D25F4" w14:textId="66D3DEC7" w:rsidR="3BF24D3E" w:rsidRDefault="3BF24D3E" w:rsidP="3BF24D3E">
      <w:pPr>
        <w:ind w:left="720"/>
        <w:jc w:val="both"/>
        <w:rPr>
          <w:rFonts w:ascii="Times New Roman" w:eastAsia="Times New Roman" w:hAnsi="Times New Roman" w:cs="Times New Roman"/>
          <w:sz w:val="24"/>
          <w:szCs w:val="24"/>
        </w:rPr>
      </w:pPr>
      <w:r w:rsidRPr="3BF24D3E">
        <w:rPr>
          <w:rFonts w:ascii="Times New Roman" w:eastAsia="Times New Roman" w:hAnsi="Times New Roman" w:cs="Times New Roman"/>
        </w:rPr>
        <w:t>“I find it necessary to write and appeal to you to contend for the faith that was once and for all entrusted to the saints. For certain intruders have stolen in among you, people who long ago were designated for this condemnation as ungodly, who pervert the grace of God into licentiousness and deny our only Master</w:t>
      </w:r>
      <w:r w:rsidR="00E16171">
        <w:rPr>
          <w:rFonts w:ascii="Times New Roman" w:eastAsia="Times New Roman" w:hAnsi="Times New Roman" w:cs="Times New Roman"/>
        </w:rPr>
        <w:t xml:space="preserve"> and Lord, Jesus Christ.” (Jude</w:t>
      </w:r>
      <w:r w:rsidRPr="3BF24D3E">
        <w:rPr>
          <w:rFonts w:ascii="Times New Roman" w:eastAsia="Times New Roman" w:hAnsi="Times New Roman" w:cs="Times New Roman"/>
        </w:rPr>
        <w:t xml:space="preserve"> 3-4)</w:t>
      </w:r>
    </w:p>
    <w:p w14:paraId="5B804BE0" w14:textId="21EDE5BE" w:rsidR="3BF24D3E" w:rsidRDefault="3BF24D3E" w:rsidP="3DDE5024">
      <w:pPr>
        <w:jc w:val="both"/>
        <w:rPr>
          <w:rFonts w:ascii="Times New Roman" w:eastAsia="Times New Roman" w:hAnsi="Times New Roman" w:cs="Times New Roman"/>
          <w:sz w:val="24"/>
          <w:szCs w:val="24"/>
        </w:rPr>
      </w:pPr>
      <w:r w:rsidRPr="3BF24D3E">
        <w:rPr>
          <w:rFonts w:ascii="Times New Roman" w:eastAsia="Times New Roman" w:hAnsi="Times New Roman" w:cs="Times New Roman"/>
          <w:sz w:val="24"/>
          <w:szCs w:val="24"/>
        </w:rPr>
        <w:t>Kelly makes the reader aware that the “faith” entrusted to the saints, is not to be seen as “man’s response to Christ” instead it, is “the message or body of saving beliefs accepted as orthodox in the Church.”</w:t>
      </w:r>
      <w:r w:rsidRPr="3BF24D3E">
        <w:rPr>
          <w:rStyle w:val="FootnoteReference"/>
          <w:rFonts w:ascii="Times New Roman" w:eastAsia="Times New Roman" w:hAnsi="Times New Roman" w:cs="Times New Roman"/>
          <w:sz w:val="24"/>
          <w:szCs w:val="24"/>
        </w:rPr>
        <w:footnoteReference w:id="1"/>
      </w:r>
      <w:r w:rsidRPr="3BF24D3E">
        <w:rPr>
          <w:rFonts w:ascii="Times New Roman" w:eastAsia="Times New Roman" w:hAnsi="Times New Roman" w:cs="Times New Roman"/>
          <w:sz w:val="24"/>
          <w:szCs w:val="24"/>
        </w:rPr>
        <w:t xml:space="preserve"> This is important, if it were the former and simply an argument of wrong response to correct teaching then this polemical text would seem to go too far. However, as the “faith” being discussed is doctrinal, this could introduce real disunity within the Christian community and, potentially, damage their chance of gaining the eternal promises of Christ’s salvific work. The notion of faith being “once and for all entrusted to the saints” demonstrates that faith was handed down to the Church (saints) and shows that “Christianity is viewed as a system of revealed teaching which is by its very nature unalterable”</w:t>
      </w:r>
      <w:r w:rsidRPr="3BF24D3E">
        <w:rPr>
          <w:rStyle w:val="FootnoteReference"/>
          <w:rFonts w:ascii="Times New Roman" w:eastAsia="Times New Roman" w:hAnsi="Times New Roman" w:cs="Times New Roman"/>
          <w:sz w:val="24"/>
          <w:szCs w:val="24"/>
        </w:rPr>
        <w:footnoteReference w:id="2"/>
      </w:r>
      <w:r w:rsidRPr="3BF24D3E">
        <w:rPr>
          <w:rFonts w:ascii="Times New Roman" w:eastAsia="Times New Roman" w:hAnsi="Times New Roman" w:cs="Times New Roman"/>
          <w:sz w:val="24"/>
          <w:szCs w:val="24"/>
        </w:rPr>
        <w:t>. The biblical authors appeal to tradition, given “once and for all”, sets the stage for his authoritative message to the Christian community he writes to. Kelly also recognises that the “certain intruders who have stolen in among [them]” are working inside the Church, “to disseminate their heterodox view rather than form a separati</w:t>
      </w:r>
      <w:bookmarkStart w:id="0" w:name="_GoBack"/>
      <w:bookmarkEnd w:id="0"/>
      <w:r w:rsidRPr="3BF24D3E">
        <w:rPr>
          <w:rFonts w:ascii="Times New Roman" w:eastAsia="Times New Roman" w:hAnsi="Times New Roman" w:cs="Times New Roman"/>
          <w:sz w:val="24"/>
          <w:szCs w:val="24"/>
        </w:rPr>
        <w:t>st sect....and the writer's obvious anxiety portrays that they are making some impression.”</w:t>
      </w:r>
      <w:r w:rsidRPr="3DDE5024">
        <w:rPr>
          <w:rStyle w:val="FootnoteReference"/>
          <w:rFonts w:ascii="Times New Roman" w:eastAsia="Times New Roman" w:hAnsi="Times New Roman" w:cs="Times New Roman"/>
          <w:sz w:val="24"/>
          <w:szCs w:val="24"/>
        </w:rPr>
        <w:footnoteReference w:id="3"/>
      </w:r>
      <w:r w:rsidR="3DDE5024" w:rsidRPr="3DDE5024">
        <w:rPr>
          <w:rFonts w:ascii="Times New Roman" w:eastAsia="Times New Roman" w:hAnsi="Times New Roman" w:cs="Times New Roman"/>
          <w:sz w:val="24"/>
          <w:szCs w:val="24"/>
        </w:rPr>
        <w:t xml:space="preserve"> In other words, the perpetrators are looking to imbed their heretical views to become the recognised orthodoxy and they are having an impact within the community Jude writes to.  </w:t>
      </w:r>
    </w:p>
    <w:p w14:paraId="2D044BFB" w14:textId="7F6F4D26" w:rsidR="3BF24D3E" w:rsidRDefault="3DDE5024" w:rsidP="37830EE2">
      <w:pPr>
        <w:jc w:val="both"/>
        <w:rPr>
          <w:rStyle w:val="FootnoteReference"/>
          <w:rFonts w:ascii="Times New Roman" w:eastAsia="Times New Roman" w:hAnsi="Times New Roman" w:cs="Times New Roman"/>
          <w:color w:val="000000" w:themeColor="text1"/>
          <w:sz w:val="24"/>
          <w:szCs w:val="24"/>
        </w:rPr>
      </w:pPr>
      <w:r w:rsidRPr="3DDE5024">
        <w:rPr>
          <w:rFonts w:ascii="Times New Roman" w:eastAsia="Times New Roman" w:hAnsi="Times New Roman" w:cs="Times New Roman"/>
          <w:sz w:val="24"/>
          <w:szCs w:val="24"/>
        </w:rPr>
        <w:t xml:space="preserve">The author, within the same passage, opens his views about false teachers. When reading about people “who pervert[ed] the grace of God into </w:t>
      </w:r>
      <w:r w:rsidRPr="37830EE2">
        <w:rPr>
          <w:rFonts w:ascii="Times New Roman" w:eastAsia="Times New Roman" w:hAnsi="Times New Roman" w:cs="Times New Roman"/>
          <w:color w:val="000000" w:themeColor="text1"/>
          <w:sz w:val="24"/>
          <w:szCs w:val="24"/>
        </w:rPr>
        <w:t>licentiousness”, Leaney comments and suggest that heretics “have taken advantage the thought that God forgives them freely, and responded with the thought, ‘Good! So we can do what we like!’ Leaney tells the reader that this was a real danger, “that they really believed that Christ had saved them from their sins, so now they [could] engage in a life of unbridled satisfaction of their appetites and lusts.”</w:t>
      </w:r>
      <w:r w:rsidR="3BF24D3E" w:rsidRPr="37830EE2">
        <w:rPr>
          <w:rStyle w:val="FootnoteReference"/>
          <w:rFonts w:ascii="Times New Roman" w:eastAsia="Times New Roman" w:hAnsi="Times New Roman" w:cs="Times New Roman"/>
          <w:color w:val="000000" w:themeColor="text1"/>
          <w:sz w:val="24"/>
          <w:szCs w:val="24"/>
        </w:rPr>
        <w:footnoteReference w:id="4"/>
      </w:r>
      <w:r w:rsidRPr="37830EE2">
        <w:rPr>
          <w:rFonts w:ascii="Times New Roman" w:eastAsia="Times New Roman" w:hAnsi="Times New Roman" w:cs="Times New Roman"/>
          <w:color w:val="000000" w:themeColor="text1"/>
          <w:sz w:val="24"/>
          <w:szCs w:val="24"/>
        </w:rPr>
        <w:t xml:space="preserve"> The grace of God is being treated as a get out of jail free card, a ticket to sin without consequence; this seems to be, for Leaney, the heresy Jude wants to vanquish. Jude is quick to Remind them that although “the Lord, who once for all saved a people out of the land of Egypt, [He still] destroyed th</w:t>
      </w:r>
      <w:r w:rsidR="00B12D96">
        <w:rPr>
          <w:rFonts w:ascii="Times New Roman" w:eastAsia="Times New Roman" w:hAnsi="Times New Roman" w:cs="Times New Roman"/>
          <w:color w:val="000000" w:themeColor="text1"/>
          <w:sz w:val="24"/>
          <w:szCs w:val="24"/>
        </w:rPr>
        <w:t>ose who did not believe.” (Jude</w:t>
      </w:r>
      <w:r w:rsidRPr="37830EE2">
        <w:rPr>
          <w:rFonts w:ascii="Times New Roman" w:eastAsia="Times New Roman" w:hAnsi="Times New Roman" w:cs="Times New Roman"/>
          <w:color w:val="000000" w:themeColor="text1"/>
          <w:sz w:val="24"/>
          <w:szCs w:val="24"/>
        </w:rPr>
        <w:t xml:space="preserve"> 5) This suggest that Jude is warning them that just because they have been saved by Christ does not mean that they can neglect his doctrine and still avoid punishment. After all, in the</w:t>
      </w:r>
      <w:r w:rsidRPr="37830EE2">
        <w:rPr>
          <w:rFonts w:ascii="Times New Roman" w:eastAsia="Times New Roman" w:hAnsi="Times New Roman" w:cs="Times New Roman"/>
          <w:b/>
          <w:bCs/>
          <w:i/>
          <w:iCs/>
          <w:color w:val="000000" w:themeColor="text1"/>
          <w:sz w:val="24"/>
          <w:szCs w:val="24"/>
        </w:rPr>
        <w:t xml:space="preserve"> </w:t>
      </w:r>
      <w:proofErr w:type="spellStart"/>
      <w:r w:rsidRPr="37830EE2">
        <w:rPr>
          <w:rFonts w:ascii="Times New Roman" w:eastAsia="Times New Roman" w:hAnsi="Times New Roman" w:cs="Times New Roman"/>
          <w:i/>
          <w:iCs/>
          <w:sz w:val="24"/>
          <w:szCs w:val="24"/>
        </w:rPr>
        <w:t>Pericope</w:t>
      </w:r>
      <w:proofErr w:type="spellEnd"/>
      <w:r w:rsidRPr="37830EE2">
        <w:rPr>
          <w:rFonts w:ascii="Times New Roman" w:eastAsia="Times New Roman" w:hAnsi="Times New Roman" w:cs="Times New Roman"/>
          <w:i/>
          <w:iCs/>
          <w:sz w:val="24"/>
          <w:szCs w:val="24"/>
        </w:rPr>
        <w:t xml:space="preserve"> </w:t>
      </w:r>
      <w:proofErr w:type="spellStart"/>
      <w:r w:rsidRPr="37830EE2">
        <w:rPr>
          <w:rFonts w:ascii="Times New Roman" w:eastAsia="Times New Roman" w:hAnsi="Times New Roman" w:cs="Times New Roman"/>
          <w:i/>
          <w:iCs/>
          <w:sz w:val="24"/>
          <w:szCs w:val="24"/>
        </w:rPr>
        <w:t>Adulterae</w:t>
      </w:r>
      <w:proofErr w:type="spellEnd"/>
      <w:r w:rsidRPr="37830EE2">
        <w:rPr>
          <w:rFonts w:ascii="Times New Roman" w:eastAsia="Times New Roman" w:hAnsi="Times New Roman" w:cs="Times New Roman"/>
          <w:i/>
          <w:iCs/>
          <w:sz w:val="24"/>
          <w:szCs w:val="24"/>
        </w:rPr>
        <w:t xml:space="preserve"> </w:t>
      </w:r>
      <w:r w:rsidRPr="37830EE2">
        <w:rPr>
          <w:rFonts w:ascii="Times New Roman" w:eastAsia="Times New Roman" w:hAnsi="Times New Roman" w:cs="Times New Roman"/>
          <w:sz w:val="24"/>
          <w:szCs w:val="24"/>
        </w:rPr>
        <w:t>Jesus tells the woman: “Go your way, and from now on do not sin again” (Jn 8.11); saving her whilst still forbidding sin.</w:t>
      </w:r>
    </w:p>
    <w:p w14:paraId="4768F306" w14:textId="48C163AD" w:rsidR="1E6AB3F4" w:rsidRDefault="72B8D77D" w:rsidP="72B8D77D">
      <w:pPr>
        <w:jc w:val="both"/>
        <w:rPr>
          <w:rFonts w:ascii="Times New Roman" w:eastAsia="Times New Roman" w:hAnsi="Times New Roman" w:cs="Times New Roman"/>
          <w:color w:val="000000" w:themeColor="text1"/>
          <w:sz w:val="24"/>
          <w:szCs w:val="24"/>
        </w:rPr>
      </w:pPr>
      <w:r w:rsidRPr="72B8D77D">
        <w:rPr>
          <w:rFonts w:ascii="Times New Roman" w:eastAsia="Times New Roman" w:hAnsi="Times New Roman" w:cs="Times New Roman"/>
          <w:sz w:val="24"/>
          <w:szCs w:val="24"/>
        </w:rPr>
        <w:lastRenderedPageBreak/>
        <w:t>Moving now toward the sin and “</w:t>
      </w:r>
      <w:r w:rsidRPr="72B8D77D">
        <w:rPr>
          <w:rFonts w:ascii="Times New Roman" w:eastAsia="Times New Roman" w:hAnsi="Times New Roman" w:cs="Times New Roman"/>
          <w:color w:val="000000" w:themeColor="text1"/>
          <w:sz w:val="24"/>
          <w:szCs w:val="24"/>
        </w:rPr>
        <w:t>licentiousness” spoken about above, Jude draws close analogies b</w:t>
      </w:r>
      <w:r w:rsidR="00B12D96">
        <w:rPr>
          <w:rFonts w:ascii="Times New Roman" w:eastAsia="Times New Roman" w:hAnsi="Times New Roman" w:cs="Times New Roman"/>
          <w:color w:val="000000" w:themeColor="text1"/>
          <w:sz w:val="24"/>
          <w:szCs w:val="24"/>
        </w:rPr>
        <w:t xml:space="preserve">etween the fall of angels (Jude </w:t>
      </w:r>
      <w:r w:rsidRPr="72B8D77D">
        <w:rPr>
          <w:rFonts w:ascii="Times New Roman" w:eastAsia="Times New Roman" w:hAnsi="Times New Roman" w:cs="Times New Roman"/>
          <w:color w:val="000000" w:themeColor="text1"/>
          <w:sz w:val="24"/>
          <w:szCs w:val="24"/>
        </w:rPr>
        <w:t>6) and the city of Sodom and Gomorrah; for brevity the fragment given will focus only on the latter whilst drawing conclusions with help from the former:</w:t>
      </w:r>
    </w:p>
    <w:p w14:paraId="26913D4B" w14:textId="1F4863DD" w:rsidR="1E6AB3F4" w:rsidRDefault="15B6838A" w:rsidP="15B6838A">
      <w:pPr>
        <w:ind w:left="720"/>
        <w:jc w:val="both"/>
        <w:rPr>
          <w:rFonts w:ascii="Times New Roman" w:eastAsia="Times New Roman" w:hAnsi="Times New Roman" w:cs="Times New Roman"/>
          <w:color w:val="000000" w:themeColor="text1"/>
          <w:sz w:val="24"/>
          <w:szCs w:val="24"/>
        </w:rPr>
      </w:pPr>
      <w:r w:rsidRPr="15B6838A">
        <w:rPr>
          <w:rFonts w:ascii="Times New Roman" w:eastAsia="Times New Roman" w:hAnsi="Times New Roman" w:cs="Times New Roman"/>
          <w:color w:val="000000" w:themeColor="text1"/>
        </w:rPr>
        <w:t>“Likewise, Sodom and Gomorrah and the surrounding cities, which, in the same manner as they, indulge in sexual immorality and pursued unnatural lusts, serve as an example by undergoing a pu</w:t>
      </w:r>
      <w:r w:rsidR="007845FB">
        <w:rPr>
          <w:rFonts w:ascii="Times New Roman" w:eastAsia="Times New Roman" w:hAnsi="Times New Roman" w:cs="Times New Roman"/>
          <w:color w:val="000000" w:themeColor="text1"/>
        </w:rPr>
        <w:t xml:space="preserve">nishment of eternal fire” (Jude </w:t>
      </w:r>
      <w:r w:rsidRPr="15B6838A">
        <w:rPr>
          <w:rFonts w:ascii="Times New Roman" w:eastAsia="Times New Roman" w:hAnsi="Times New Roman" w:cs="Times New Roman"/>
          <w:color w:val="000000" w:themeColor="text1"/>
        </w:rPr>
        <w:t xml:space="preserve">7) </w:t>
      </w:r>
    </w:p>
    <w:p w14:paraId="2F1C1F7B" w14:textId="0E563B16" w:rsidR="1E6AB3F4" w:rsidRDefault="72B8D77D" w:rsidP="15B6838A">
      <w:pPr>
        <w:jc w:val="both"/>
        <w:rPr>
          <w:rFonts w:ascii="Times New Roman" w:eastAsia="Times New Roman" w:hAnsi="Times New Roman" w:cs="Times New Roman"/>
          <w:sz w:val="24"/>
          <w:szCs w:val="24"/>
        </w:rPr>
      </w:pPr>
      <w:r w:rsidRPr="37830EE2">
        <w:rPr>
          <w:rFonts w:ascii="Times New Roman" w:eastAsia="Times New Roman" w:hAnsi="Times New Roman" w:cs="Times New Roman"/>
          <w:color w:val="000000" w:themeColor="text1"/>
          <w:sz w:val="24"/>
          <w:szCs w:val="24"/>
        </w:rPr>
        <w:t xml:space="preserve">The angels spoken of in Jude 6 represent those angels that “left their proper dwelling place”, (Kelly draws a parallel with the noncanonical </w:t>
      </w:r>
      <w:r w:rsidRPr="37830EE2">
        <w:rPr>
          <w:rFonts w:ascii="Times New Roman" w:eastAsia="Times New Roman" w:hAnsi="Times New Roman" w:cs="Times New Roman"/>
          <w:i/>
          <w:iCs/>
          <w:color w:val="000000" w:themeColor="text1"/>
          <w:sz w:val="24"/>
          <w:szCs w:val="24"/>
        </w:rPr>
        <w:t xml:space="preserve">Book of Enoch </w:t>
      </w:r>
      <w:r w:rsidRPr="37830EE2">
        <w:rPr>
          <w:rFonts w:ascii="Times New Roman" w:eastAsia="Times New Roman" w:hAnsi="Times New Roman" w:cs="Times New Roman"/>
          <w:color w:val="000000" w:themeColor="text1"/>
          <w:sz w:val="24"/>
          <w:szCs w:val="24"/>
        </w:rPr>
        <w:t>and</w:t>
      </w:r>
      <w:r w:rsidRPr="37830EE2">
        <w:rPr>
          <w:rFonts w:ascii="Times New Roman" w:eastAsia="Times New Roman" w:hAnsi="Times New Roman" w:cs="Times New Roman"/>
          <w:i/>
          <w:iCs/>
          <w:color w:val="000000" w:themeColor="text1"/>
          <w:sz w:val="24"/>
          <w:szCs w:val="24"/>
        </w:rPr>
        <w:t xml:space="preserve"> </w:t>
      </w:r>
      <w:r w:rsidRPr="37830EE2">
        <w:rPr>
          <w:rFonts w:ascii="Times New Roman" w:eastAsia="Times New Roman" w:hAnsi="Times New Roman" w:cs="Times New Roman"/>
          <w:color w:val="000000" w:themeColor="text1"/>
          <w:sz w:val="24"/>
          <w:szCs w:val="24"/>
        </w:rPr>
        <w:t>suggests that this is Jude’s primary source), and “defiled themselves with women”</w:t>
      </w:r>
      <w:r w:rsidR="1E6AB3F4" w:rsidRPr="37830EE2">
        <w:rPr>
          <w:rStyle w:val="FootnoteReference"/>
          <w:rFonts w:ascii="Times New Roman" w:eastAsia="Times New Roman" w:hAnsi="Times New Roman" w:cs="Times New Roman"/>
          <w:color w:val="000000" w:themeColor="text1"/>
          <w:sz w:val="24"/>
          <w:szCs w:val="24"/>
        </w:rPr>
        <w:footnoteReference w:id="5"/>
      </w:r>
      <w:r w:rsidRPr="37830EE2">
        <w:rPr>
          <w:rFonts w:ascii="Times New Roman" w:eastAsia="Times New Roman" w:hAnsi="Times New Roman" w:cs="Times New Roman"/>
          <w:color w:val="000000" w:themeColor="text1"/>
          <w:sz w:val="24"/>
          <w:szCs w:val="24"/>
        </w:rPr>
        <w:t>; as the author of Enoch writes. Furthermore, where the passage above states “in the same manner as they” this is to be understood as the same way the angels “indulge[d] in sexual immorality”; Kelly points out that this is not necessarily to be understood as ‘sodomy’, as the ‘sexual immorality’ the angels engaged with was with women. Moreover, that the angels “flesh presumably was different in kind”</w:t>
      </w:r>
      <w:r w:rsidR="1E6AB3F4" w:rsidRPr="37830EE2">
        <w:rPr>
          <w:rStyle w:val="FootnoteReference"/>
          <w:rFonts w:ascii="Times New Roman" w:eastAsia="Times New Roman" w:hAnsi="Times New Roman" w:cs="Times New Roman"/>
          <w:color w:val="000000" w:themeColor="text1"/>
          <w:sz w:val="24"/>
          <w:szCs w:val="24"/>
        </w:rPr>
        <w:footnoteReference w:id="6"/>
      </w:r>
      <w:r w:rsidRPr="37830EE2">
        <w:rPr>
          <w:rFonts w:ascii="Times New Roman" w:eastAsia="Times New Roman" w:hAnsi="Times New Roman" w:cs="Times New Roman"/>
          <w:color w:val="000000" w:themeColor="text1"/>
          <w:sz w:val="24"/>
          <w:szCs w:val="24"/>
        </w:rPr>
        <w:t xml:space="preserve"> and so, the act itself in Sodom, for Kelly, was one of lust towards angels not of other men. However, Jude tells the reader: “Yet in same way these dreamers”, or (heretics’), “also defile the flesh […]” (Jude 8); Kelly finds it “legitimate [here] to infer that [Jude] is snidely accusing the innovators of homosexual practices.”</w:t>
      </w:r>
      <w:r w:rsidR="1E6AB3F4" w:rsidRPr="37830EE2">
        <w:rPr>
          <w:rStyle w:val="FootnoteReference"/>
          <w:rFonts w:ascii="Times New Roman" w:eastAsia="Times New Roman" w:hAnsi="Times New Roman" w:cs="Times New Roman"/>
          <w:color w:val="000000" w:themeColor="text1"/>
          <w:sz w:val="24"/>
          <w:szCs w:val="24"/>
        </w:rPr>
        <w:footnoteReference w:id="7"/>
      </w:r>
      <w:r w:rsidR="15B6838A" w:rsidRPr="37830EE2">
        <w:rPr>
          <w:rFonts w:ascii="Times New Roman" w:eastAsia="Times New Roman" w:hAnsi="Times New Roman" w:cs="Times New Roman"/>
          <w:color w:val="000000" w:themeColor="text1"/>
          <w:sz w:val="24"/>
          <w:szCs w:val="24"/>
        </w:rPr>
        <w:t xml:space="preserve"> Finally, Jude draws his parallel with the angels in the proceeding passage (6), the angels sentenced to “eternal chains in deepest darkness “(Jude 6) and the inhabitants of Sodom and Gomorrah are “undergoing a punishment of eternal fire” (Jude 7). Three examples have been played out, thus far, to the reader by Jude to show the consequences of disobedience toward God: The destruction of the freed Egyptian prisoners (Jude 5), the </w:t>
      </w:r>
      <w:r w:rsidR="15B6838A" w:rsidRPr="15B6838A">
        <w:rPr>
          <w:rFonts w:ascii="Times New Roman" w:eastAsia="Times New Roman" w:hAnsi="Times New Roman" w:cs="Times New Roman"/>
          <w:sz w:val="24"/>
          <w:szCs w:val="24"/>
        </w:rPr>
        <w:t xml:space="preserve">contumacious angels (Jude 6) and the lecherous people of Sodom and Gomorrah. All the examples end with a serve punishment and this is the warning being sent to false teachers.  </w:t>
      </w:r>
    </w:p>
    <w:p w14:paraId="29BB4B8C" w14:textId="55531E03" w:rsidR="1E6AB3F4" w:rsidRDefault="15B6838A" w:rsidP="15B6838A">
      <w:pPr>
        <w:jc w:val="both"/>
        <w:rPr>
          <w:rFonts w:ascii="Times New Roman" w:eastAsia="Times New Roman" w:hAnsi="Times New Roman" w:cs="Times New Roman"/>
          <w:color w:val="000000" w:themeColor="text1"/>
          <w:sz w:val="24"/>
          <w:szCs w:val="24"/>
        </w:rPr>
      </w:pPr>
      <w:r w:rsidRPr="37830EE2">
        <w:rPr>
          <w:rFonts w:ascii="Times New Roman" w:eastAsia="Times New Roman" w:hAnsi="Times New Roman" w:cs="Times New Roman"/>
          <w:color w:val="000000" w:themeColor="text1"/>
          <w:sz w:val="24"/>
          <w:szCs w:val="24"/>
        </w:rPr>
        <w:t xml:space="preserve">In Jude 8, Kelly observes that one possible rendering of “these dreamers” could be reference to “false teachers […] not in the sense that they indulge in wishful thinking [or lustful thinking], but because they have ecstatic visionary experiences, or claim to have them, and seek to justify their doctrines on the strength of these.  Therefore, on this premise the false teachers could, be seen to, be claiming ‘secret knowledge’ much like that of a gnostic. More weight is given to this theory of Gnosticism at the end of the passage, Jude refers to the “slander [of] the glorious ones”, </w:t>
      </w:r>
      <w:proofErr w:type="gramStart"/>
      <w:r w:rsidRPr="37830EE2">
        <w:rPr>
          <w:rFonts w:ascii="Times New Roman" w:eastAsia="Times New Roman" w:hAnsi="Times New Roman" w:cs="Times New Roman"/>
          <w:color w:val="000000" w:themeColor="text1"/>
          <w:sz w:val="24"/>
          <w:szCs w:val="24"/>
        </w:rPr>
        <w:t>if</w:t>
      </w:r>
      <w:proofErr w:type="gramEnd"/>
      <w:r w:rsidRPr="37830EE2">
        <w:rPr>
          <w:rFonts w:ascii="Times New Roman" w:eastAsia="Times New Roman" w:hAnsi="Times New Roman" w:cs="Times New Roman"/>
          <w:color w:val="000000" w:themeColor="text1"/>
          <w:sz w:val="24"/>
          <w:szCs w:val="24"/>
        </w:rPr>
        <w:t xml:space="preserve"> we take this to mean the angels then Kelly points out that “Gnostics despised the angels believing them to have been the agents of the inferior-God in bringing the universe into existence.”</w:t>
      </w:r>
      <w:r w:rsidR="1E6AB3F4" w:rsidRPr="37830EE2">
        <w:rPr>
          <w:rStyle w:val="FootnoteReference"/>
          <w:rFonts w:ascii="Times New Roman" w:eastAsia="Times New Roman" w:hAnsi="Times New Roman" w:cs="Times New Roman"/>
          <w:color w:val="000000" w:themeColor="text1"/>
          <w:sz w:val="24"/>
          <w:szCs w:val="24"/>
        </w:rPr>
        <w:footnoteReference w:id="8"/>
      </w:r>
      <w:r w:rsidRPr="37830EE2">
        <w:rPr>
          <w:rFonts w:ascii="Times New Roman" w:eastAsia="Times New Roman" w:hAnsi="Times New Roman" w:cs="Times New Roman"/>
          <w:color w:val="000000" w:themeColor="text1"/>
          <w:sz w:val="24"/>
          <w:szCs w:val="24"/>
        </w:rPr>
        <w:t xml:space="preserve"> Although this is generally a view of Gnostics taken up in the second century, “their disrespect for [the angels] maybe an indication of embryonic Gnosticism”.</w:t>
      </w:r>
      <w:r w:rsidR="1E6AB3F4" w:rsidRPr="37830EE2">
        <w:rPr>
          <w:rStyle w:val="FootnoteReference"/>
          <w:rFonts w:ascii="Times New Roman" w:eastAsia="Times New Roman" w:hAnsi="Times New Roman" w:cs="Times New Roman"/>
          <w:color w:val="000000" w:themeColor="text1"/>
          <w:sz w:val="24"/>
          <w:szCs w:val="24"/>
        </w:rPr>
        <w:footnoteReference w:id="9"/>
      </w:r>
      <w:r w:rsidRPr="37830EE2">
        <w:rPr>
          <w:rFonts w:ascii="Times New Roman" w:eastAsia="Times New Roman" w:hAnsi="Times New Roman" w:cs="Times New Roman"/>
          <w:color w:val="000000" w:themeColor="text1"/>
          <w:sz w:val="24"/>
          <w:szCs w:val="24"/>
        </w:rPr>
        <w:t xml:space="preserve">  What is interesting, is that the false teachers are seen to be disrespecting good angels or ‘the glorious </w:t>
      </w:r>
      <w:proofErr w:type="gramStart"/>
      <w:r w:rsidRPr="37830EE2">
        <w:rPr>
          <w:rFonts w:ascii="Times New Roman" w:eastAsia="Times New Roman" w:hAnsi="Times New Roman" w:cs="Times New Roman"/>
          <w:color w:val="000000" w:themeColor="text1"/>
          <w:sz w:val="24"/>
          <w:szCs w:val="24"/>
        </w:rPr>
        <w:t>ones</w:t>
      </w:r>
      <w:proofErr w:type="gramEnd"/>
      <w:r w:rsidRPr="37830EE2">
        <w:rPr>
          <w:rFonts w:ascii="Times New Roman" w:eastAsia="Times New Roman" w:hAnsi="Times New Roman" w:cs="Times New Roman"/>
          <w:color w:val="000000" w:themeColor="text1"/>
          <w:sz w:val="24"/>
          <w:szCs w:val="24"/>
        </w:rPr>
        <w:t>’, in sharp contrast in 9 “impudence is shown by mortal men to good angels [and] is matched by the restraint of the prince of angels towards a discredited angel.”</w:t>
      </w:r>
      <w:r w:rsidR="1E6AB3F4" w:rsidRPr="37830EE2">
        <w:rPr>
          <w:rStyle w:val="FootnoteReference"/>
          <w:rFonts w:ascii="Times New Roman" w:eastAsia="Times New Roman" w:hAnsi="Times New Roman" w:cs="Times New Roman"/>
          <w:color w:val="000000" w:themeColor="text1"/>
          <w:sz w:val="24"/>
          <w:szCs w:val="24"/>
        </w:rPr>
        <w:footnoteReference w:id="10"/>
      </w:r>
      <w:r w:rsidRPr="37830EE2">
        <w:rPr>
          <w:rFonts w:ascii="Times New Roman" w:eastAsia="Times New Roman" w:hAnsi="Times New Roman" w:cs="Times New Roman"/>
          <w:color w:val="000000" w:themeColor="text1"/>
          <w:sz w:val="24"/>
          <w:szCs w:val="24"/>
        </w:rPr>
        <w:t xml:space="preserve"> The Devil! The </w:t>
      </w:r>
      <w:r w:rsidRPr="37830EE2">
        <w:rPr>
          <w:rFonts w:ascii="Times New Roman" w:eastAsia="Times New Roman" w:hAnsi="Times New Roman" w:cs="Times New Roman"/>
          <w:color w:val="000000" w:themeColor="text1"/>
          <w:sz w:val="24"/>
          <w:szCs w:val="24"/>
        </w:rPr>
        <w:lastRenderedPageBreak/>
        <w:t>next section will analyse this passage (9) and part of 10 thoughtfully to uncover any lessons Jude is trying to teach his recipients before concluding.</w:t>
      </w:r>
    </w:p>
    <w:p w14:paraId="13564031" w14:textId="250C68B1" w:rsidR="1E6AB3F4" w:rsidRDefault="37830EE2" w:rsidP="37830EE2">
      <w:pPr>
        <w:ind w:left="720"/>
        <w:jc w:val="both"/>
        <w:rPr>
          <w:rFonts w:ascii="Times New Roman" w:eastAsia="Times New Roman" w:hAnsi="Times New Roman" w:cs="Times New Roman"/>
          <w:color w:val="000000" w:themeColor="text1"/>
          <w:sz w:val="24"/>
          <w:szCs w:val="24"/>
        </w:rPr>
      </w:pPr>
      <w:r w:rsidRPr="37830EE2">
        <w:rPr>
          <w:rFonts w:ascii="Times New Roman" w:eastAsia="Times New Roman" w:hAnsi="Times New Roman" w:cs="Times New Roman"/>
          <w:color w:val="000000" w:themeColor="text1"/>
        </w:rPr>
        <w:t xml:space="preserve">“But when the archangel Michael contented with the Devil and disputed about the body of Moses, he did not dare to bring condemnation of slander against him, but said, ‘The Lord rebuke you!’ But these people slander what they whatever they do not understand […] like irrational animals, they know by instinct” (Jude 9-10) </w:t>
      </w:r>
    </w:p>
    <w:p w14:paraId="604C1F91" w14:textId="707C1777" w:rsidR="1E6AB3F4" w:rsidRDefault="37830EE2" w:rsidP="37830EE2">
      <w:pPr>
        <w:jc w:val="both"/>
        <w:rPr>
          <w:rFonts w:ascii="Times New Roman" w:eastAsia="Times New Roman" w:hAnsi="Times New Roman" w:cs="Times New Roman"/>
          <w:color w:val="000000" w:themeColor="text1"/>
          <w:sz w:val="24"/>
          <w:szCs w:val="24"/>
        </w:rPr>
      </w:pPr>
      <w:r w:rsidRPr="37830EE2">
        <w:rPr>
          <w:rFonts w:ascii="Times New Roman" w:eastAsia="Times New Roman" w:hAnsi="Times New Roman" w:cs="Times New Roman"/>
          <w:color w:val="000000" w:themeColor="text1"/>
          <w:sz w:val="24"/>
          <w:szCs w:val="24"/>
        </w:rPr>
        <w:t xml:space="preserve">Two lessons can be drawn from this passage, </w:t>
      </w:r>
      <w:r w:rsidR="00B12D96">
        <w:rPr>
          <w:rFonts w:ascii="Times New Roman" w:eastAsia="Times New Roman" w:hAnsi="Times New Roman" w:cs="Times New Roman"/>
          <w:color w:val="000000" w:themeColor="text1"/>
          <w:sz w:val="24"/>
          <w:szCs w:val="24"/>
        </w:rPr>
        <w:t xml:space="preserve">(1) to show the reader that </w:t>
      </w:r>
      <w:r w:rsidRPr="37830EE2">
        <w:rPr>
          <w:rFonts w:ascii="Times New Roman" w:eastAsia="Times New Roman" w:hAnsi="Times New Roman" w:cs="Times New Roman"/>
          <w:color w:val="000000" w:themeColor="text1"/>
          <w:sz w:val="24"/>
          <w:szCs w:val="24"/>
        </w:rPr>
        <w:t>false teachers are morally defunct, that they lay judgment even upon the most</w:t>
      </w:r>
      <w:r w:rsidR="00B12D96">
        <w:rPr>
          <w:rFonts w:ascii="Times New Roman" w:eastAsia="Times New Roman" w:hAnsi="Times New Roman" w:cs="Times New Roman"/>
          <w:color w:val="000000" w:themeColor="text1"/>
          <w:sz w:val="24"/>
          <w:szCs w:val="24"/>
        </w:rPr>
        <w:t xml:space="preserve"> righteous of beings, Jude shows</w:t>
      </w:r>
      <w:r w:rsidRPr="37830EE2">
        <w:rPr>
          <w:rFonts w:ascii="Times New Roman" w:eastAsia="Times New Roman" w:hAnsi="Times New Roman" w:cs="Times New Roman"/>
          <w:color w:val="000000" w:themeColor="text1"/>
          <w:sz w:val="24"/>
          <w:szCs w:val="24"/>
        </w:rPr>
        <w:t xml:space="preserve"> that the most righteous, in this case the archangel Michael, will not</w:t>
      </w:r>
      <w:r w:rsidR="00B12D96">
        <w:rPr>
          <w:rFonts w:ascii="Times New Roman" w:eastAsia="Times New Roman" w:hAnsi="Times New Roman" w:cs="Times New Roman"/>
          <w:color w:val="000000" w:themeColor="text1"/>
          <w:sz w:val="24"/>
          <w:szCs w:val="24"/>
        </w:rPr>
        <w:t xml:space="preserve"> even</w:t>
      </w:r>
      <w:r w:rsidRPr="37830EE2">
        <w:rPr>
          <w:rFonts w:ascii="Times New Roman" w:eastAsia="Times New Roman" w:hAnsi="Times New Roman" w:cs="Times New Roman"/>
          <w:color w:val="000000" w:themeColor="text1"/>
          <w:sz w:val="24"/>
          <w:szCs w:val="24"/>
        </w:rPr>
        <w:t xml:space="preserve"> lay judgment on the Devil himself. (2) </w:t>
      </w:r>
      <w:r w:rsidR="00B12D96" w:rsidRPr="37830EE2">
        <w:rPr>
          <w:rFonts w:ascii="Times New Roman" w:eastAsia="Times New Roman" w:hAnsi="Times New Roman" w:cs="Times New Roman"/>
          <w:color w:val="000000" w:themeColor="text1"/>
          <w:sz w:val="24"/>
          <w:szCs w:val="24"/>
        </w:rPr>
        <w:t>To</w:t>
      </w:r>
      <w:r w:rsidRPr="37830EE2">
        <w:rPr>
          <w:rFonts w:ascii="Times New Roman" w:eastAsia="Times New Roman" w:hAnsi="Times New Roman" w:cs="Times New Roman"/>
          <w:color w:val="000000" w:themeColor="text1"/>
          <w:sz w:val="24"/>
          <w:szCs w:val="24"/>
        </w:rPr>
        <w:t xml:space="preserve"> teach the readers that it is not their place to lay </w:t>
      </w:r>
      <w:r w:rsidR="00B12D96" w:rsidRPr="37830EE2">
        <w:rPr>
          <w:rFonts w:ascii="Times New Roman" w:eastAsia="Times New Roman" w:hAnsi="Times New Roman" w:cs="Times New Roman"/>
          <w:color w:val="000000" w:themeColor="text1"/>
          <w:sz w:val="24"/>
          <w:szCs w:val="24"/>
        </w:rPr>
        <w:t>judgement</w:t>
      </w:r>
      <w:r w:rsidR="00B12D96">
        <w:rPr>
          <w:rFonts w:ascii="Times New Roman" w:eastAsia="Times New Roman" w:hAnsi="Times New Roman" w:cs="Times New Roman"/>
          <w:color w:val="000000" w:themeColor="text1"/>
          <w:sz w:val="24"/>
          <w:szCs w:val="24"/>
        </w:rPr>
        <w:t>,</w:t>
      </w:r>
      <w:r w:rsidR="00B12D96" w:rsidRPr="37830EE2">
        <w:rPr>
          <w:rFonts w:ascii="Times New Roman" w:eastAsia="Times New Roman" w:hAnsi="Times New Roman" w:cs="Times New Roman"/>
          <w:color w:val="000000" w:themeColor="text1"/>
          <w:sz w:val="24"/>
          <w:szCs w:val="24"/>
        </w:rPr>
        <w:t xml:space="preserve"> which</w:t>
      </w:r>
      <w:r w:rsidRPr="37830EE2">
        <w:rPr>
          <w:rFonts w:ascii="Times New Roman" w:eastAsia="Times New Roman" w:hAnsi="Times New Roman" w:cs="Times New Roman"/>
          <w:color w:val="000000" w:themeColor="text1"/>
          <w:sz w:val="24"/>
          <w:szCs w:val="24"/>
        </w:rPr>
        <w:t xml:space="preserve"> is to be left to God; their calling, like Michaels, is to defend; In other words, Moses</w:t>
      </w:r>
      <w:r w:rsidR="00B12D96">
        <w:rPr>
          <w:rFonts w:ascii="Times New Roman" w:eastAsia="Times New Roman" w:hAnsi="Times New Roman" w:cs="Times New Roman"/>
          <w:color w:val="000000" w:themeColor="text1"/>
          <w:sz w:val="24"/>
          <w:szCs w:val="24"/>
        </w:rPr>
        <w:t>’s</w:t>
      </w:r>
      <w:r w:rsidRPr="37830EE2">
        <w:rPr>
          <w:rFonts w:ascii="Times New Roman" w:eastAsia="Times New Roman" w:hAnsi="Times New Roman" w:cs="Times New Roman"/>
          <w:color w:val="000000" w:themeColor="text1"/>
          <w:sz w:val="24"/>
          <w:szCs w:val="24"/>
        </w:rPr>
        <w:t xml:space="preserve"> body can be parallel to the faith, protect it from your adversary but don’t play the role that only God can, final Judgment. Finally, by reducing the false teachers to “irrational animals” and by inferring that they only “know by instinct”, Jude is suggesting that they only know that which is physical, Kelly suggest that Jude is “looking back to his remarks in [verse] 8 about their […] ‘licentiousness’”</w:t>
      </w:r>
      <w:r w:rsidR="1E6AB3F4" w:rsidRPr="37830EE2">
        <w:rPr>
          <w:rStyle w:val="FootnoteReference"/>
          <w:rFonts w:ascii="Times New Roman" w:eastAsia="Times New Roman" w:hAnsi="Times New Roman" w:cs="Times New Roman"/>
          <w:color w:val="000000" w:themeColor="text1"/>
          <w:sz w:val="24"/>
          <w:szCs w:val="24"/>
        </w:rPr>
        <w:footnoteReference w:id="11"/>
      </w:r>
      <w:r w:rsidR="00B12D96">
        <w:rPr>
          <w:rFonts w:ascii="Times New Roman" w:eastAsia="Times New Roman" w:hAnsi="Times New Roman" w:cs="Times New Roman"/>
          <w:color w:val="000000" w:themeColor="text1"/>
          <w:sz w:val="24"/>
          <w:szCs w:val="24"/>
        </w:rPr>
        <w:t>. Moreover, if one takes “know by instinct”</w:t>
      </w:r>
      <w:r w:rsidRPr="37830EE2">
        <w:rPr>
          <w:rFonts w:ascii="Times New Roman" w:eastAsia="Times New Roman" w:hAnsi="Times New Roman" w:cs="Times New Roman"/>
          <w:color w:val="000000" w:themeColor="text1"/>
          <w:sz w:val="24"/>
          <w:szCs w:val="24"/>
        </w:rPr>
        <w:t xml:space="preserve"> and compares it to Jude 5 where the community he writes to are regarded as </w:t>
      </w:r>
      <w:r w:rsidR="00B12D96">
        <w:rPr>
          <w:rFonts w:ascii="Times New Roman" w:eastAsia="Times New Roman" w:hAnsi="Times New Roman" w:cs="Times New Roman"/>
          <w:color w:val="000000" w:themeColor="text1"/>
          <w:sz w:val="24"/>
          <w:szCs w:val="24"/>
        </w:rPr>
        <w:t>“</w:t>
      </w:r>
      <w:r w:rsidRPr="37830EE2">
        <w:rPr>
          <w:rFonts w:ascii="Times New Roman" w:eastAsia="Times New Roman" w:hAnsi="Times New Roman" w:cs="Times New Roman"/>
          <w:color w:val="000000" w:themeColor="text1"/>
          <w:sz w:val="24"/>
          <w:szCs w:val="24"/>
        </w:rPr>
        <w:t xml:space="preserve">fully informed” then we can see that the knowledge imbued in his fellow Christian is of the spirit, therefore as Jude will </w:t>
      </w:r>
      <w:r w:rsidR="00B12D96">
        <w:rPr>
          <w:rFonts w:ascii="Times New Roman" w:eastAsia="Times New Roman" w:hAnsi="Times New Roman" w:cs="Times New Roman"/>
          <w:color w:val="000000" w:themeColor="text1"/>
          <w:sz w:val="24"/>
          <w:szCs w:val="24"/>
        </w:rPr>
        <w:t>come to in 19 where he states, “</w:t>
      </w:r>
      <w:r w:rsidRPr="37830EE2">
        <w:rPr>
          <w:rFonts w:ascii="Times New Roman" w:eastAsia="Times New Roman" w:hAnsi="Times New Roman" w:cs="Times New Roman"/>
          <w:color w:val="000000" w:themeColor="text1"/>
          <w:sz w:val="24"/>
          <w:szCs w:val="24"/>
        </w:rPr>
        <w:t>it is these worldly people, [the false teachers],</w:t>
      </w:r>
      <w:r w:rsidR="00B12D96">
        <w:rPr>
          <w:rFonts w:ascii="Times New Roman" w:eastAsia="Times New Roman" w:hAnsi="Times New Roman" w:cs="Times New Roman"/>
          <w:color w:val="000000" w:themeColor="text1"/>
          <w:sz w:val="24"/>
          <w:szCs w:val="24"/>
        </w:rPr>
        <w:t xml:space="preserve"> [who are] devoid of the Spirit”</w:t>
      </w:r>
      <w:r w:rsidRPr="37830EE2">
        <w:rPr>
          <w:rFonts w:ascii="Times New Roman" w:eastAsia="Times New Roman" w:hAnsi="Times New Roman" w:cs="Times New Roman"/>
          <w:color w:val="000000" w:themeColor="text1"/>
          <w:sz w:val="24"/>
          <w:szCs w:val="24"/>
        </w:rPr>
        <w:t>; their knowledge is strictly limited to earthly pleasures.</w:t>
      </w:r>
    </w:p>
    <w:p w14:paraId="669D0423" w14:textId="5431978E" w:rsidR="1E6AB3F4" w:rsidRDefault="6A4016E5" w:rsidP="6A4016E5">
      <w:pPr>
        <w:jc w:val="both"/>
        <w:rPr>
          <w:rFonts w:ascii="Times New Roman" w:eastAsia="Times New Roman" w:hAnsi="Times New Roman" w:cs="Times New Roman"/>
          <w:color w:val="000000" w:themeColor="text1"/>
          <w:sz w:val="24"/>
          <w:szCs w:val="24"/>
        </w:rPr>
      </w:pPr>
      <w:r w:rsidRPr="6A4016E5">
        <w:rPr>
          <w:rFonts w:ascii="Times New Roman" w:eastAsia="Times New Roman" w:hAnsi="Times New Roman" w:cs="Times New Roman"/>
          <w:color w:val="000000" w:themeColor="text1"/>
          <w:sz w:val="24"/>
          <w:szCs w:val="24"/>
        </w:rPr>
        <w:t>The faith Jude commits to defending is seen as one of doctrinal importance, rather than a semantical point on right response to corre</w:t>
      </w:r>
      <w:r w:rsidR="00E16171">
        <w:rPr>
          <w:rFonts w:ascii="Times New Roman" w:eastAsia="Times New Roman" w:hAnsi="Times New Roman" w:cs="Times New Roman"/>
          <w:color w:val="000000" w:themeColor="text1"/>
          <w:sz w:val="24"/>
          <w:szCs w:val="24"/>
        </w:rPr>
        <w:t>ct doctrine, for Jude the false teachings are a threat to salvation itself</w:t>
      </w:r>
      <w:r w:rsidRPr="6A4016E5">
        <w:rPr>
          <w:rFonts w:ascii="Times New Roman" w:eastAsia="Times New Roman" w:hAnsi="Times New Roman" w:cs="Times New Roman"/>
          <w:color w:val="000000" w:themeColor="text1"/>
          <w:sz w:val="24"/>
          <w:szCs w:val="24"/>
        </w:rPr>
        <w:t xml:space="preserve">.  </w:t>
      </w:r>
      <w:r w:rsidR="00E16171">
        <w:rPr>
          <w:rFonts w:ascii="Times New Roman" w:eastAsia="Times New Roman" w:hAnsi="Times New Roman" w:cs="Times New Roman"/>
          <w:color w:val="000000" w:themeColor="text1"/>
          <w:sz w:val="24"/>
          <w:szCs w:val="24"/>
        </w:rPr>
        <w:t>Jude</w:t>
      </w:r>
      <w:r w:rsidRPr="6A4016E5">
        <w:rPr>
          <w:rFonts w:ascii="Times New Roman" w:eastAsia="Times New Roman" w:hAnsi="Times New Roman" w:cs="Times New Roman"/>
          <w:color w:val="000000" w:themeColor="text1"/>
          <w:sz w:val="24"/>
          <w:szCs w:val="24"/>
        </w:rPr>
        <w:t xml:space="preserve"> makes it known to the reader that he speaks with the authority of the Saints and therefore should be heard. The main disunity is coming from people within the fabric of the Church and they seem to be changing or under-minding the doctrine of grace and reducing it to a ‘do what you want attitude’. Furthermore, Jude informs the audience of their conduct in the world as a way of recognising them from true believers. Jude also alludes to the false teachers having no knowledge of the spirit, this seems to be his chief   message to his audience, as they have no spirit they have no credibility to be teaching on spiritual matters. Finally, in response to their archaic attitude, Jude gives three clear biblical examples of what happens to those who go against God’s will. However, he seems to make it clear that this is not his Judgment, although he does imply what the punishment may look like, his job is merely to protect the faith, it is ultimately up to God to Judge at the end of time. </w:t>
      </w:r>
    </w:p>
    <w:p w14:paraId="1D5785BF" w14:textId="1521549B" w:rsidR="1E6AB3F4" w:rsidRDefault="1E6AB3F4" w:rsidP="15B6838A">
      <w:pPr>
        <w:jc w:val="both"/>
        <w:rPr>
          <w:rFonts w:ascii="Times New Roman" w:eastAsia="Times New Roman" w:hAnsi="Times New Roman" w:cs="Times New Roman"/>
          <w:color w:val="000000" w:themeColor="text1"/>
          <w:sz w:val="24"/>
          <w:szCs w:val="24"/>
        </w:rPr>
      </w:pPr>
    </w:p>
    <w:p w14:paraId="6213F5B6" w14:textId="68F4282F" w:rsidR="1E6AB3F4" w:rsidRDefault="1E6AB3F4" w:rsidP="37830EE2">
      <w:pPr>
        <w:jc w:val="both"/>
        <w:rPr>
          <w:rFonts w:ascii="Times New Roman" w:eastAsia="Times New Roman" w:hAnsi="Times New Roman" w:cs="Times New Roman"/>
          <w:color w:val="000000" w:themeColor="text1"/>
          <w:sz w:val="24"/>
          <w:szCs w:val="24"/>
        </w:rPr>
      </w:pPr>
    </w:p>
    <w:p w14:paraId="1062694E" w14:textId="6647C544" w:rsidR="1E6AB3F4" w:rsidRDefault="1E6AB3F4" w:rsidP="15B6838A">
      <w:pPr>
        <w:jc w:val="both"/>
        <w:rPr>
          <w:rFonts w:ascii="Times New Roman" w:eastAsia="Times New Roman" w:hAnsi="Times New Roman" w:cs="Times New Roman"/>
          <w:sz w:val="24"/>
          <w:szCs w:val="24"/>
        </w:rPr>
      </w:pPr>
    </w:p>
    <w:p w14:paraId="3FD2A50A" w14:textId="5B4D8A61" w:rsidR="15B6838A" w:rsidRDefault="15B6838A" w:rsidP="15B6838A">
      <w:pPr>
        <w:jc w:val="both"/>
        <w:rPr>
          <w:rFonts w:ascii="Times New Roman" w:eastAsia="Times New Roman" w:hAnsi="Times New Roman" w:cs="Times New Roman"/>
          <w:sz w:val="24"/>
          <w:szCs w:val="24"/>
        </w:rPr>
      </w:pPr>
    </w:p>
    <w:p w14:paraId="7DDAB816" w14:textId="646DE010" w:rsidR="3BF24D3E" w:rsidRDefault="3BF24D3E" w:rsidP="15B6838A">
      <w:pPr>
        <w:ind w:left="720"/>
        <w:jc w:val="both"/>
        <w:rPr>
          <w:rFonts w:ascii="Times New Roman" w:eastAsia="Times New Roman" w:hAnsi="Times New Roman" w:cs="Times New Roman"/>
        </w:rPr>
      </w:pPr>
    </w:p>
    <w:p w14:paraId="781A621A" w14:textId="5BF6EEBF" w:rsidR="3BF24D3E" w:rsidRDefault="3BF24D3E" w:rsidP="3BF24D3E">
      <w:pPr>
        <w:jc w:val="both"/>
        <w:rPr>
          <w:sz w:val="20"/>
          <w:szCs w:val="20"/>
        </w:rPr>
      </w:pPr>
    </w:p>
    <w:p w14:paraId="53059195" w14:textId="77777777" w:rsidR="00B12D96" w:rsidRDefault="00B12D96" w:rsidP="00B12D96">
      <w:pPr>
        <w:pStyle w:val="FootnoteText"/>
      </w:pPr>
    </w:p>
    <w:p w14:paraId="677D20F2" w14:textId="08764C59" w:rsidR="00B12D96" w:rsidRPr="00B12D96" w:rsidRDefault="00B12D96" w:rsidP="00B12D96">
      <w:pPr>
        <w:pStyle w:val="FootnoteText"/>
        <w:rPr>
          <w:rFonts w:ascii="Times New Roman" w:hAnsi="Times New Roman" w:cs="Times New Roman"/>
          <w:b/>
          <w:color w:val="000000" w:themeColor="text1"/>
          <w:sz w:val="28"/>
          <w:szCs w:val="28"/>
          <w:u w:val="single"/>
        </w:rPr>
      </w:pPr>
      <w:r w:rsidRPr="00B12D96">
        <w:rPr>
          <w:rFonts w:ascii="Times New Roman" w:hAnsi="Times New Roman" w:cs="Times New Roman"/>
          <w:b/>
          <w:color w:val="000000" w:themeColor="text1"/>
          <w:sz w:val="28"/>
          <w:szCs w:val="28"/>
          <w:u w:val="single"/>
        </w:rPr>
        <w:lastRenderedPageBreak/>
        <w:t>Bibliography</w:t>
      </w:r>
    </w:p>
    <w:p w14:paraId="4A7D8C25" w14:textId="435FED8D" w:rsidR="00B12D96" w:rsidRDefault="00B12D96" w:rsidP="00B12D96">
      <w:pPr>
        <w:pStyle w:val="FootnoteText"/>
        <w:rPr>
          <w:rFonts w:ascii="Times New Roman" w:hAnsi="Times New Roman" w:cs="Times New Roman"/>
          <w:color w:val="000000" w:themeColor="text1"/>
          <w:sz w:val="28"/>
          <w:szCs w:val="28"/>
        </w:rPr>
      </w:pPr>
    </w:p>
    <w:p w14:paraId="0D01DAD7" w14:textId="77777777" w:rsidR="007845FB" w:rsidRDefault="007845FB" w:rsidP="007845F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Holy Bible NRSV Catholic Edition </w:t>
      </w:r>
    </w:p>
    <w:p w14:paraId="6614549A" w14:textId="77777777" w:rsidR="007845FB" w:rsidRDefault="007845FB" w:rsidP="00B12D96">
      <w:pPr>
        <w:pStyle w:val="FootnoteText"/>
        <w:rPr>
          <w:rFonts w:ascii="Times New Roman" w:hAnsi="Times New Roman" w:cs="Times New Roman"/>
          <w:color w:val="000000" w:themeColor="text1"/>
          <w:sz w:val="28"/>
          <w:szCs w:val="28"/>
        </w:rPr>
      </w:pPr>
    </w:p>
    <w:p w14:paraId="320D67C6" w14:textId="6254B0ED" w:rsidR="00B12D96" w:rsidRPr="00B12D96" w:rsidRDefault="00B12D96" w:rsidP="00B12D96">
      <w:pPr>
        <w:pStyle w:val="FootnoteText"/>
        <w:rPr>
          <w:rFonts w:ascii="Times New Roman" w:hAnsi="Times New Roman" w:cs="Times New Roman"/>
          <w:color w:val="000000" w:themeColor="text1"/>
          <w:sz w:val="28"/>
          <w:szCs w:val="28"/>
        </w:rPr>
      </w:pPr>
      <w:r w:rsidRPr="00B12D96">
        <w:rPr>
          <w:rFonts w:ascii="Times New Roman" w:hAnsi="Times New Roman" w:cs="Times New Roman"/>
          <w:color w:val="000000" w:themeColor="text1"/>
          <w:sz w:val="28"/>
          <w:szCs w:val="28"/>
        </w:rPr>
        <w:t xml:space="preserve">Kelly J.N.D., </w:t>
      </w:r>
      <w:r w:rsidRPr="00B12D96">
        <w:rPr>
          <w:rFonts w:ascii="Times New Roman" w:hAnsi="Times New Roman" w:cs="Times New Roman"/>
          <w:i/>
          <w:iCs/>
          <w:color w:val="000000" w:themeColor="text1"/>
          <w:sz w:val="28"/>
          <w:szCs w:val="28"/>
        </w:rPr>
        <w:t xml:space="preserve">A Commentary on </w:t>
      </w:r>
      <w:proofErr w:type="gramStart"/>
      <w:r w:rsidRPr="00B12D96">
        <w:rPr>
          <w:rFonts w:ascii="Times New Roman" w:hAnsi="Times New Roman" w:cs="Times New Roman"/>
          <w:i/>
          <w:iCs/>
          <w:color w:val="000000" w:themeColor="text1"/>
          <w:sz w:val="28"/>
          <w:szCs w:val="28"/>
        </w:rPr>
        <w:t>The</w:t>
      </w:r>
      <w:proofErr w:type="gramEnd"/>
      <w:r w:rsidRPr="00B12D96">
        <w:rPr>
          <w:rFonts w:ascii="Times New Roman" w:hAnsi="Times New Roman" w:cs="Times New Roman"/>
          <w:i/>
          <w:iCs/>
          <w:color w:val="000000" w:themeColor="text1"/>
          <w:sz w:val="28"/>
          <w:szCs w:val="28"/>
        </w:rPr>
        <w:t xml:space="preserve"> Epistles of Peter and Jude </w:t>
      </w:r>
      <w:r w:rsidRPr="00B12D96">
        <w:rPr>
          <w:rFonts w:ascii="Times New Roman" w:hAnsi="Times New Roman" w:cs="Times New Roman"/>
          <w:color w:val="000000" w:themeColor="text1"/>
          <w:sz w:val="28"/>
          <w:szCs w:val="28"/>
        </w:rPr>
        <w:t>(London: A &amp; C Black, 1969).</w:t>
      </w:r>
    </w:p>
    <w:p w14:paraId="58E69EDE" w14:textId="22698F21" w:rsidR="00B12D96" w:rsidRPr="00B12D96" w:rsidRDefault="00B12D96" w:rsidP="00B12D96">
      <w:pPr>
        <w:pStyle w:val="FootnoteText"/>
        <w:rPr>
          <w:rFonts w:ascii="Times New Roman" w:hAnsi="Times New Roman" w:cs="Times New Roman"/>
          <w:color w:val="000000" w:themeColor="text1"/>
          <w:sz w:val="28"/>
          <w:szCs w:val="28"/>
        </w:rPr>
      </w:pPr>
    </w:p>
    <w:p w14:paraId="46A4AEB8" w14:textId="45970033" w:rsidR="00B12D96" w:rsidRPr="00B12D96" w:rsidRDefault="00B12D96" w:rsidP="00B12D96">
      <w:pPr>
        <w:pStyle w:val="FootnoteText"/>
        <w:rPr>
          <w:rFonts w:ascii="Times New Roman" w:hAnsi="Times New Roman" w:cs="Times New Roman"/>
          <w:sz w:val="28"/>
          <w:szCs w:val="28"/>
        </w:rPr>
      </w:pPr>
      <w:proofErr w:type="spellStart"/>
      <w:r w:rsidRPr="00B12D96">
        <w:rPr>
          <w:rFonts w:ascii="Times New Roman" w:hAnsi="Times New Roman" w:cs="Times New Roman"/>
          <w:color w:val="000000" w:themeColor="text1"/>
          <w:sz w:val="28"/>
          <w:szCs w:val="28"/>
        </w:rPr>
        <w:t>Leaney</w:t>
      </w:r>
      <w:proofErr w:type="spellEnd"/>
      <w:r w:rsidRPr="00B12D96">
        <w:rPr>
          <w:rFonts w:ascii="Times New Roman" w:hAnsi="Times New Roman" w:cs="Times New Roman"/>
          <w:color w:val="000000" w:themeColor="text1"/>
          <w:sz w:val="28"/>
          <w:szCs w:val="28"/>
        </w:rPr>
        <w:t xml:space="preserve"> A.R.C., </w:t>
      </w:r>
      <w:proofErr w:type="gramStart"/>
      <w:r w:rsidRPr="00B12D96">
        <w:rPr>
          <w:rFonts w:ascii="Times New Roman" w:hAnsi="Times New Roman" w:cs="Times New Roman"/>
          <w:i/>
          <w:iCs/>
          <w:color w:val="000000" w:themeColor="text1"/>
          <w:sz w:val="28"/>
          <w:szCs w:val="28"/>
        </w:rPr>
        <w:t>The</w:t>
      </w:r>
      <w:proofErr w:type="gramEnd"/>
      <w:r w:rsidRPr="00B12D96">
        <w:rPr>
          <w:rFonts w:ascii="Times New Roman" w:hAnsi="Times New Roman" w:cs="Times New Roman"/>
          <w:i/>
          <w:iCs/>
          <w:color w:val="000000" w:themeColor="text1"/>
          <w:sz w:val="28"/>
          <w:szCs w:val="28"/>
        </w:rPr>
        <w:t xml:space="preserve"> Letters of Peter and Jude </w:t>
      </w:r>
      <w:r w:rsidRPr="00B12D96">
        <w:rPr>
          <w:rFonts w:ascii="Times New Roman" w:hAnsi="Times New Roman" w:cs="Times New Roman"/>
          <w:color w:val="000000" w:themeColor="text1"/>
          <w:sz w:val="28"/>
          <w:szCs w:val="28"/>
        </w:rPr>
        <w:t>(London: Cambridge University Press, 1967).</w:t>
      </w:r>
    </w:p>
    <w:p w14:paraId="351E2EDA" w14:textId="77777777" w:rsidR="007845FB" w:rsidRPr="00B12D96" w:rsidRDefault="007845FB" w:rsidP="3BF24D3E">
      <w:pPr>
        <w:jc w:val="both"/>
        <w:rPr>
          <w:rFonts w:ascii="Times New Roman" w:eastAsia="Times New Roman" w:hAnsi="Times New Roman" w:cs="Times New Roman"/>
          <w:sz w:val="28"/>
          <w:szCs w:val="28"/>
        </w:rPr>
      </w:pPr>
    </w:p>
    <w:sectPr w:rsidR="007845FB" w:rsidRPr="00B12D9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CFDCE" w14:textId="77777777" w:rsidR="006578B1" w:rsidRDefault="006578B1">
      <w:pPr>
        <w:spacing w:after="0" w:line="240" w:lineRule="auto"/>
      </w:pPr>
      <w:r>
        <w:separator/>
      </w:r>
    </w:p>
  </w:endnote>
  <w:endnote w:type="continuationSeparator" w:id="0">
    <w:p w14:paraId="303529E0" w14:textId="77777777" w:rsidR="006578B1" w:rsidRDefault="00657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D98F7" w14:textId="77777777" w:rsidR="006578B1" w:rsidRDefault="006578B1">
      <w:pPr>
        <w:spacing w:after="0" w:line="240" w:lineRule="auto"/>
      </w:pPr>
      <w:r>
        <w:separator/>
      </w:r>
    </w:p>
  </w:footnote>
  <w:footnote w:type="continuationSeparator" w:id="0">
    <w:p w14:paraId="443118D0" w14:textId="77777777" w:rsidR="006578B1" w:rsidRDefault="006578B1">
      <w:pPr>
        <w:spacing w:after="0" w:line="240" w:lineRule="auto"/>
      </w:pPr>
      <w:r>
        <w:continuationSeparator/>
      </w:r>
    </w:p>
  </w:footnote>
  <w:footnote w:id="1">
    <w:p w14:paraId="07479A3E" w14:textId="7C3568E1" w:rsidR="3BF24D3E" w:rsidRDefault="3BF24D3E" w:rsidP="3BF24D3E">
      <w:pPr>
        <w:pStyle w:val="FootnoteText"/>
      </w:pPr>
      <w:r w:rsidRPr="3BF24D3E">
        <w:rPr>
          <w:rStyle w:val="FootnoteReference"/>
        </w:rPr>
        <w:footnoteRef/>
      </w:r>
      <w:r>
        <w:t xml:space="preserve"> </w:t>
      </w:r>
      <w:r w:rsidR="37830EE2" w:rsidRPr="37830EE2">
        <w:rPr>
          <w:color w:val="000000" w:themeColor="text1"/>
        </w:rPr>
        <w:t xml:space="preserve">J.N.D. Kelly, </w:t>
      </w:r>
      <w:proofErr w:type="gramStart"/>
      <w:r w:rsidR="37830EE2" w:rsidRPr="37830EE2">
        <w:rPr>
          <w:i/>
          <w:iCs/>
          <w:color w:val="000000" w:themeColor="text1"/>
        </w:rPr>
        <w:t>A</w:t>
      </w:r>
      <w:proofErr w:type="gramEnd"/>
      <w:r w:rsidR="37830EE2" w:rsidRPr="37830EE2">
        <w:rPr>
          <w:i/>
          <w:iCs/>
          <w:color w:val="000000" w:themeColor="text1"/>
        </w:rPr>
        <w:t xml:space="preserve"> Commentary on The Epistles of Peter and Jude </w:t>
      </w:r>
      <w:r w:rsidR="00B12D96">
        <w:rPr>
          <w:color w:val="000000" w:themeColor="text1"/>
        </w:rPr>
        <w:t>(London: A &amp; C Black</w:t>
      </w:r>
      <w:r w:rsidR="37830EE2" w:rsidRPr="37830EE2">
        <w:rPr>
          <w:color w:val="000000" w:themeColor="text1"/>
        </w:rPr>
        <w:t>, 1969), p. 247.</w:t>
      </w:r>
    </w:p>
  </w:footnote>
  <w:footnote w:id="2">
    <w:p w14:paraId="4EC0DAA9" w14:textId="5D53E424" w:rsidR="3BF24D3E" w:rsidRDefault="3BF24D3E" w:rsidP="3BF24D3E">
      <w:pPr>
        <w:pStyle w:val="FootnoteText"/>
      </w:pPr>
      <w:r w:rsidRPr="3BF24D3E">
        <w:rPr>
          <w:rStyle w:val="FootnoteReference"/>
        </w:rPr>
        <w:footnoteRef/>
      </w:r>
      <w:r>
        <w:t xml:space="preserve"> Ibid, p. 248.</w:t>
      </w:r>
    </w:p>
  </w:footnote>
  <w:footnote w:id="3">
    <w:p w14:paraId="0D41350A" w14:textId="3FF70BCF" w:rsidR="3DDE5024" w:rsidRDefault="3DDE5024" w:rsidP="3DDE5024">
      <w:pPr>
        <w:pStyle w:val="FootnoteText"/>
      </w:pPr>
      <w:r w:rsidRPr="3DDE5024">
        <w:rPr>
          <w:rStyle w:val="FootnoteReference"/>
        </w:rPr>
        <w:footnoteRef/>
      </w:r>
      <w:r>
        <w:t xml:space="preserve"> Ibid, p. 249.</w:t>
      </w:r>
    </w:p>
  </w:footnote>
  <w:footnote w:id="4">
    <w:p w14:paraId="10B29346" w14:textId="72585CEB" w:rsidR="3DDE5024" w:rsidRDefault="3DDE5024" w:rsidP="3DDE5024">
      <w:pPr>
        <w:pStyle w:val="FootnoteText"/>
      </w:pPr>
      <w:r w:rsidRPr="3DDE5024">
        <w:rPr>
          <w:rStyle w:val="FootnoteReference"/>
        </w:rPr>
        <w:footnoteRef/>
      </w:r>
      <w:r w:rsidRPr="37830EE2">
        <w:t xml:space="preserve"> </w:t>
      </w:r>
      <w:r w:rsidR="00B12D96">
        <w:rPr>
          <w:color w:val="000000" w:themeColor="text1"/>
        </w:rPr>
        <w:t xml:space="preserve">A.R.C. </w:t>
      </w:r>
      <w:proofErr w:type="spellStart"/>
      <w:r w:rsidR="00B12D96">
        <w:rPr>
          <w:color w:val="000000" w:themeColor="text1"/>
        </w:rPr>
        <w:t>Leaney</w:t>
      </w:r>
      <w:proofErr w:type="spellEnd"/>
      <w:r w:rsidR="37830EE2" w:rsidRPr="37830EE2">
        <w:rPr>
          <w:color w:val="000000" w:themeColor="text1"/>
        </w:rPr>
        <w:t xml:space="preserve">, </w:t>
      </w:r>
      <w:proofErr w:type="gramStart"/>
      <w:r w:rsidR="37830EE2" w:rsidRPr="37830EE2">
        <w:rPr>
          <w:i/>
          <w:iCs/>
          <w:color w:val="000000" w:themeColor="text1"/>
        </w:rPr>
        <w:t>The</w:t>
      </w:r>
      <w:proofErr w:type="gramEnd"/>
      <w:r w:rsidR="37830EE2" w:rsidRPr="37830EE2">
        <w:rPr>
          <w:i/>
          <w:iCs/>
          <w:color w:val="000000" w:themeColor="text1"/>
        </w:rPr>
        <w:t xml:space="preserve"> Letters of Peter and Jude </w:t>
      </w:r>
      <w:r w:rsidR="37830EE2" w:rsidRPr="37830EE2">
        <w:rPr>
          <w:color w:val="000000" w:themeColor="text1"/>
        </w:rPr>
        <w:t>(Lon</w:t>
      </w:r>
      <w:r w:rsidR="00B12D96">
        <w:rPr>
          <w:color w:val="000000" w:themeColor="text1"/>
        </w:rPr>
        <w:t>don: Cambridge University Press</w:t>
      </w:r>
      <w:r w:rsidR="37830EE2" w:rsidRPr="37830EE2">
        <w:rPr>
          <w:color w:val="000000" w:themeColor="text1"/>
        </w:rPr>
        <w:t xml:space="preserve">, 1967), p </w:t>
      </w:r>
      <w:r w:rsidRPr="37830EE2">
        <w:t>87.</w:t>
      </w:r>
    </w:p>
  </w:footnote>
  <w:footnote w:id="5">
    <w:p w14:paraId="08B6A83B" w14:textId="4DEFC968" w:rsidR="72B8D77D" w:rsidRDefault="72B8D77D" w:rsidP="72B8D77D">
      <w:pPr>
        <w:pStyle w:val="FootnoteText"/>
      </w:pPr>
      <w:r w:rsidRPr="72B8D77D">
        <w:rPr>
          <w:rStyle w:val="FootnoteReference"/>
        </w:rPr>
        <w:footnoteRef/>
      </w:r>
      <w:r w:rsidRPr="37830EE2">
        <w:t xml:space="preserve"> </w:t>
      </w:r>
      <w:r w:rsidR="37830EE2" w:rsidRPr="37830EE2">
        <w:rPr>
          <w:color w:val="000000" w:themeColor="text1"/>
        </w:rPr>
        <w:t xml:space="preserve">J.N.D. Kelly, </w:t>
      </w:r>
      <w:proofErr w:type="gramStart"/>
      <w:r w:rsidR="37830EE2" w:rsidRPr="37830EE2">
        <w:rPr>
          <w:i/>
          <w:iCs/>
          <w:color w:val="000000" w:themeColor="text1"/>
        </w:rPr>
        <w:t>A</w:t>
      </w:r>
      <w:proofErr w:type="gramEnd"/>
      <w:r w:rsidR="37830EE2" w:rsidRPr="37830EE2">
        <w:rPr>
          <w:i/>
          <w:iCs/>
          <w:color w:val="000000" w:themeColor="text1"/>
        </w:rPr>
        <w:t xml:space="preserve"> Commentary on The Epistles of Peter and Jude </w:t>
      </w:r>
      <w:r w:rsidR="37830EE2" w:rsidRPr="37830EE2">
        <w:rPr>
          <w:color w:val="000000" w:themeColor="text1"/>
        </w:rPr>
        <w:t xml:space="preserve">(London: A &amp; C Black, 1969), p. </w:t>
      </w:r>
      <w:r w:rsidRPr="37830EE2">
        <w:t>257.</w:t>
      </w:r>
    </w:p>
  </w:footnote>
  <w:footnote w:id="6">
    <w:p w14:paraId="45379C72" w14:textId="4043ED37" w:rsidR="72B8D77D" w:rsidRDefault="72B8D77D" w:rsidP="72B8D77D">
      <w:pPr>
        <w:pStyle w:val="FootnoteText"/>
      </w:pPr>
      <w:r w:rsidRPr="72B8D77D">
        <w:rPr>
          <w:rStyle w:val="FootnoteReference"/>
        </w:rPr>
        <w:footnoteRef/>
      </w:r>
      <w:r>
        <w:t xml:space="preserve"> Ibid, p. 258.</w:t>
      </w:r>
    </w:p>
  </w:footnote>
  <w:footnote w:id="7">
    <w:p w14:paraId="6EDA830A" w14:textId="5DCEFF5C" w:rsidR="15B6838A" w:rsidRDefault="15B6838A" w:rsidP="15B6838A">
      <w:pPr>
        <w:pStyle w:val="FootnoteText"/>
      </w:pPr>
      <w:r w:rsidRPr="15B6838A">
        <w:rPr>
          <w:rStyle w:val="FootnoteReference"/>
        </w:rPr>
        <w:footnoteRef/>
      </w:r>
      <w:r>
        <w:t xml:space="preserve"> Ibid, p. 259.</w:t>
      </w:r>
    </w:p>
  </w:footnote>
  <w:footnote w:id="8">
    <w:p w14:paraId="070EE2BB" w14:textId="4514D697" w:rsidR="15B6838A" w:rsidRDefault="15B6838A" w:rsidP="15B6838A">
      <w:pPr>
        <w:pStyle w:val="FootnoteText"/>
      </w:pPr>
      <w:r w:rsidRPr="15B6838A">
        <w:rPr>
          <w:rStyle w:val="FootnoteReference"/>
        </w:rPr>
        <w:footnoteRef/>
      </w:r>
      <w:r>
        <w:t xml:space="preserve"> Ibid, p. 264.</w:t>
      </w:r>
    </w:p>
  </w:footnote>
  <w:footnote w:id="9">
    <w:p w14:paraId="436BADBB" w14:textId="4A4E62A5" w:rsidR="15B6838A" w:rsidRDefault="15B6838A" w:rsidP="15B6838A">
      <w:pPr>
        <w:pStyle w:val="FootnoteText"/>
      </w:pPr>
      <w:r w:rsidRPr="15B6838A">
        <w:rPr>
          <w:rStyle w:val="FootnoteReference"/>
        </w:rPr>
        <w:footnoteRef/>
      </w:r>
      <w:r>
        <w:t xml:space="preserve"> Ibid </w:t>
      </w:r>
    </w:p>
  </w:footnote>
  <w:footnote w:id="10">
    <w:p w14:paraId="3C8353CA" w14:textId="4959C487" w:rsidR="15B6838A" w:rsidRDefault="15B6838A" w:rsidP="15B6838A">
      <w:pPr>
        <w:pStyle w:val="FootnoteText"/>
      </w:pPr>
      <w:r w:rsidRPr="15B6838A">
        <w:rPr>
          <w:rStyle w:val="FootnoteReference"/>
        </w:rPr>
        <w:footnoteRef/>
      </w:r>
      <w:r>
        <w:t>Ibid, p. 263.</w:t>
      </w:r>
    </w:p>
  </w:footnote>
  <w:footnote w:id="11">
    <w:p w14:paraId="4A639F2F" w14:textId="54078D94" w:rsidR="37830EE2" w:rsidRDefault="37830EE2" w:rsidP="37830EE2">
      <w:pPr>
        <w:pStyle w:val="FootnoteText"/>
      </w:pPr>
      <w:r w:rsidRPr="37830EE2">
        <w:rPr>
          <w:rStyle w:val="FootnoteReference"/>
        </w:rPr>
        <w:footnoteRef/>
      </w:r>
      <w:r>
        <w:t xml:space="preserve"> Ibid, p. 266.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4DD5E6"/>
    <w:rsid w:val="00102B08"/>
    <w:rsid w:val="006578B1"/>
    <w:rsid w:val="00765B1F"/>
    <w:rsid w:val="007845FB"/>
    <w:rsid w:val="008F237D"/>
    <w:rsid w:val="00B12D96"/>
    <w:rsid w:val="00E16171"/>
    <w:rsid w:val="15B6838A"/>
    <w:rsid w:val="1E6AB3F4"/>
    <w:rsid w:val="344DD5E6"/>
    <w:rsid w:val="37830EE2"/>
    <w:rsid w:val="3BF24D3E"/>
    <w:rsid w:val="3DDE5024"/>
    <w:rsid w:val="3FF86C7B"/>
    <w:rsid w:val="6A4016E5"/>
    <w:rsid w:val="72B8D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DD5E6"/>
  <w15:chartTrackingRefBased/>
  <w15:docId w15:val="{A5185349-49B9-4C09-BF53-2B541DE57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1496</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cp:lastModifiedBy>
  <cp:revision>2</cp:revision>
  <dcterms:created xsi:type="dcterms:W3CDTF">2018-10-06T13:52:00Z</dcterms:created>
  <dcterms:modified xsi:type="dcterms:W3CDTF">2018-10-06T13:52:00Z</dcterms:modified>
</cp:coreProperties>
</file>