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9550A" w14:textId="75F81C4F" w:rsidR="00B50FBC" w:rsidRDefault="00217E86" w:rsidP="00217E86">
      <w:pPr>
        <w:spacing w:line="360" w:lineRule="auto"/>
        <w:jc w:val="center"/>
        <w:rPr>
          <w:rFonts w:ascii="Arial Narrow" w:hAnsi="Arial Narrow"/>
          <w:u w:val="single"/>
        </w:rPr>
      </w:pPr>
      <w:r w:rsidRPr="00217E86">
        <w:rPr>
          <w:rFonts w:ascii="Arial Narrow" w:hAnsi="Arial Narrow"/>
          <w:u w:val="single"/>
        </w:rPr>
        <w:t>Bilingualism &amp; Multilingualism</w:t>
      </w:r>
    </w:p>
    <w:p w14:paraId="5A0C6F79" w14:textId="77777777" w:rsidR="00217E86" w:rsidRDefault="00217E86" w:rsidP="00217E86">
      <w:pPr>
        <w:spacing w:line="360" w:lineRule="auto"/>
        <w:jc w:val="center"/>
        <w:rPr>
          <w:rFonts w:ascii="Arial Narrow" w:hAnsi="Arial Narrow"/>
          <w:u w:val="single"/>
        </w:rPr>
      </w:pPr>
    </w:p>
    <w:p w14:paraId="6D04BE8C" w14:textId="22A4D0A4" w:rsidR="004B14C3" w:rsidRDefault="004B14C3" w:rsidP="004A10AC">
      <w:pPr>
        <w:spacing w:line="360" w:lineRule="auto"/>
        <w:rPr>
          <w:rFonts w:ascii="Arial Narrow" w:hAnsi="Arial Narrow"/>
        </w:rPr>
      </w:pPr>
      <w:r>
        <w:rPr>
          <w:rFonts w:ascii="Arial Narrow" w:hAnsi="Arial Narrow"/>
        </w:rPr>
        <w:t>Good mornin</w:t>
      </w:r>
      <w:r w:rsidR="003E7F27">
        <w:rPr>
          <w:rFonts w:ascii="Arial Narrow" w:hAnsi="Arial Narrow"/>
        </w:rPr>
        <w:t xml:space="preserve">g and </w:t>
      </w:r>
      <w:r>
        <w:rPr>
          <w:rFonts w:ascii="Arial Narrow" w:hAnsi="Arial Narrow"/>
        </w:rPr>
        <w:t xml:space="preserve">thank you very much for joining me. My name is Mia </w:t>
      </w:r>
      <w:proofErr w:type="gramStart"/>
      <w:r>
        <w:rPr>
          <w:rFonts w:ascii="Arial Narrow" w:hAnsi="Arial Narrow"/>
        </w:rPr>
        <w:t>Wiles</w:t>
      </w:r>
      <w:proofErr w:type="gramEnd"/>
      <w:r>
        <w:rPr>
          <w:rFonts w:ascii="Arial Narrow" w:hAnsi="Arial Narrow"/>
        </w:rPr>
        <w:t xml:space="preserve"> and my student number is 2306399. Today I will be discussing the benefits of bilingualism and multilingualism on children’s holistic brain development and the effects of Welsh as an additional language. </w:t>
      </w:r>
      <w:r w:rsidR="00126CBD">
        <w:rPr>
          <w:rFonts w:ascii="Arial Narrow" w:hAnsi="Arial Narrow"/>
        </w:rPr>
        <w:t xml:space="preserve">To begin I will be analysing the advantages of bilingualism and multilingualism. Additionally, I will review the effects of Welsh and English as additional languages. Subsequently, I will be discussing the effects of multilingualism on a child’s brain development, and its effects on divergent thinking. To conclude I will link my preceding </w:t>
      </w:r>
      <w:r w:rsidR="004A10AC">
        <w:rPr>
          <w:rFonts w:ascii="Arial Narrow" w:hAnsi="Arial Narrow"/>
        </w:rPr>
        <w:t>points with early years frameworks and programmes</w:t>
      </w:r>
      <w:r w:rsidR="00C9722C">
        <w:rPr>
          <w:rFonts w:ascii="Arial Narrow" w:hAnsi="Arial Narrow"/>
        </w:rPr>
        <w:t xml:space="preserve"> in Wales</w:t>
      </w:r>
      <w:r w:rsidR="004A10AC">
        <w:rPr>
          <w:rFonts w:ascii="Arial Narrow" w:hAnsi="Arial Narrow"/>
        </w:rPr>
        <w:t xml:space="preserve">. </w:t>
      </w:r>
    </w:p>
    <w:p w14:paraId="72B5FC8E" w14:textId="77777777" w:rsidR="004A10AC" w:rsidRDefault="004A10AC" w:rsidP="004B14C3">
      <w:pPr>
        <w:spacing w:line="360" w:lineRule="auto"/>
        <w:rPr>
          <w:rFonts w:ascii="Arial Narrow" w:hAnsi="Arial Narrow"/>
        </w:rPr>
      </w:pPr>
    </w:p>
    <w:p w14:paraId="146CDCD0" w14:textId="54F23BEF" w:rsidR="00D41908" w:rsidRDefault="004A10AC" w:rsidP="004053CA">
      <w:pPr>
        <w:spacing w:line="360" w:lineRule="auto"/>
        <w:rPr>
          <w:rFonts w:ascii="Arial Narrow" w:hAnsi="Arial Narrow"/>
        </w:rPr>
      </w:pPr>
      <w:r>
        <w:rPr>
          <w:rFonts w:ascii="Arial Narrow" w:hAnsi="Arial Narrow"/>
        </w:rPr>
        <w:t xml:space="preserve">It is most important to consider that the term ‘bilingual’ possesses disparate notions to different people and that bilingualism </w:t>
      </w:r>
      <w:proofErr w:type="gramStart"/>
      <w:r>
        <w:rPr>
          <w:rFonts w:ascii="Arial Narrow" w:hAnsi="Arial Narrow"/>
        </w:rPr>
        <w:t>in itself ranges</w:t>
      </w:r>
      <w:proofErr w:type="gramEnd"/>
      <w:r>
        <w:rPr>
          <w:rFonts w:ascii="Arial Narrow" w:hAnsi="Arial Narrow"/>
        </w:rPr>
        <w:t xml:space="preserve"> from </w:t>
      </w:r>
      <w:r w:rsidR="00D41908">
        <w:rPr>
          <w:rFonts w:ascii="Arial Narrow" w:hAnsi="Arial Narrow"/>
        </w:rPr>
        <w:t xml:space="preserve">a </w:t>
      </w:r>
      <w:r>
        <w:rPr>
          <w:rFonts w:ascii="Arial Narrow" w:hAnsi="Arial Narrow"/>
        </w:rPr>
        <w:t>minimal proficiency in two languages, progressing then towards</w:t>
      </w:r>
      <w:r w:rsidR="00D41908">
        <w:rPr>
          <w:rFonts w:ascii="Arial Narrow" w:hAnsi="Arial Narrow"/>
        </w:rPr>
        <w:t xml:space="preserve"> an advanced level of proficiency in three or more languages (</w:t>
      </w:r>
      <w:proofErr w:type="spellStart"/>
      <w:r w:rsidR="00D41908">
        <w:rPr>
          <w:rFonts w:ascii="Arial Narrow" w:hAnsi="Arial Narrow"/>
        </w:rPr>
        <w:t>Maftoon</w:t>
      </w:r>
      <w:proofErr w:type="spellEnd"/>
      <w:r w:rsidR="00D41908">
        <w:rPr>
          <w:rFonts w:ascii="Arial Narrow" w:hAnsi="Arial Narrow"/>
        </w:rPr>
        <w:t xml:space="preserve"> and </w:t>
      </w:r>
      <w:proofErr w:type="spellStart"/>
      <w:r w:rsidR="00D41908">
        <w:rPr>
          <w:rFonts w:ascii="Arial Narrow" w:hAnsi="Arial Narrow"/>
        </w:rPr>
        <w:t>Shakibafar</w:t>
      </w:r>
      <w:proofErr w:type="spellEnd"/>
      <w:r w:rsidR="00D41908">
        <w:rPr>
          <w:rFonts w:ascii="Arial Narrow" w:hAnsi="Arial Narrow"/>
        </w:rPr>
        <w:t xml:space="preserve">, 2011). </w:t>
      </w:r>
      <w:r w:rsidR="00EA1DA7">
        <w:rPr>
          <w:rFonts w:ascii="Arial Narrow" w:hAnsi="Arial Narrow"/>
        </w:rPr>
        <w:t>NALDIC (2011) claims that b</w:t>
      </w:r>
      <w:r w:rsidR="00D41908">
        <w:rPr>
          <w:rFonts w:ascii="Arial Narrow" w:hAnsi="Arial Narrow"/>
        </w:rPr>
        <w:t>ilingualism allows individuals to function as native speaker</w:t>
      </w:r>
      <w:r w:rsidR="00EA1DA7">
        <w:rPr>
          <w:rFonts w:ascii="Arial Narrow" w:hAnsi="Arial Narrow"/>
        </w:rPr>
        <w:t>s</w:t>
      </w:r>
      <w:r w:rsidR="00D41908">
        <w:rPr>
          <w:rFonts w:ascii="Arial Narrow" w:hAnsi="Arial Narrow"/>
        </w:rPr>
        <w:t xml:space="preserve"> </w:t>
      </w:r>
      <w:r w:rsidR="00EA1DA7">
        <w:rPr>
          <w:rFonts w:ascii="Arial Narrow" w:hAnsi="Arial Narrow"/>
        </w:rPr>
        <w:t>of</w:t>
      </w:r>
      <w:r w:rsidR="00D41908">
        <w:rPr>
          <w:rFonts w:ascii="Arial Narrow" w:hAnsi="Arial Narrow"/>
        </w:rPr>
        <w:t xml:space="preserve"> two languages, with their ability to communicate and converse orally</w:t>
      </w:r>
      <w:r w:rsidR="00EA1DA7">
        <w:rPr>
          <w:rFonts w:ascii="Arial Narrow" w:hAnsi="Arial Narrow"/>
        </w:rPr>
        <w:t>. One must consider that individual</w:t>
      </w:r>
      <w:r w:rsidR="009F2397">
        <w:rPr>
          <w:rFonts w:ascii="Arial Narrow" w:hAnsi="Arial Narrow"/>
        </w:rPr>
        <w:t xml:space="preserve"> children </w:t>
      </w:r>
      <w:r w:rsidR="00EA1DA7">
        <w:rPr>
          <w:rFonts w:ascii="Arial Narrow" w:hAnsi="Arial Narrow"/>
        </w:rPr>
        <w:t xml:space="preserve">attain bilingualism </w:t>
      </w:r>
      <w:r w:rsidR="009F2397">
        <w:rPr>
          <w:rFonts w:ascii="Arial Narrow" w:hAnsi="Arial Narrow"/>
        </w:rPr>
        <w:t xml:space="preserve">in dissimilar means. According to </w:t>
      </w:r>
      <w:proofErr w:type="spellStart"/>
      <w:r w:rsidR="009F2397">
        <w:rPr>
          <w:rFonts w:ascii="Arial Narrow" w:hAnsi="Arial Narrow"/>
        </w:rPr>
        <w:t>Devarakonda</w:t>
      </w:r>
      <w:proofErr w:type="spellEnd"/>
      <w:r w:rsidR="009F2397">
        <w:rPr>
          <w:rFonts w:ascii="Arial Narrow" w:hAnsi="Arial Narrow"/>
        </w:rPr>
        <w:t xml:space="preserve"> (2013), simultaneous bilingualism occurs when a child acquires both languages concurrently early in life and begins with the child combining both languages. Furthermore, the individual will then differentiate </w:t>
      </w:r>
      <w:r w:rsidR="00B72B62">
        <w:rPr>
          <w:rFonts w:ascii="Arial Narrow" w:hAnsi="Arial Narrow"/>
        </w:rPr>
        <w:t xml:space="preserve">and </w:t>
      </w:r>
      <w:r w:rsidR="009F2397">
        <w:rPr>
          <w:rFonts w:ascii="Arial Narrow" w:hAnsi="Arial Narrow"/>
        </w:rPr>
        <w:t xml:space="preserve">group words from each language, subsequently, one language will become dominant over the other and becomes the language most frequently used to communicate. </w:t>
      </w:r>
      <w:r w:rsidR="008E0DA0">
        <w:rPr>
          <w:rFonts w:ascii="Arial Narrow" w:hAnsi="Arial Narrow"/>
        </w:rPr>
        <w:t>In addition to this a child may also acquire a second language through means of sequential bilingualism, as Baker (2011) maintains that during this process of language acquisition, the child initially acquires the first language, also known as their ‘mother tongue’ in the home environment at an early age (Sun, 2019) and later requires and becomes proficient in a second language later in life</w:t>
      </w:r>
      <w:r w:rsidR="00B72B62">
        <w:rPr>
          <w:rFonts w:ascii="Arial Narrow" w:hAnsi="Arial Narrow"/>
        </w:rPr>
        <w:t>.</w:t>
      </w:r>
      <w:r w:rsidR="00BA637D">
        <w:rPr>
          <w:rFonts w:ascii="Arial Narrow" w:hAnsi="Arial Narrow"/>
        </w:rPr>
        <w:t xml:space="preserve"> Baker </w:t>
      </w:r>
      <w:r w:rsidR="0055705C">
        <w:rPr>
          <w:rFonts w:ascii="Arial Narrow" w:hAnsi="Arial Narrow"/>
        </w:rPr>
        <w:t xml:space="preserve">(2014) </w:t>
      </w:r>
      <w:r w:rsidR="00BA637D">
        <w:rPr>
          <w:rFonts w:ascii="Arial Narrow" w:hAnsi="Arial Narrow"/>
        </w:rPr>
        <w:t xml:space="preserve">further argues how codeswitching; where a child would use both languages in conjunction with each other is a valuable linguistic skill. However, this opposes the approach by </w:t>
      </w:r>
      <w:proofErr w:type="spellStart"/>
      <w:r w:rsidR="00BA637D">
        <w:rPr>
          <w:rFonts w:ascii="Arial Narrow" w:hAnsi="Arial Narrow"/>
        </w:rPr>
        <w:t>Lightbown</w:t>
      </w:r>
      <w:proofErr w:type="spellEnd"/>
      <w:r w:rsidR="00BA637D">
        <w:rPr>
          <w:rFonts w:ascii="Arial Narrow" w:hAnsi="Arial Narrow"/>
        </w:rPr>
        <w:t xml:space="preserve"> and Spada (2013) which suggests that a bilingual individual is </w:t>
      </w:r>
      <w:r w:rsidR="0055705C">
        <w:rPr>
          <w:rFonts w:ascii="Arial Narrow" w:hAnsi="Arial Narrow"/>
        </w:rPr>
        <w:t>f</w:t>
      </w:r>
      <w:r w:rsidR="00BA637D">
        <w:rPr>
          <w:rFonts w:ascii="Arial Narrow" w:hAnsi="Arial Narrow"/>
        </w:rPr>
        <w:t xml:space="preserve">ar more presumed to develop a minor language delay in view of </w:t>
      </w:r>
      <w:r w:rsidR="0055705C">
        <w:rPr>
          <w:rFonts w:ascii="Arial Narrow" w:hAnsi="Arial Narrow"/>
        </w:rPr>
        <w:t xml:space="preserve">the </w:t>
      </w:r>
      <w:r w:rsidR="00BA637D">
        <w:rPr>
          <w:rFonts w:ascii="Arial Narrow" w:hAnsi="Arial Narrow"/>
        </w:rPr>
        <w:t xml:space="preserve">reason that they </w:t>
      </w:r>
      <w:r w:rsidR="0055705C">
        <w:rPr>
          <w:rFonts w:ascii="Arial Narrow" w:hAnsi="Arial Narrow"/>
        </w:rPr>
        <w:t>have been</w:t>
      </w:r>
      <w:r w:rsidR="00BA637D">
        <w:rPr>
          <w:rFonts w:ascii="Arial Narrow" w:hAnsi="Arial Narrow"/>
        </w:rPr>
        <w:t xml:space="preserve"> </w:t>
      </w:r>
      <w:r w:rsidR="0055705C">
        <w:rPr>
          <w:rFonts w:ascii="Arial Narrow" w:hAnsi="Arial Narrow"/>
        </w:rPr>
        <w:t xml:space="preserve">placed within a Welsh-medium learning environment, and therefore are learning to comprehend two languages at once, which Bright and </w:t>
      </w:r>
      <w:proofErr w:type="spellStart"/>
      <w:r w:rsidR="0055705C">
        <w:rPr>
          <w:rFonts w:ascii="Arial Narrow" w:hAnsi="Arial Narrow"/>
        </w:rPr>
        <w:t>Filippi</w:t>
      </w:r>
      <w:proofErr w:type="spellEnd"/>
      <w:r w:rsidR="0055705C">
        <w:rPr>
          <w:rFonts w:ascii="Arial Narrow" w:hAnsi="Arial Narrow"/>
        </w:rPr>
        <w:t xml:space="preserve"> (2019) claim results in a delay of language acquisition. </w:t>
      </w:r>
      <w:r w:rsidR="00310C8C">
        <w:rPr>
          <w:rFonts w:ascii="Arial Narrow" w:hAnsi="Arial Narrow"/>
        </w:rPr>
        <w:t xml:space="preserve">Occurring usually in schools and early years settings in South Wales, where </w:t>
      </w:r>
      <w:proofErr w:type="gramStart"/>
      <w:r w:rsidR="00310C8C">
        <w:rPr>
          <w:rFonts w:ascii="Arial Narrow" w:hAnsi="Arial Narrow"/>
        </w:rPr>
        <w:t>the majority of</w:t>
      </w:r>
      <w:proofErr w:type="gramEnd"/>
      <w:r w:rsidR="00310C8C">
        <w:rPr>
          <w:rFonts w:ascii="Arial Narrow" w:hAnsi="Arial Narrow"/>
        </w:rPr>
        <w:t xml:space="preserve"> inhabitants of the local areas are English speakers and moreover monolinguals who decide to place their children within a Welsh medium educational environment (Bellin, </w:t>
      </w:r>
      <w:r w:rsidR="00A74A47" w:rsidRPr="00A74A47">
        <w:rPr>
          <w:rFonts w:ascii="Arial Narrow" w:hAnsi="Arial Narrow"/>
          <w:i/>
          <w:iCs/>
        </w:rPr>
        <w:t>et al.,</w:t>
      </w:r>
      <w:r w:rsidR="00A74A47">
        <w:rPr>
          <w:rFonts w:ascii="Arial Narrow" w:hAnsi="Arial Narrow"/>
        </w:rPr>
        <w:t xml:space="preserve"> 2008).</w:t>
      </w:r>
      <w:r w:rsidR="0055705C">
        <w:rPr>
          <w:rFonts w:ascii="Arial Narrow" w:hAnsi="Arial Narrow"/>
        </w:rPr>
        <w:t xml:space="preserve"> </w:t>
      </w:r>
      <w:r w:rsidR="00B72B62">
        <w:rPr>
          <w:rFonts w:ascii="Arial Narrow" w:hAnsi="Arial Narrow"/>
        </w:rPr>
        <w:t xml:space="preserve">Chen and Padilla (2019) argue that bilingualism can be classified </w:t>
      </w:r>
      <w:r w:rsidR="001D7376">
        <w:rPr>
          <w:rFonts w:ascii="Arial Narrow" w:hAnsi="Arial Narrow"/>
        </w:rPr>
        <w:t>in</w:t>
      </w:r>
      <w:r w:rsidR="001455F3">
        <w:rPr>
          <w:rFonts w:ascii="Arial Narrow" w:hAnsi="Arial Narrow"/>
        </w:rPr>
        <w:t>to</w:t>
      </w:r>
      <w:r w:rsidR="001D7376">
        <w:rPr>
          <w:rFonts w:ascii="Arial Narrow" w:hAnsi="Arial Narrow"/>
        </w:rPr>
        <w:t xml:space="preserve"> various forms</w:t>
      </w:r>
      <w:r w:rsidR="001455F3">
        <w:rPr>
          <w:rFonts w:ascii="Arial Narrow" w:hAnsi="Arial Narrow"/>
        </w:rPr>
        <w:t>, for instance</w:t>
      </w:r>
      <w:r w:rsidR="004053CA">
        <w:rPr>
          <w:rFonts w:ascii="Arial Narrow" w:hAnsi="Arial Narrow"/>
        </w:rPr>
        <w:t>,</w:t>
      </w:r>
      <w:r w:rsidR="001455F3">
        <w:rPr>
          <w:rFonts w:ascii="Arial Narrow" w:hAnsi="Arial Narrow"/>
        </w:rPr>
        <w:t xml:space="preserve"> bilingualism as classified according to </w:t>
      </w:r>
      <w:r w:rsidR="001455F3">
        <w:rPr>
          <w:rFonts w:ascii="Arial Narrow" w:hAnsi="Arial Narrow"/>
        </w:rPr>
        <w:lastRenderedPageBreak/>
        <w:t xml:space="preserve">degree, such as, limited, partial, proficient, and fluent. </w:t>
      </w:r>
      <w:r w:rsidR="004053CA">
        <w:rPr>
          <w:rFonts w:ascii="Arial Narrow" w:hAnsi="Arial Narrow"/>
        </w:rPr>
        <w:t>Moreover,</w:t>
      </w:r>
      <w:r w:rsidR="001455F3">
        <w:rPr>
          <w:rFonts w:ascii="Arial Narrow" w:hAnsi="Arial Narrow"/>
        </w:rPr>
        <w:t xml:space="preserve"> </w:t>
      </w:r>
      <w:r w:rsidR="004053CA">
        <w:rPr>
          <w:rFonts w:ascii="Arial Narrow" w:hAnsi="Arial Narrow"/>
        </w:rPr>
        <w:t xml:space="preserve">the </w:t>
      </w:r>
      <w:r w:rsidR="001455F3">
        <w:rPr>
          <w:rFonts w:ascii="Arial Narrow" w:hAnsi="Arial Narrow"/>
        </w:rPr>
        <w:t xml:space="preserve">sequence of language acquisition </w:t>
      </w:r>
      <w:proofErr w:type="gramStart"/>
      <w:r w:rsidR="001455F3">
        <w:rPr>
          <w:rFonts w:ascii="Arial Narrow" w:hAnsi="Arial Narrow"/>
        </w:rPr>
        <w:t>has to</w:t>
      </w:r>
      <w:proofErr w:type="gramEnd"/>
      <w:r w:rsidR="001455F3">
        <w:rPr>
          <w:rFonts w:ascii="Arial Narrow" w:hAnsi="Arial Narrow"/>
        </w:rPr>
        <w:t xml:space="preserve"> be considered,</w:t>
      </w:r>
      <w:r w:rsidR="004053CA">
        <w:rPr>
          <w:rFonts w:ascii="Arial Narrow" w:hAnsi="Arial Narrow"/>
        </w:rPr>
        <w:t xml:space="preserve"> whether an individual has acquired their second language simultaneously or sequentially</w:t>
      </w:r>
      <w:r w:rsidR="00493C77">
        <w:rPr>
          <w:rFonts w:ascii="Arial Narrow" w:hAnsi="Arial Narrow"/>
        </w:rPr>
        <w:t xml:space="preserve">, subsequently, this idea of disparate classifications of bilingualism supports the notion proposed by </w:t>
      </w:r>
      <w:proofErr w:type="spellStart"/>
      <w:r w:rsidR="00493C77">
        <w:rPr>
          <w:rFonts w:ascii="Arial Narrow" w:hAnsi="Arial Narrow"/>
        </w:rPr>
        <w:t>Maftoon</w:t>
      </w:r>
      <w:proofErr w:type="spellEnd"/>
      <w:r w:rsidR="00493C77">
        <w:rPr>
          <w:rFonts w:ascii="Arial Narrow" w:hAnsi="Arial Narrow"/>
        </w:rPr>
        <w:t xml:space="preserve"> and </w:t>
      </w:r>
      <w:proofErr w:type="spellStart"/>
      <w:r w:rsidR="00493C77">
        <w:rPr>
          <w:rFonts w:ascii="Arial Narrow" w:hAnsi="Arial Narrow"/>
        </w:rPr>
        <w:t>Shakibafar</w:t>
      </w:r>
      <w:proofErr w:type="spellEnd"/>
      <w:r w:rsidR="00493C77">
        <w:rPr>
          <w:rFonts w:ascii="Arial Narrow" w:hAnsi="Arial Narrow"/>
        </w:rPr>
        <w:t xml:space="preserve"> (2011).</w:t>
      </w:r>
      <w:r w:rsidR="00C9722C">
        <w:rPr>
          <w:rFonts w:ascii="Arial Narrow" w:hAnsi="Arial Narrow"/>
        </w:rPr>
        <w:t xml:space="preserve"> </w:t>
      </w:r>
    </w:p>
    <w:p w14:paraId="4414064E" w14:textId="77777777" w:rsidR="00C9722C" w:rsidRDefault="00C9722C" w:rsidP="004053CA">
      <w:pPr>
        <w:spacing w:line="360" w:lineRule="auto"/>
        <w:rPr>
          <w:rFonts w:ascii="Arial Narrow" w:hAnsi="Arial Narrow"/>
        </w:rPr>
      </w:pPr>
    </w:p>
    <w:p w14:paraId="4F49D4E1" w14:textId="695AA8B6" w:rsidR="00C9722C" w:rsidRDefault="00C9722C" w:rsidP="004053CA">
      <w:pPr>
        <w:spacing w:line="360" w:lineRule="auto"/>
        <w:rPr>
          <w:rFonts w:ascii="Arial Narrow" w:hAnsi="Arial Narrow"/>
        </w:rPr>
      </w:pPr>
      <w:proofErr w:type="spellStart"/>
      <w:r>
        <w:rPr>
          <w:rFonts w:ascii="Arial Narrow" w:hAnsi="Arial Narrow"/>
        </w:rPr>
        <w:t>Cenoz</w:t>
      </w:r>
      <w:proofErr w:type="spellEnd"/>
      <w:r>
        <w:rPr>
          <w:rFonts w:ascii="Arial Narrow" w:hAnsi="Arial Narrow"/>
        </w:rPr>
        <w:t xml:space="preserve"> (2013) defines the term multilingual as an individual who is proficient in three or more languages with its occurrence frequent and natural and states how multilingual individuals have the propensity to be orally fluent as opposed to being literarily fluent. Multilingualism initially bec</w:t>
      </w:r>
      <w:r w:rsidR="00AF33CD">
        <w:rPr>
          <w:rFonts w:ascii="Arial Narrow" w:hAnsi="Arial Narrow"/>
        </w:rPr>
        <w:t>ame eminent during the period of colonisation during the 15</w:t>
      </w:r>
      <w:r w:rsidR="00AF33CD" w:rsidRPr="00AF33CD">
        <w:rPr>
          <w:rFonts w:ascii="Arial Narrow" w:hAnsi="Arial Narrow"/>
          <w:vertAlign w:val="superscript"/>
        </w:rPr>
        <w:t>th</w:t>
      </w:r>
      <w:r w:rsidR="00AF33CD">
        <w:rPr>
          <w:rFonts w:ascii="Arial Narrow" w:hAnsi="Arial Narrow"/>
        </w:rPr>
        <w:t xml:space="preserve"> and 16</w:t>
      </w:r>
      <w:r w:rsidR="00AF33CD" w:rsidRPr="00AF33CD">
        <w:rPr>
          <w:rFonts w:ascii="Arial Narrow" w:hAnsi="Arial Narrow"/>
          <w:vertAlign w:val="superscript"/>
        </w:rPr>
        <w:t>th</w:t>
      </w:r>
      <w:r w:rsidR="00AF33CD">
        <w:rPr>
          <w:rFonts w:ascii="Arial Narrow" w:hAnsi="Arial Narrow"/>
        </w:rPr>
        <w:t xml:space="preserve"> centuries, where the European languages and </w:t>
      </w:r>
      <w:r w:rsidR="00737ABC">
        <w:rPr>
          <w:rFonts w:ascii="Arial Narrow" w:hAnsi="Arial Narrow"/>
        </w:rPr>
        <w:t>customs</w:t>
      </w:r>
      <w:r w:rsidR="00AF33CD">
        <w:rPr>
          <w:rFonts w:ascii="Arial Narrow" w:hAnsi="Arial Narrow"/>
        </w:rPr>
        <w:t xml:space="preserve"> </w:t>
      </w:r>
      <w:r w:rsidR="00737ABC">
        <w:rPr>
          <w:rFonts w:ascii="Arial Narrow" w:hAnsi="Arial Narrow"/>
        </w:rPr>
        <w:t>were</w:t>
      </w:r>
      <w:r w:rsidR="00AF33CD">
        <w:rPr>
          <w:rFonts w:ascii="Arial Narrow" w:hAnsi="Arial Narrow"/>
        </w:rPr>
        <w:t xml:space="preserve"> strictly enforced, whereas in recent years migration has participated in the expanse of languages spoken in different countries around the world (</w:t>
      </w:r>
      <w:proofErr w:type="spellStart"/>
      <w:r w:rsidR="00AF33CD">
        <w:rPr>
          <w:rFonts w:ascii="Arial Narrow" w:hAnsi="Arial Narrow"/>
        </w:rPr>
        <w:t>Mufwene</w:t>
      </w:r>
      <w:proofErr w:type="spellEnd"/>
      <w:r w:rsidR="00AF33CD">
        <w:rPr>
          <w:rFonts w:ascii="Arial Narrow" w:hAnsi="Arial Narrow"/>
        </w:rPr>
        <w:t xml:space="preserve">, 2002). The proclivity to view one language as superior and more powerful </w:t>
      </w:r>
      <w:r w:rsidR="00641BFB">
        <w:rPr>
          <w:rFonts w:ascii="Arial Narrow" w:hAnsi="Arial Narrow"/>
        </w:rPr>
        <w:t xml:space="preserve">as well as </w:t>
      </w:r>
      <w:proofErr w:type="gramStart"/>
      <w:r w:rsidR="00641BFB">
        <w:rPr>
          <w:rFonts w:ascii="Arial Narrow" w:hAnsi="Arial Narrow"/>
        </w:rPr>
        <w:t>educations</w:t>
      </w:r>
      <w:proofErr w:type="gramEnd"/>
      <w:r w:rsidR="00641BFB">
        <w:rPr>
          <w:rFonts w:ascii="Arial Narrow" w:hAnsi="Arial Narrow"/>
        </w:rPr>
        <w:t xml:space="preserve"> role in constraining to teaching colonial European languages whilst discouraging, as it was implied that mother tongues held individuals behind </w:t>
      </w:r>
      <w:r w:rsidR="00AF33CD">
        <w:rPr>
          <w:rFonts w:ascii="Arial Narrow" w:hAnsi="Arial Narrow"/>
        </w:rPr>
        <w:t>has resulted in the decline of the use of minority languages and mother to</w:t>
      </w:r>
      <w:r w:rsidR="00641BFB">
        <w:rPr>
          <w:rFonts w:ascii="Arial Narrow" w:hAnsi="Arial Narrow"/>
        </w:rPr>
        <w:t>n</w:t>
      </w:r>
      <w:r w:rsidR="00AF33CD">
        <w:rPr>
          <w:rFonts w:ascii="Arial Narrow" w:hAnsi="Arial Narrow"/>
        </w:rPr>
        <w:t>gues</w:t>
      </w:r>
      <w:r w:rsidR="00641BFB">
        <w:rPr>
          <w:rFonts w:ascii="Arial Narrow" w:hAnsi="Arial Narrow"/>
        </w:rPr>
        <w:t xml:space="preserve"> (</w:t>
      </w:r>
      <w:proofErr w:type="spellStart"/>
      <w:r w:rsidR="00641BFB">
        <w:rPr>
          <w:rFonts w:ascii="Arial Narrow" w:hAnsi="Arial Narrow"/>
        </w:rPr>
        <w:t>Yildiz</w:t>
      </w:r>
      <w:proofErr w:type="spellEnd"/>
      <w:r w:rsidR="00641BFB">
        <w:rPr>
          <w:rFonts w:ascii="Arial Narrow" w:hAnsi="Arial Narrow"/>
        </w:rPr>
        <w:t xml:space="preserve">, 2012). At present in early years educational settings </w:t>
      </w:r>
      <w:r w:rsidR="00E13A91">
        <w:rPr>
          <w:rFonts w:ascii="Arial Narrow" w:hAnsi="Arial Narrow"/>
        </w:rPr>
        <w:t xml:space="preserve">situated </w:t>
      </w:r>
      <w:r w:rsidR="00641BFB">
        <w:rPr>
          <w:rFonts w:ascii="Arial Narrow" w:hAnsi="Arial Narrow"/>
        </w:rPr>
        <w:t>within a local area where there is a minority language present, practitioners promote and teach both languages in parallel</w:t>
      </w:r>
      <w:r w:rsidR="00E13A91">
        <w:rPr>
          <w:rFonts w:ascii="Arial Narrow" w:hAnsi="Arial Narrow"/>
        </w:rPr>
        <w:t xml:space="preserve"> (</w:t>
      </w:r>
      <w:proofErr w:type="spellStart"/>
      <w:r w:rsidR="00E13A91">
        <w:rPr>
          <w:rFonts w:ascii="Arial Narrow" w:hAnsi="Arial Narrow"/>
        </w:rPr>
        <w:t>Shwartz</w:t>
      </w:r>
      <w:proofErr w:type="spellEnd"/>
      <w:r w:rsidR="00E13A91">
        <w:rPr>
          <w:rFonts w:ascii="Arial Narrow" w:hAnsi="Arial Narrow"/>
        </w:rPr>
        <w:t xml:space="preserve"> and </w:t>
      </w:r>
      <w:proofErr w:type="spellStart"/>
      <w:r w:rsidR="00E13A91">
        <w:rPr>
          <w:rFonts w:ascii="Arial Narrow" w:hAnsi="Arial Narrow"/>
        </w:rPr>
        <w:t>Palviainen</w:t>
      </w:r>
      <w:proofErr w:type="spellEnd"/>
      <w:r w:rsidR="00E13A91">
        <w:rPr>
          <w:rFonts w:ascii="Arial Narrow" w:hAnsi="Arial Narrow"/>
        </w:rPr>
        <w:t xml:space="preserve">, 2018). </w:t>
      </w:r>
      <w:r w:rsidR="001E120C">
        <w:rPr>
          <w:rFonts w:ascii="Arial Narrow" w:hAnsi="Arial Narrow"/>
        </w:rPr>
        <w:t xml:space="preserve">Consequently, according to </w:t>
      </w:r>
      <w:proofErr w:type="spellStart"/>
      <w:r w:rsidR="001E120C">
        <w:rPr>
          <w:rFonts w:ascii="Arial Narrow" w:hAnsi="Arial Narrow"/>
        </w:rPr>
        <w:t>Haukås</w:t>
      </w:r>
      <w:proofErr w:type="spellEnd"/>
      <w:r w:rsidR="002934D4">
        <w:rPr>
          <w:rFonts w:ascii="Arial Narrow" w:hAnsi="Arial Narrow"/>
        </w:rPr>
        <w:t xml:space="preserve">, </w:t>
      </w:r>
      <w:proofErr w:type="spellStart"/>
      <w:r w:rsidR="002934D4">
        <w:rPr>
          <w:rFonts w:ascii="Arial Narrow" w:hAnsi="Arial Narrow"/>
        </w:rPr>
        <w:t>Storto</w:t>
      </w:r>
      <w:proofErr w:type="spellEnd"/>
      <w:r w:rsidR="002934D4">
        <w:rPr>
          <w:rFonts w:ascii="Arial Narrow" w:hAnsi="Arial Narrow"/>
        </w:rPr>
        <w:t xml:space="preserve">, and </w:t>
      </w:r>
      <w:proofErr w:type="spellStart"/>
      <w:r w:rsidR="002934D4">
        <w:rPr>
          <w:rFonts w:ascii="Arial Narrow" w:hAnsi="Arial Narrow"/>
        </w:rPr>
        <w:t>Tiurikova</w:t>
      </w:r>
      <w:proofErr w:type="spellEnd"/>
      <w:r w:rsidR="001E120C">
        <w:rPr>
          <w:rFonts w:ascii="Arial Narrow" w:hAnsi="Arial Narrow"/>
        </w:rPr>
        <w:t xml:space="preserve"> (2022) there is an abundance of benefits that a multilingual individual possesses, amongst these are the cultural advantages, where the individual has increased social competency and linguistic diversity as they are capable of communicating with many different people including family, the wider community, early years setting staff, and future employment. </w:t>
      </w:r>
      <w:r w:rsidR="00151BAF">
        <w:rPr>
          <w:rFonts w:ascii="Arial Narrow" w:hAnsi="Arial Narrow"/>
        </w:rPr>
        <w:t xml:space="preserve">This correlates with D.W </w:t>
      </w:r>
      <w:proofErr w:type="spellStart"/>
      <w:r w:rsidR="00151BAF">
        <w:rPr>
          <w:rFonts w:ascii="Arial Narrow" w:hAnsi="Arial Narrow"/>
        </w:rPr>
        <w:t>Winnicot’s</w:t>
      </w:r>
      <w:proofErr w:type="spellEnd"/>
      <w:r w:rsidR="00151BAF">
        <w:rPr>
          <w:rFonts w:ascii="Arial Narrow" w:hAnsi="Arial Narrow"/>
        </w:rPr>
        <w:t xml:space="preserve"> theory; highlighting the importance of relationships and interactions which support a child to identify who they are (Tortora, 2015), whilst also supporting Vygotsky’s </w:t>
      </w:r>
      <w:r w:rsidR="00101DC2">
        <w:rPr>
          <w:rFonts w:ascii="Arial Narrow" w:hAnsi="Arial Narrow"/>
        </w:rPr>
        <w:t>sociocultural theory</w:t>
      </w:r>
      <w:r w:rsidR="00151BAF">
        <w:rPr>
          <w:rFonts w:ascii="Arial Narrow" w:hAnsi="Arial Narrow"/>
        </w:rPr>
        <w:t>, where it is stated that language is a significant cultural tool and how children learn about who they are, what’s important to them, and their cultural traditions as the world that children inhabit is shaped by family, community, and culture</w:t>
      </w:r>
      <w:r w:rsidR="003D2105">
        <w:rPr>
          <w:rFonts w:ascii="Arial Narrow" w:hAnsi="Arial Narrow"/>
        </w:rPr>
        <w:t xml:space="preserve"> (Goodman and Goodman, 2013).</w:t>
      </w:r>
      <w:r w:rsidR="00151BAF">
        <w:rPr>
          <w:rFonts w:ascii="Arial Narrow" w:hAnsi="Arial Narrow"/>
        </w:rPr>
        <w:t xml:space="preserve"> </w:t>
      </w:r>
      <w:r w:rsidR="005262A1">
        <w:rPr>
          <w:rFonts w:ascii="Arial Narrow" w:hAnsi="Arial Narrow"/>
        </w:rPr>
        <w:t xml:space="preserve">Moreover, Dewey’s theory also correlates with </w:t>
      </w:r>
      <w:r w:rsidR="003E7F27">
        <w:rPr>
          <w:rFonts w:ascii="Arial Narrow" w:hAnsi="Arial Narrow"/>
        </w:rPr>
        <w:t xml:space="preserve">the importance of interaction as he states that it is particularly when a child learns best in respect of a relational aspect of learning (Sikandar, 2015). </w:t>
      </w:r>
      <w:r w:rsidR="002934D4">
        <w:rPr>
          <w:rFonts w:ascii="Arial Narrow" w:hAnsi="Arial Narrow"/>
        </w:rPr>
        <w:t xml:space="preserve">Furthermore, there are additional cognitive advantages that multilingual individuals obtain including a significant augment in </w:t>
      </w:r>
      <w:r w:rsidR="00EE0DDE">
        <w:rPr>
          <w:rFonts w:ascii="Arial Narrow" w:hAnsi="Arial Narrow"/>
        </w:rPr>
        <w:t>communication sensitivity, abstract reasoning,</w:t>
      </w:r>
      <w:r w:rsidR="002934D4">
        <w:rPr>
          <w:rFonts w:ascii="Arial Narrow" w:hAnsi="Arial Narrow"/>
        </w:rPr>
        <w:t xml:space="preserve"> and </w:t>
      </w:r>
      <w:r w:rsidR="00EE0DDE">
        <w:rPr>
          <w:rFonts w:ascii="Arial Narrow" w:hAnsi="Arial Narrow"/>
        </w:rPr>
        <w:t>verbal intelligence</w:t>
      </w:r>
      <w:r w:rsidR="002934D4">
        <w:rPr>
          <w:rFonts w:ascii="Arial Narrow" w:hAnsi="Arial Narrow"/>
        </w:rPr>
        <w:t xml:space="preserve">, which Ivanova and </w:t>
      </w:r>
      <w:r w:rsidR="00EE0DDE">
        <w:rPr>
          <w:rFonts w:ascii="Arial Narrow" w:hAnsi="Arial Narrow"/>
        </w:rPr>
        <w:t>Sidorova (2020) state that individuals of the faculty of additional languages maintain a foremost level of social and psychological adaptation.</w:t>
      </w:r>
    </w:p>
    <w:p w14:paraId="07F23D47" w14:textId="77777777" w:rsidR="00D237A4" w:rsidRDefault="00D237A4" w:rsidP="004053CA">
      <w:pPr>
        <w:spacing w:line="360" w:lineRule="auto"/>
        <w:rPr>
          <w:rFonts w:ascii="Arial Narrow" w:hAnsi="Arial Narrow"/>
        </w:rPr>
      </w:pPr>
    </w:p>
    <w:p w14:paraId="3C570583" w14:textId="77777777" w:rsidR="00417AD8" w:rsidRDefault="00742814" w:rsidP="004053CA">
      <w:pPr>
        <w:spacing w:line="360" w:lineRule="auto"/>
        <w:rPr>
          <w:rFonts w:ascii="Arial Narrow" w:hAnsi="Arial Narrow"/>
        </w:rPr>
      </w:pPr>
      <w:r>
        <w:rPr>
          <w:rFonts w:ascii="Arial Narrow" w:hAnsi="Arial Narrow"/>
        </w:rPr>
        <w:t xml:space="preserve">Ofsted (2013) maintain that an individual whose first language is not English but may already be fluent in other languages or dialects is considered a learner with English as an additional language, therefore, </w:t>
      </w:r>
      <w:r>
        <w:rPr>
          <w:rFonts w:ascii="Arial Narrow" w:hAnsi="Arial Narrow"/>
        </w:rPr>
        <w:lastRenderedPageBreak/>
        <w:t xml:space="preserve">the term ‘English as a second language’ is inappropriate. Similarly, the Welsh Government (2014) argue that an individual whose first language is neither English nor Welsh, however is still pursuing a Welsh-medium education requires support to access the curriculum through the medium of Welsh. These individuals consist of learners who interact with their families at home in a different language, </w:t>
      </w:r>
      <w:proofErr w:type="gramStart"/>
      <w:r>
        <w:rPr>
          <w:rFonts w:ascii="Arial Narrow" w:hAnsi="Arial Narrow"/>
        </w:rPr>
        <w:t>as a result of</w:t>
      </w:r>
      <w:proofErr w:type="gramEnd"/>
      <w:r>
        <w:rPr>
          <w:rFonts w:ascii="Arial Narrow" w:hAnsi="Arial Narrow"/>
        </w:rPr>
        <w:t xml:space="preserve"> migration from a different country</w:t>
      </w:r>
      <w:r w:rsidR="00FF4B4A">
        <w:rPr>
          <w:rFonts w:ascii="Arial Narrow" w:hAnsi="Arial Narrow"/>
        </w:rPr>
        <w:t>, which is relative to Article 30 of the UNCRC; where a child from a minority group has the right to enjoy one’s own culture and to use one’s own language (UNICEF, no date)</w:t>
      </w:r>
      <w:r>
        <w:rPr>
          <w:rFonts w:ascii="Arial Narrow" w:hAnsi="Arial Narrow"/>
        </w:rPr>
        <w:t xml:space="preserve">. </w:t>
      </w:r>
      <w:proofErr w:type="spellStart"/>
      <w:r>
        <w:rPr>
          <w:rFonts w:ascii="Arial Narrow" w:hAnsi="Arial Narrow"/>
        </w:rPr>
        <w:t>Hoehne</w:t>
      </w:r>
      <w:proofErr w:type="spellEnd"/>
      <w:r>
        <w:rPr>
          <w:rFonts w:ascii="Arial Narrow" w:hAnsi="Arial Narrow"/>
        </w:rPr>
        <w:t xml:space="preserve"> and Michalowski (2018) point out that these individuals may be delayed in learning their academic language in the learning environment.</w:t>
      </w:r>
      <w:r w:rsidR="00101DC2">
        <w:rPr>
          <w:rFonts w:ascii="Arial Narrow" w:hAnsi="Arial Narrow"/>
        </w:rPr>
        <w:t xml:space="preserve"> Moreover, this correlates with Lev Vygotsky’s sociocultural theory, which states that language is a cultural tool used by individuals to acquire knowledge of themselves, their cultures, and traditions (Goodman and Goodman, 2013). </w:t>
      </w:r>
    </w:p>
    <w:p w14:paraId="4B27B451" w14:textId="77777777" w:rsidR="00796FE9" w:rsidRDefault="00796FE9" w:rsidP="004053CA">
      <w:pPr>
        <w:spacing w:line="360" w:lineRule="auto"/>
        <w:rPr>
          <w:rFonts w:ascii="Arial Narrow" w:hAnsi="Arial Narrow"/>
        </w:rPr>
      </w:pPr>
    </w:p>
    <w:p w14:paraId="7F46B94A" w14:textId="61CD379B" w:rsidR="00D237A4" w:rsidRDefault="000F2546" w:rsidP="004053CA">
      <w:pPr>
        <w:spacing w:line="360" w:lineRule="auto"/>
        <w:rPr>
          <w:rFonts w:ascii="Arial Narrow" w:hAnsi="Arial Narrow"/>
        </w:rPr>
      </w:pPr>
      <w:r>
        <w:rPr>
          <w:rFonts w:ascii="Arial Narrow" w:hAnsi="Arial Narrow"/>
        </w:rPr>
        <w:t xml:space="preserve">Consequently, schools and education settings in Wales must ensure that learners make progress with the Welsh language by encouraging children to use their plurilingual expertise to value the ability to use a divergent language </w:t>
      </w:r>
      <w:r w:rsidR="003477E4">
        <w:rPr>
          <w:rFonts w:ascii="Arial Narrow" w:hAnsi="Arial Narrow"/>
        </w:rPr>
        <w:t>(Welsh Government, 2022).</w:t>
      </w:r>
      <w:r w:rsidR="00417AD8">
        <w:rPr>
          <w:rFonts w:ascii="Arial Narrow" w:hAnsi="Arial Narrow"/>
        </w:rPr>
        <w:t xml:space="preserve"> This reinforces Vygotsky’s theory of the Zone of Proximal Development; where the adult acts as a ‘scaffolding’ to support children to therefore advance onto the next stage of development. The practitioner as a result must establish a trusting relationship with the individual to be aware of their current level of ability to ensure effective support (Zuckerman, 2014). </w:t>
      </w:r>
      <w:proofErr w:type="gramStart"/>
      <w:r w:rsidR="00417AD8">
        <w:rPr>
          <w:rFonts w:ascii="Arial Narrow" w:hAnsi="Arial Narrow"/>
        </w:rPr>
        <w:t>Similar to</w:t>
      </w:r>
      <w:proofErr w:type="gramEnd"/>
      <w:r w:rsidR="00417AD8">
        <w:rPr>
          <w:rFonts w:ascii="Arial Narrow" w:hAnsi="Arial Narrow"/>
        </w:rPr>
        <w:t xml:space="preserve"> Bruner’s theory of the 3 models of representation, where he emp</w:t>
      </w:r>
      <w:r w:rsidR="00B124B9">
        <w:rPr>
          <w:rFonts w:ascii="Arial Narrow" w:hAnsi="Arial Narrow"/>
        </w:rPr>
        <w:t>ha</w:t>
      </w:r>
      <w:r w:rsidR="00417AD8">
        <w:rPr>
          <w:rFonts w:ascii="Arial Narrow" w:hAnsi="Arial Narrow"/>
        </w:rPr>
        <w:t>sises the importance</w:t>
      </w:r>
      <w:r w:rsidR="00B124B9">
        <w:rPr>
          <w:rFonts w:ascii="Arial Narrow" w:hAnsi="Arial Narrow"/>
        </w:rPr>
        <w:t xml:space="preserve"> of the responsibility of the adult to introduce new content and learning at the appropriate time and to support the child to revisit past content to ensure understanding and not forcing the individual to progress beyond their current capabilities (Myers, 2021).</w:t>
      </w:r>
      <w:r w:rsidR="00B405C3">
        <w:rPr>
          <w:rFonts w:ascii="Arial Narrow" w:hAnsi="Arial Narrow"/>
        </w:rPr>
        <w:t xml:space="preserve"> According to the Children’s Commissioner Wales (2023)</w:t>
      </w:r>
      <w:r w:rsidR="00796FE9">
        <w:rPr>
          <w:rFonts w:ascii="Arial Narrow" w:hAnsi="Arial Narrow"/>
        </w:rPr>
        <w:t>,</w:t>
      </w:r>
      <w:r w:rsidR="00B405C3">
        <w:rPr>
          <w:rFonts w:ascii="Arial Narrow" w:hAnsi="Arial Narrow"/>
        </w:rPr>
        <w:t xml:space="preserve"> ALN provisions ought to reflect the needs of a bilingual nation and provide upon that basis, however, </w:t>
      </w:r>
      <w:proofErr w:type="gramStart"/>
      <w:r w:rsidR="00796FE9">
        <w:rPr>
          <w:rFonts w:ascii="Arial Narrow" w:hAnsi="Arial Narrow"/>
        </w:rPr>
        <w:t>the</w:t>
      </w:r>
      <w:r w:rsidR="00B405C3">
        <w:rPr>
          <w:rFonts w:ascii="Arial Narrow" w:hAnsi="Arial Narrow"/>
        </w:rPr>
        <w:t xml:space="preserve"> majority of</w:t>
      </w:r>
      <w:proofErr w:type="gramEnd"/>
      <w:r w:rsidR="00B405C3">
        <w:rPr>
          <w:rFonts w:ascii="Arial Narrow" w:hAnsi="Arial Narrow"/>
        </w:rPr>
        <w:t xml:space="preserve"> local authorities cannot proffer a Welsh-medium provision due to several perplexing intentions. This is supported by the Welsh Government (2014) who argue the absence of a standard WAL-specific assessment framework, therefore individuals who have ALN notwithstanding are within a Welsh-medium education are compelled to be assessed using an English-medium assessment framework.</w:t>
      </w:r>
    </w:p>
    <w:p w14:paraId="67277E28" w14:textId="77777777" w:rsidR="004C66B7" w:rsidRDefault="004C66B7" w:rsidP="004053CA">
      <w:pPr>
        <w:spacing w:line="360" w:lineRule="auto"/>
        <w:rPr>
          <w:rFonts w:ascii="Arial Narrow" w:hAnsi="Arial Narrow"/>
        </w:rPr>
      </w:pPr>
    </w:p>
    <w:p w14:paraId="6894EB72" w14:textId="24B1A510" w:rsidR="004C66B7" w:rsidRDefault="004C66B7" w:rsidP="004053CA">
      <w:pPr>
        <w:spacing w:line="360" w:lineRule="auto"/>
        <w:rPr>
          <w:rFonts w:ascii="Arial Narrow" w:hAnsi="Arial Narrow"/>
        </w:rPr>
      </w:pPr>
      <w:r>
        <w:rPr>
          <w:rFonts w:ascii="Arial Narrow" w:hAnsi="Arial Narrow"/>
        </w:rPr>
        <w:t>Bruner’s theory of the Language Acquisition Support System; argues that young children have an inherent capability to learn and acquire languages. However, Bruner proceeds by stating that interactions with other individuals using that same language are crucial and are required for children to excel in their language abilities</w:t>
      </w:r>
      <w:r w:rsidR="009E52BB">
        <w:rPr>
          <w:rFonts w:ascii="Arial Narrow" w:hAnsi="Arial Narrow"/>
        </w:rPr>
        <w:t xml:space="preserve">. Bruner continues by emphasising the importance of practitioners providing appropriate learning environments where there are continuous opportunities for children to acquire their ‘mother tongue’ </w:t>
      </w:r>
      <w:r>
        <w:rPr>
          <w:rFonts w:ascii="Arial Narrow" w:hAnsi="Arial Narrow"/>
        </w:rPr>
        <w:t>(</w:t>
      </w:r>
      <w:proofErr w:type="spellStart"/>
      <w:r>
        <w:rPr>
          <w:rFonts w:ascii="Arial Narrow" w:hAnsi="Arial Narrow"/>
        </w:rPr>
        <w:t>Richers</w:t>
      </w:r>
      <w:proofErr w:type="spellEnd"/>
      <w:r>
        <w:rPr>
          <w:rFonts w:ascii="Arial Narrow" w:hAnsi="Arial Narrow"/>
        </w:rPr>
        <w:t xml:space="preserve">, 1998). </w:t>
      </w:r>
      <w:r w:rsidR="00FE6F73">
        <w:rPr>
          <w:rFonts w:ascii="Arial Narrow" w:hAnsi="Arial Narrow"/>
        </w:rPr>
        <w:t xml:space="preserve">Bruner’s theory directly supports the theory of the </w:t>
      </w:r>
      <w:r w:rsidR="00FE6F73">
        <w:rPr>
          <w:rFonts w:ascii="Arial Narrow" w:hAnsi="Arial Narrow"/>
        </w:rPr>
        <w:lastRenderedPageBreak/>
        <w:t xml:space="preserve">Language Acquisition Device, a cognitive phenomenon by Noam Chomsky, where it is </w:t>
      </w:r>
      <w:proofErr w:type="gramStart"/>
      <w:r w:rsidR="00FE6F73">
        <w:rPr>
          <w:rFonts w:ascii="Arial Narrow" w:hAnsi="Arial Narrow"/>
        </w:rPr>
        <w:t>maintained</w:t>
      </w:r>
      <w:proofErr w:type="gramEnd"/>
      <w:r w:rsidR="00FE6F73">
        <w:rPr>
          <w:rFonts w:ascii="Arial Narrow" w:hAnsi="Arial Narrow"/>
        </w:rPr>
        <w:t xml:space="preserve"> that young individuals possess a hypothetical apparatus in the brain that bestows an innate capacity to acquire their first language (Barman, 2012).</w:t>
      </w:r>
      <w:r w:rsidR="009E52BB">
        <w:rPr>
          <w:rFonts w:ascii="Arial Narrow" w:hAnsi="Arial Narrow"/>
        </w:rPr>
        <w:t xml:space="preserve"> The theorist Eric Lenneberg believes that language is acquired by an individual at a critical period in life, </w:t>
      </w:r>
      <w:r w:rsidR="00AE0817">
        <w:rPr>
          <w:rFonts w:ascii="Arial Narrow" w:hAnsi="Arial Narrow"/>
        </w:rPr>
        <w:t xml:space="preserve">which directly supports the Critical Age Hypothesis, where it is stated that there is indeed a period during development where native competence is attainable whilst concurrently acquiring a language, beginning in the early </w:t>
      </w:r>
      <w:proofErr w:type="gramStart"/>
      <w:r w:rsidR="00AE0817">
        <w:rPr>
          <w:rFonts w:ascii="Arial Narrow" w:hAnsi="Arial Narrow"/>
        </w:rPr>
        <w:t>years</w:t>
      </w:r>
      <w:proofErr w:type="gramEnd"/>
      <w:r w:rsidR="00AE0817">
        <w:rPr>
          <w:rFonts w:ascii="Arial Narrow" w:hAnsi="Arial Narrow"/>
        </w:rPr>
        <w:t xml:space="preserve"> and occurring until puberty (Rahman, </w:t>
      </w:r>
      <w:r w:rsidR="00AE0817" w:rsidRPr="00AE0817">
        <w:rPr>
          <w:rFonts w:ascii="Arial Narrow" w:hAnsi="Arial Narrow"/>
          <w:i/>
          <w:iCs/>
        </w:rPr>
        <w:t>et al.,</w:t>
      </w:r>
      <w:r w:rsidR="00AE0817">
        <w:rPr>
          <w:rFonts w:ascii="Arial Narrow" w:hAnsi="Arial Narrow"/>
        </w:rPr>
        <w:t xml:space="preserve"> 2017).</w:t>
      </w:r>
    </w:p>
    <w:p w14:paraId="407874D4" w14:textId="77777777" w:rsidR="00AE0817" w:rsidRDefault="00AE0817" w:rsidP="004053CA">
      <w:pPr>
        <w:spacing w:line="360" w:lineRule="auto"/>
        <w:rPr>
          <w:rFonts w:ascii="Arial Narrow" w:hAnsi="Arial Narrow"/>
        </w:rPr>
      </w:pPr>
    </w:p>
    <w:p w14:paraId="31B7E11D" w14:textId="07F02C97" w:rsidR="00AE0817" w:rsidRDefault="00AE0817" w:rsidP="004053CA">
      <w:pPr>
        <w:spacing w:line="360" w:lineRule="auto"/>
        <w:rPr>
          <w:rFonts w:ascii="Arial Narrow" w:hAnsi="Arial Narrow"/>
        </w:rPr>
      </w:pPr>
      <w:r>
        <w:rPr>
          <w:rFonts w:ascii="Arial Narrow" w:hAnsi="Arial Narrow"/>
        </w:rPr>
        <w:t xml:space="preserve">The immersion method is a classification of language </w:t>
      </w:r>
      <w:proofErr w:type="gramStart"/>
      <w:r w:rsidR="00BE2962">
        <w:rPr>
          <w:rFonts w:ascii="Arial Narrow" w:hAnsi="Arial Narrow"/>
        </w:rPr>
        <w:t>revitalisation</w:t>
      </w:r>
      <w:proofErr w:type="gramEnd"/>
      <w:r w:rsidR="00BE2962">
        <w:rPr>
          <w:rFonts w:ascii="Arial Narrow" w:hAnsi="Arial Narrow"/>
        </w:rPr>
        <w:t xml:space="preserve"> </w:t>
      </w:r>
      <w:r w:rsidR="00150633">
        <w:rPr>
          <w:rFonts w:ascii="Arial Narrow" w:hAnsi="Arial Narrow"/>
        </w:rPr>
        <w:t xml:space="preserve">and its main purpose is to increase the status of a minority language (Camilleri and King, 2003). </w:t>
      </w:r>
      <w:proofErr w:type="spellStart"/>
      <w:r w:rsidR="00150633">
        <w:rPr>
          <w:rFonts w:ascii="Arial Narrow" w:hAnsi="Arial Narrow"/>
        </w:rPr>
        <w:t>Gorrara</w:t>
      </w:r>
      <w:proofErr w:type="spellEnd"/>
      <w:r w:rsidR="00150633">
        <w:rPr>
          <w:rFonts w:ascii="Arial Narrow" w:hAnsi="Arial Narrow"/>
        </w:rPr>
        <w:t xml:space="preserve">, </w:t>
      </w:r>
      <w:r w:rsidR="00150633" w:rsidRPr="00150633">
        <w:rPr>
          <w:rFonts w:ascii="Arial Narrow" w:hAnsi="Arial Narrow"/>
          <w:i/>
          <w:iCs/>
        </w:rPr>
        <w:t>et al.</w:t>
      </w:r>
      <w:r w:rsidR="00150633">
        <w:rPr>
          <w:rFonts w:ascii="Arial Narrow" w:hAnsi="Arial Narrow"/>
        </w:rPr>
        <w:t xml:space="preserve"> (2020)</w:t>
      </w:r>
      <w:r w:rsidR="00BE2962">
        <w:rPr>
          <w:rFonts w:ascii="Arial Narrow" w:hAnsi="Arial Narrow"/>
        </w:rPr>
        <w:t xml:space="preserve"> indicate that Wales is an example of best practice in using immersion methods in view of the fact that opportunities have been provided to individuals who do not have the chance to use the Welsh language at home, to learn and be taught alongside individuals that otherwise do have the opportunity to use Welsh at home. This relates to article 28 of the UNCRC; where children have the right to an appropriate education </w:t>
      </w:r>
      <w:r w:rsidR="00BE2962">
        <w:rPr>
          <w:rFonts w:ascii="Arial Narrow" w:hAnsi="Arial Narrow"/>
        </w:rPr>
        <w:t>(UNICEF, no date)</w:t>
      </w:r>
      <w:r w:rsidR="00BE2962">
        <w:rPr>
          <w:rFonts w:ascii="Arial Narrow" w:hAnsi="Arial Narrow"/>
        </w:rPr>
        <w:t>. As a result, there has been a counterbalance in the decline of Welsh speakers and a foundation has been laid for a developing and inclusive idea of bilingualism</w:t>
      </w:r>
      <w:r w:rsidR="00EC1F07">
        <w:rPr>
          <w:rFonts w:ascii="Arial Narrow" w:hAnsi="Arial Narrow"/>
        </w:rPr>
        <w:t xml:space="preserve"> (</w:t>
      </w:r>
      <w:proofErr w:type="spellStart"/>
      <w:r w:rsidR="00EC1F07">
        <w:rPr>
          <w:rFonts w:ascii="Arial Narrow" w:hAnsi="Arial Narrow"/>
        </w:rPr>
        <w:t>Gorrara</w:t>
      </w:r>
      <w:proofErr w:type="spellEnd"/>
      <w:r w:rsidR="00EC1F07">
        <w:rPr>
          <w:rFonts w:ascii="Arial Narrow" w:hAnsi="Arial Narrow"/>
        </w:rPr>
        <w:t xml:space="preserve">, </w:t>
      </w:r>
      <w:r w:rsidR="00EC1F07" w:rsidRPr="00EC1F07">
        <w:rPr>
          <w:rFonts w:ascii="Arial Narrow" w:hAnsi="Arial Narrow"/>
          <w:i/>
          <w:iCs/>
        </w:rPr>
        <w:t>et al.,</w:t>
      </w:r>
      <w:r w:rsidR="00EC1F07">
        <w:rPr>
          <w:rFonts w:ascii="Arial Narrow" w:hAnsi="Arial Narrow"/>
        </w:rPr>
        <w:t xml:space="preserve"> 2020).</w:t>
      </w:r>
    </w:p>
    <w:p w14:paraId="47508E8F" w14:textId="77777777" w:rsidR="00803572" w:rsidRDefault="00803572" w:rsidP="004053CA">
      <w:pPr>
        <w:spacing w:line="360" w:lineRule="auto"/>
        <w:rPr>
          <w:rFonts w:ascii="Arial Narrow" w:hAnsi="Arial Narrow"/>
        </w:rPr>
      </w:pPr>
    </w:p>
    <w:p w14:paraId="174F2DF2" w14:textId="46B29377" w:rsidR="00EC1F07" w:rsidRDefault="00EC1F07" w:rsidP="004053CA">
      <w:pPr>
        <w:spacing w:line="360" w:lineRule="auto"/>
        <w:rPr>
          <w:rFonts w:ascii="Arial Narrow" w:hAnsi="Arial Narrow"/>
        </w:rPr>
      </w:pPr>
      <w:r>
        <w:rPr>
          <w:rFonts w:ascii="Arial Narrow" w:hAnsi="Arial Narrow"/>
        </w:rPr>
        <w:t>According to Schmid (2016)</w:t>
      </w:r>
      <w:r w:rsidR="004D72EA">
        <w:rPr>
          <w:rFonts w:ascii="Arial Narrow" w:hAnsi="Arial Narrow"/>
        </w:rPr>
        <w:t xml:space="preserve"> language attrition refers to the progressive loss of language </w:t>
      </w:r>
      <w:proofErr w:type="gramStart"/>
      <w:r w:rsidR="004D72EA">
        <w:rPr>
          <w:rFonts w:ascii="Arial Narrow" w:hAnsi="Arial Narrow"/>
        </w:rPr>
        <w:t>as a result of</w:t>
      </w:r>
      <w:proofErr w:type="gramEnd"/>
      <w:r w:rsidR="004D72EA">
        <w:rPr>
          <w:rFonts w:ascii="Arial Narrow" w:hAnsi="Arial Narrow"/>
        </w:rPr>
        <w:t xml:space="preserve"> lack of use by the individual, which habitually leads to difficulty recollecting common words and phrases. Consequently, attrition of language, especially a first language or ‘mother tongue’ may induce isolation for that individual (</w:t>
      </w:r>
      <w:r w:rsidR="0005466B">
        <w:rPr>
          <w:rFonts w:ascii="Arial Narrow" w:hAnsi="Arial Narrow"/>
        </w:rPr>
        <w:t xml:space="preserve">Simpson, 2014 and </w:t>
      </w:r>
      <w:r w:rsidR="00F62A03">
        <w:rPr>
          <w:rFonts w:ascii="Arial Narrow" w:hAnsi="Arial Narrow"/>
        </w:rPr>
        <w:t xml:space="preserve">Schmitt and </w:t>
      </w:r>
      <w:proofErr w:type="spellStart"/>
      <w:r w:rsidR="00F62A03">
        <w:rPr>
          <w:rFonts w:ascii="Arial Narrow" w:hAnsi="Arial Narrow"/>
        </w:rPr>
        <w:t>Sorokina</w:t>
      </w:r>
      <w:proofErr w:type="spellEnd"/>
      <w:r w:rsidR="00F62A03">
        <w:rPr>
          <w:rFonts w:ascii="Arial Narrow" w:hAnsi="Arial Narrow"/>
        </w:rPr>
        <w:t>, 2024</w:t>
      </w:r>
      <w:r w:rsidR="004D72EA">
        <w:rPr>
          <w:rFonts w:ascii="Arial Narrow" w:hAnsi="Arial Narrow"/>
        </w:rPr>
        <w:t>).</w:t>
      </w:r>
      <w:r w:rsidR="00F62A03">
        <w:rPr>
          <w:rFonts w:ascii="Arial Narrow" w:hAnsi="Arial Narrow"/>
        </w:rPr>
        <w:t xml:space="preserve"> Hickey and de Mejia (2014) claim that a presentation of developmentally applicable activities and learning within early years immersion is exceedingly formidable in essential differentiation for a range of needs. Hickey and de Mejia continue by emphasising that practitioners cannot use a ‘one size fits all’ approach and the importance of being malleable during planning </w:t>
      </w:r>
      <w:proofErr w:type="gramStart"/>
      <w:r w:rsidR="00F62A03">
        <w:rPr>
          <w:rFonts w:ascii="Arial Narrow" w:hAnsi="Arial Narrow"/>
        </w:rPr>
        <w:t>in order to</w:t>
      </w:r>
      <w:proofErr w:type="gramEnd"/>
      <w:r w:rsidR="00F62A03">
        <w:rPr>
          <w:rFonts w:ascii="Arial Narrow" w:hAnsi="Arial Narrow"/>
        </w:rPr>
        <w:t xml:space="preserve"> adapt to different language proficiency levels and competencies.</w:t>
      </w:r>
      <w:r w:rsidR="00803572">
        <w:rPr>
          <w:rFonts w:ascii="Arial Narrow" w:hAnsi="Arial Narrow"/>
        </w:rPr>
        <w:t xml:space="preserve"> Consequently, an individual with an adept ability of language proficiency must receive enriched input and vocabulary development through the means of stories, songs, and role-playing tasks (Hickey and de Mejia, 2014).</w:t>
      </w:r>
    </w:p>
    <w:p w14:paraId="13488673" w14:textId="77777777" w:rsidR="001755BA" w:rsidRDefault="001755BA" w:rsidP="004053CA">
      <w:pPr>
        <w:spacing w:line="360" w:lineRule="auto"/>
        <w:rPr>
          <w:rFonts w:ascii="Arial Narrow" w:hAnsi="Arial Narrow"/>
        </w:rPr>
      </w:pPr>
    </w:p>
    <w:p w14:paraId="58152135" w14:textId="363E049D" w:rsidR="00C9722C" w:rsidRDefault="001755BA" w:rsidP="004053CA">
      <w:pPr>
        <w:spacing w:line="360" w:lineRule="auto"/>
        <w:rPr>
          <w:rFonts w:ascii="Arial Narrow" w:hAnsi="Arial Narrow"/>
        </w:rPr>
      </w:pPr>
      <w:r>
        <w:rPr>
          <w:rFonts w:ascii="Arial Narrow" w:hAnsi="Arial Narrow"/>
        </w:rPr>
        <w:t xml:space="preserve">The bilingual brain is linguistically proficient and competent (Blackburn, A., 2018), </w:t>
      </w:r>
      <w:proofErr w:type="gramStart"/>
      <w:r>
        <w:rPr>
          <w:rFonts w:ascii="Arial Narrow" w:hAnsi="Arial Narrow"/>
        </w:rPr>
        <w:t>all the more</w:t>
      </w:r>
      <w:proofErr w:type="gramEnd"/>
      <w:r>
        <w:rPr>
          <w:rFonts w:ascii="Arial Narrow" w:hAnsi="Arial Narrow"/>
        </w:rPr>
        <w:t>, as Bosch and Sebastián-</w:t>
      </w:r>
      <w:proofErr w:type="spellStart"/>
      <w:r>
        <w:rPr>
          <w:rFonts w:ascii="Arial Narrow" w:hAnsi="Arial Narrow"/>
        </w:rPr>
        <w:t>Gallés</w:t>
      </w:r>
      <w:proofErr w:type="spellEnd"/>
      <w:r>
        <w:rPr>
          <w:rFonts w:ascii="Arial Narrow" w:hAnsi="Arial Narrow"/>
        </w:rPr>
        <w:t xml:space="preserve"> (2009) points out that newborns have the ability to differentiate between two languages, and therefore retain an increased amount of grey matter.</w:t>
      </w:r>
      <w:r w:rsidR="00B31B47">
        <w:rPr>
          <w:rFonts w:ascii="Arial Narrow" w:hAnsi="Arial Narrow"/>
        </w:rPr>
        <w:t xml:space="preserve"> The auditory cortex processes auditory information and transports messages and signals to Wernicke’s area (</w:t>
      </w:r>
      <w:proofErr w:type="spellStart"/>
      <w:r w:rsidR="00B31B47">
        <w:rPr>
          <w:rFonts w:ascii="Arial Narrow" w:hAnsi="Arial Narrow"/>
        </w:rPr>
        <w:t>Friederici</w:t>
      </w:r>
      <w:proofErr w:type="spellEnd"/>
      <w:r w:rsidR="00B31B47">
        <w:rPr>
          <w:rFonts w:ascii="Arial Narrow" w:hAnsi="Arial Narrow"/>
        </w:rPr>
        <w:t xml:space="preserve">, Meyer, and von </w:t>
      </w:r>
      <w:proofErr w:type="spellStart"/>
      <w:r w:rsidR="00B31B47">
        <w:rPr>
          <w:rFonts w:ascii="Arial Narrow" w:hAnsi="Arial Narrow"/>
        </w:rPr>
        <w:t>Cramon</w:t>
      </w:r>
      <w:proofErr w:type="spellEnd"/>
      <w:r w:rsidR="00B31B47">
        <w:rPr>
          <w:rFonts w:ascii="Arial Narrow" w:hAnsi="Arial Narrow"/>
        </w:rPr>
        <w:t xml:space="preserve">, 2000). </w:t>
      </w:r>
      <w:proofErr w:type="spellStart"/>
      <w:r w:rsidR="00B31B47">
        <w:rPr>
          <w:rFonts w:ascii="Arial Narrow" w:hAnsi="Arial Narrow"/>
        </w:rPr>
        <w:t>Kuipers</w:t>
      </w:r>
      <w:proofErr w:type="spellEnd"/>
      <w:r w:rsidR="00B31B47">
        <w:rPr>
          <w:rFonts w:ascii="Arial Narrow" w:hAnsi="Arial Narrow"/>
        </w:rPr>
        <w:t xml:space="preserve"> and Thierry (2015) express that maturation of the auditory cortex is </w:t>
      </w:r>
      <w:r w:rsidR="00B31B47">
        <w:rPr>
          <w:rFonts w:ascii="Arial Narrow" w:hAnsi="Arial Narrow"/>
        </w:rPr>
        <w:lastRenderedPageBreak/>
        <w:t>associated with language acquisition, they argue that bilingual individuals ther</w:t>
      </w:r>
      <w:r w:rsidR="009B1F81">
        <w:rPr>
          <w:rFonts w:ascii="Arial Narrow" w:hAnsi="Arial Narrow"/>
        </w:rPr>
        <w:t>e</w:t>
      </w:r>
      <w:r w:rsidR="00B31B47">
        <w:rPr>
          <w:rFonts w:ascii="Arial Narrow" w:hAnsi="Arial Narrow"/>
        </w:rPr>
        <w:t>fore possess enhanced phonological awareness</w:t>
      </w:r>
      <w:r w:rsidR="009B1F81">
        <w:rPr>
          <w:rFonts w:ascii="Arial Narrow" w:hAnsi="Arial Narrow"/>
        </w:rPr>
        <w:t xml:space="preserve"> whilst also obtaining a greater ability to learn new phenomes</w:t>
      </w:r>
      <w:r w:rsidR="00B31B47">
        <w:rPr>
          <w:rFonts w:ascii="Arial Narrow" w:hAnsi="Arial Narrow"/>
        </w:rPr>
        <w:t>.</w:t>
      </w:r>
      <w:r w:rsidR="00F3448C">
        <w:rPr>
          <w:rFonts w:ascii="Arial Narrow" w:hAnsi="Arial Narrow"/>
        </w:rPr>
        <w:t xml:space="preserve"> Individuals obtain language comprehension in the area of the brain called Wernicke’s area, this is also where language production and processing develop (DeWitt and </w:t>
      </w:r>
      <w:proofErr w:type="spellStart"/>
      <w:r w:rsidR="00F3448C">
        <w:rPr>
          <w:rFonts w:ascii="Arial Narrow" w:hAnsi="Arial Narrow"/>
        </w:rPr>
        <w:t>Rauschecker</w:t>
      </w:r>
      <w:proofErr w:type="spellEnd"/>
      <w:r w:rsidR="00F3448C">
        <w:rPr>
          <w:rFonts w:ascii="Arial Narrow" w:hAnsi="Arial Narrow"/>
        </w:rPr>
        <w:t>, 2013). According to Hofmann (2020) increased connectivity appears in the brains of bilingual and multilingual individuals</w:t>
      </w:r>
      <w:r w:rsidR="00516BD8">
        <w:rPr>
          <w:rFonts w:ascii="Arial Narrow" w:hAnsi="Arial Narrow"/>
        </w:rPr>
        <w:t xml:space="preserve"> </w:t>
      </w:r>
      <w:proofErr w:type="gramStart"/>
      <w:r w:rsidR="00516BD8">
        <w:rPr>
          <w:rFonts w:ascii="Arial Narrow" w:hAnsi="Arial Narrow"/>
        </w:rPr>
        <w:t>as a result of</w:t>
      </w:r>
      <w:proofErr w:type="gramEnd"/>
      <w:r w:rsidR="00516BD8">
        <w:rPr>
          <w:rFonts w:ascii="Arial Narrow" w:hAnsi="Arial Narrow"/>
        </w:rPr>
        <w:t xml:space="preserve"> continuing utilisation and management of two or more spoken languages. Hofman</w:t>
      </w:r>
      <w:r w:rsidR="003D2105">
        <w:rPr>
          <w:rFonts w:ascii="Arial Narrow" w:hAnsi="Arial Narrow"/>
        </w:rPr>
        <w:t>n</w:t>
      </w:r>
      <w:r w:rsidR="00516BD8">
        <w:rPr>
          <w:rFonts w:ascii="Arial Narrow" w:hAnsi="Arial Narrow"/>
        </w:rPr>
        <w:t xml:space="preserve"> continues by stating the role of Broca’s area which is the destination for information that has travelled from Wernicke’s area. Broca’s area is where an individual’s speech production and articulation </w:t>
      </w:r>
      <w:proofErr w:type="gramStart"/>
      <w:r w:rsidR="00516BD8">
        <w:rPr>
          <w:rFonts w:ascii="Arial Narrow" w:hAnsi="Arial Narrow"/>
        </w:rPr>
        <w:t>is</w:t>
      </w:r>
      <w:proofErr w:type="gramEnd"/>
      <w:r w:rsidR="00516BD8">
        <w:rPr>
          <w:rFonts w:ascii="Arial Narrow" w:hAnsi="Arial Narrow"/>
        </w:rPr>
        <w:t xml:space="preserve"> developed and construct one’s capability to </w:t>
      </w:r>
      <w:r w:rsidR="006316FF">
        <w:rPr>
          <w:rFonts w:ascii="Arial Narrow" w:hAnsi="Arial Narrow"/>
        </w:rPr>
        <w:t xml:space="preserve">articulate notions, whilst also enhancing the ability to accurately utilise words orally and in written language. </w:t>
      </w:r>
      <w:proofErr w:type="spellStart"/>
      <w:r w:rsidR="006316FF">
        <w:rPr>
          <w:rFonts w:ascii="Arial Narrow" w:hAnsi="Arial Narrow"/>
        </w:rPr>
        <w:t>Papoutsi</w:t>
      </w:r>
      <w:proofErr w:type="spellEnd"/>
      <w:r w:rsidR="006316FF">
        <w:rPr>
          <w:rFonts w:ascii="Arial Narrow" w:hAnsi="Arial Narrow"/>
        </w:rPr>
        <w:t xml:space="preserve">, </w:t>
      </w:r>
      <w:r w:rsidR="006316FF" w:rsidRPr="006316FF">
        <w:rPr>
          <w:rFonts w:ascii="Arial Narrow" w:hAnsi="Arial Narrow"/>
          <w:i/>
          <w:iCs/>
        </w:rPr>
        <w:t>et al.</w:t>
      </w:r>
      <w:r w:rsidR="006316FF">
        <w:rPr>
          <w:rFonts w:ascii="Arial Narrow" w:hAnsi="Arial Narrow"/>
        </w:rPr>
        <w:t xml:space="preserve"> (2009) maintain this by expressing the cruciality of Broca’s area in the development of language acquisition.</w:t>
      </w:r>
      <w:r w:rsidR="003D2105">
        <w:rPr>
          <w:rFonts w:ascii="Arial Narrow" w:hAnsi="Arial Narrow"/>
        </w:rPr>
        <w:t xml:space="preserve"> Speech production and perception </w:t>
      </w:r>
      <w:r w:rsidR="009D40FA">
        <w:rPr>
          <w:rFonts w:ascii="Arial Narrow" w:hAnsi="Arial Narrow"/>
        </w:rPr>
        <w:t>are</w:t>
      </w:r>
      <w:r w:rsidR="003D2105">
        <w:rPr>
          <w:rFonts w:ascii="Arial Narrow" w:hAnsi="Arial Narrow"/>
        </w:rPr>
        <w:t xml:space="preserve"> constructed in the motor cortex of the brain (Kumar, </w:t>
      </w:r>
      <w:proofErr w:type="spellStart"/>
      <w:r w:rsidR="003D2105">
        <w:rPr>
          <w:rFonts w:ascii="Arial Narrow" w:hAnsi="Arial Narrow"/>
        </w:rPr>
        <w:t>Croxson</w:t>
      </w:r>
      <w:proofErr w:type="spellEnd"/>
      <w:r w:rsidR="003D2105">
        <w:rPr>
          <w:rFonts w:ascii="Arial Narrow" w:hAnsi="Arial Narrow"/>
        </w:rPr>
        <w:t xml:space="preserve">, and </w:t>
      </w:r>
      <w:proofErr w:type="spellStart"/>
      <w:r w:rsidR="003D2105">
        <w:rPr>
          <w:rFonts w:ascii="Arial Narrow" w:hAnsi="Arial Narrow"/>
        </w:rPr>
        <w:t>Simonyan</w:t>
      </w:r>
      <w:proofErr w:type="spellEnd"/>
      <w:r w:rsidR="003D2105">
        <w:rPr>
          <w:rFonts w:ascii="Arial Narrow" w:hAnsi="Arial Narrow"/>
        </w:rPr>
        <w:t xml:space="preserve">, 2016). </w:t>
      </w:r>
      <w:proofErr w:type="spellStart"/>
      <w:r w:rsidR="003D2105">
        <w:rPr>
          <w:rFonts w:ascii="Arial Narrow" w:hAnsi="Arial Narrow"/>
        </w:rPr>
        <w:t>Treutler</w:t>
      </w:r>
      <w:proofErr w:type="spellEnd"/>
      <w:r w:rsidR="003D2105">
        <w:rPr>
          <w:rFonts w:ascii="Arial Narrow" w:hAnsi="Arial Narrow"/>
        </w:rPr>
        <w:t xml:space="preserve"> and Soros (2021) claim that the production and capacity of a second language increases activity in the motor cortex. </w:t>
      </w:r>
      <w:r w:rsidR="009D40FA">
        <w:rPr>
          <w:rFonts w:ascii="Arial Narrow" w:hAnsi="Arial Narrow"/>
        </w:rPr>
        <w:t xml:space="preserve">Contrariwise, Thomas (2018) believes that the brain of a bilingual individual is working strenuous amounts </w:t>
      </w:r>
      <w:proofErr w:type="gramStart"/>
      <w:r w:rsidR="009D40FA">
        <w:rPr>
          <w:rFonts w:ascii="Arial Narrow" w:hAnsi="Arial Narrow"/>
        </w:rPr>
        <w:t>in order to</w:t>
      </w:r>
      <w:proofErr w:type="gramEnd"/>
      <w:r w:rsidR="009D40FA">
        <w:rPr>
          <w:rFonts w:ascii="Arial Narrow" w:hAnsi="Arial Narrow"/>
        </w:rPr>
        <w:t xml:space="preserve"> divert from one language to the other and therefore will be required to illude both languages all whilst concurrently ignoring one language when using the other.</w:t>
      </w:r>
    </w:p>
    <w:p w14:paraId="144E40E7" w14:textId="77777777" w:rsidR="003E7F27" w:rsidRDefault="003E7F27" w:rsidP="004053CA">
      <w:pPr>
        <w:spacing w:line="360" w:lineRule="auto"/>
        <w:rPr>
          <w:rFonts w:ascii="Arial Narrow" w:hAnsi="Arial Narrow"/>
        </w:rPr>
      </w:pPr>
    </w:p>
    <w:p w14:paraId="6B5D53BD" w14:textId="4205845D" w:rsidR="00C9722C" w:rsidRDefault="003E7F27" w:rsidP="004053CA">
      <w:pPr>
        <w:spacing w:line="360" w:lineRule="auto"/>
        <w:rPr>
          <w:rFonts w:ascii="Arial Narrow" w:hAnsi="Arial Narrow"/>
        </w:rPr>
      </w:pPr>
      <w:r>
        <w:rPr>
          <w:rFonts w:ascii="Arial Narrow" w:hAnsi="Arial Narrow"/>
        </w:rPr>
        <w:t xml:space="preserve">Hoffman and Russ (2012) argue that play facilitates the development of divergent thinking competence as the cognitive processes required during play encompass divergent thinking. Hoffman and Russ continue by stating that children who exhibit increased imagination during pretend and imaginary play possess greater divergent thinking capabilities. </w:t>
      </w:r>
      <w:r w:rsidR="001C2F77">
        <w:rPr>
          <w:rFonts w:ascii="Arial Narrow" w:hAnsi="Arial Narrow"/>
        </w:rPr>
        <w:t xml:space="preserve">Guilford (1967) supports this as he states the myriad of properties of divergent thinking. Amongst these properties is fluency, thus the ability to produce a rapid number of ideas and solutions to </w:t>
      </w:r>
      <w:proofErr w:type="gramStart"/>
      <w:r w:rsidR="001C2F77">
        <w:rPr>
          <w:rFonts w:ascii="Arial Narrow" w:hAnsi="Arial Narrow"/>
        </w:rPr>
        <w:t>a number of</w:t>
      </w:r>
      <w:proofErr w:type="gramEnd"/>
      <w:r w:rsidR="001C2F77">
        <w:rPr>
          <w:rFonts w:ascii="Arial Narrow" w:hAnsi="Arial Narrow"/>
        </w:rPr>
        <w:t xml:space="preserve"> challenging obstacles. In addition, there is flexibility, which is the capacity to consider a variety of approaches to a problem simultaneously. Guilford continues by expressing the importance of elaboration, meaning that an individual has the propensity to consider and evaluate details of an idea and then </w:t>
      </w:r>
      <w:r w:rsidR="009B7429">
        <w:rPr>
          <w:rFonts w:ascii="Arial Narrow" w:hAnsi="Arial Narrow"/>
        </w:rPr>
        <w:t xml:space="preserve">proceed to conduct said idea. Lastly, there is originality, which is the tendency to produce ideas disparate from those of others. </w:t>
      </w:r>
      <w:proofErr w:type="spellStart"/>
      <w:r w:rsidR="00D237A4">
        <w:rPr>
          <w:rFonts w:ascii="Arial Narrow" w:hAnsi="Arial Narrow"/>
        </w:rPr>
        <w:t>Kharkhurin</w:t>
      </w:r>
      <w:proofErr w:type="spellEnd"/>
      <w:r w:rsidR="00D237A4">
        <w:rPr>
          <w:rFonts w:ascii="Arial Narrow" w:hAnsi="Arial Narrow"/>
        </w:rPr>
        <w:t xml:space="preserve">, </w:t>
      </w:r>
      <w:proofErr w:type="spellStart"/>
      <w:r w:rsidR="00D237A4">
        <w:rPr>
          <w:rFonts w:ascii="Arial Narrow" w:hAnsi="Arial Narrow"/>
        </w:rPr>
        <w:t>Koncha</w:t>
      </w:r>
      <w:proofErr w:type="spellEnd"/>
      <w:r w:rsidR="00D237A4">
        <w:rPr>
          <w:rFonts w:ascii="Arial Narrow" w:hAnsi="Arial Narrow"/>
        </w:rPr>
        <w:t xml:space="preserve">, and </w:t>
      </w:r>
      <w:proofErr w:type="spellStart"/>
      <w:r w:rsidR="00D237A4">
        <w:rPr>
          <w:rFonts w:ascii="Arial Narrow" w:hAnsi="Arial Narrow"/>
        </w:rPr>
        <w:t>Charkhabi</w:t>
      </w:r>
      <w:proofErr w:type="spellEnd"/>
      <w:r w:rsidR="00D237A4">
        <w:rPr>
          <w:rFonts w:ascii="Arial Narrow" w:hAnsi="Arial Narrow"/>
        </w:rPr>
        <w:t xml:space="preserve"> (2022) suggest that language capability was found to establish the association between intercultural interaction and fluency, </w:t>
      </w:r>
      <w:proofErr w:type="gramStart"/>
      <w:r w:rsidR="00D237A4">
        <w:rPr>
          <w:rFonts w:ascii="Arial Narrow" w:hAnsi="Arial Narrow"/>
        </w:rPr>
        <w:t>flexibility</w:t>
      </w:r>
      <w:proofErr w:type="gramEnd"/>
      <w:r w:rsidR="00D237A4">
        <w:rPr>
          <w:rFonts w:ascii="Arial Narrow" w:hAnsi="Arial Narrow"/>
        </w:rPr>
        <w:t xml:space="preserve"> and originality in divergent thinking, emphasising the importance of language to individual creativity.</w:t>
      </w:r>
    </w:p>
    <w:p w14:paraId="550D0BAC" w14:textId="77777777" w:rsidR="00D237A4" w:rsidRDefault="00D237A4" w:rsidP="004053CA">
      <w:pPr>
        <w:spacing w:line="360" w:lineRule="auto"/>
        <w:rPr>
          <w:rFonts w:ascii="Arial Narrow" w:hAnsi="Arial Narrow"/>
        </w:rPr>
      </w:pPr>
    </w:p>
    <w:p w14:paraId="558253AE" w14:textId="77777777" w:rsidR="00D237A4" w:rsidRPr="004053CA" w:rsidRDefault="00D237A4" w:rsidP="004053CA">
      <w:pPr>
        <w:spacing w:line="360" w:lineRule="auto"/>
        <w:rPr>
          <w:rFonts w:ascii="Arial Narrow" w:hAnsi="Arial Narrow"/>
        </w:rPr>
      </w:pPr>
    </w:p>
    <w:p w14:paraId="2BB3605F" w14:textId="77777777" w:rsidR="00D237A4" w:rsidRDefault="00D237A4" w:rsidP="00D237A4">
      <w:pPr>
        <w:rPr>
          <w:rFonts w:ascii="Arial Narrow" w:hAnsi="Arial Narrow"/>
          <w:u w:val="single"/>
        </w:rPr>
      </w:pPr>
    </w:p>
    <w:p w14:paraId="23403E35" w14:textId="329C27E6" w:rsidR="00D41908" w:rsidRDefault="00D41908" w:rsidP="00D237A4">
      <w:pPr>
        <w:jc w:val="center"/>
        <w:rPr>
          <w:rFonts w:ascii="Arial Narrow" w:hAnsi="Arial Narrow"/>
          <w:u w:val="single"/>
        </w:rPr>
      </w:pPr>
      <w:r>
        <w:rPr>
          <w:rFonts w:ascii="Arial Narrow" w:hAnsi="Arial Narrow"/>
          <w:u w:val="single"/>
        </w:rPr>
        <w:t>Reference List</w:t>
      </w:r>
    </w:p>
    <w:p w14:paraId="1437F66F" w14:textId="77777777" w:rsidR="0055705C" w:rsidRDefault="0055705C" w:rsidP="00D41908">
      <w:pPr>
        <w:spacing w:line="360" w:lineRule="auto"/>
        <w:rPr>
          <w:rFonts w:ascii="Arial Narrow" w:hAnsi="Arial Narrow" w:cs="Arial"/>
          <w:color w:val="222222"/>
          <w:shd w:val="clear" w:color="auto" w:fill="FFFFFF"/>
        </w:rPr>
      </w:pPr>
    </w:p>
    <w:p w14:paraId="41F5CEA0" w14:textId="77777777" w:rsidR="0055705C" w:rsidRDefault="0055705C" w:rsidP="000215B1">
      <w:pPr>
        <w:spacing w:line="276" w:lineRule="auto"/>
        <w:rPr>
          <w:rFonts w:ascii="Arial Narrow" w:hAnsi="Arial Narrow"/>
          <w:lang w:val="en-US"/>
        </w:rPr>
      </w:pPr>
    </w:p>
    <w:p w14:paraId="0E04A2D9" w14:textId="059C960C" w:rsidR="0055705C" w:rsidRDefault="0055705C" w:rsidP="000215B1">
      <w:pPr>
        <w:spacing w:line="276" w:lineRule="auto"/>
        <w:rPr>
          <w:rFonts w:ascii="Arial Narrow" w:hAnsi="Arial Narrow"/>
          <w:lang w:val="en-US"/>
        </w:rPr>
      </w:pPr>
      <w:r w:rsidRPr="008E0DA0">
        <w:rPr>
          <w:rFonts w:ascii="Arial Narrow" w:hAnsi="Arial Narrow"/>
          <w:lang w:val="en-US"/>
        </w:rPr>
        <w:t xml:space="preserve">Baker, C. (2011) </w:t>
      </w:r>
      <w:r w:rsidRPr="008E0DA0">
        <w:rPr>
          <w:rFonts w:ascii="Arial Narrow" w:hAnsi="Arial Narrow"/>
          <w:i/>
          <w:iCs/>
          <w:lang w:val="en-US"/>
        </w:rPr>
        <w:t>Foundations of Bilingual Education and Bilingualism</w:t>
      </w:r>
      <w:r w:rsidR="00E13A91">
        <w:rPr>
          <w:rFonts w:ascii="Arial Narrow" w:hAnsi="Arial Narrow"/>
          <w:lang w:val="en-US"/>
        </w:rPr>
        <w:t xml:space="preserve">. </w:t>
      </w:r>
      <w:r w:rsidRPr="008E0DA0">
        <w:rPr>
          <w:rFonts w:ascii="Arial Narrow" w:hAnsi="Arial Narrow"/>
          <w:lang w:val="en-US"/>
        </w:rPr>
        <w:t xml:space="preserve">(5th </w:t>
      </w:r>
      <w:r>
        <w:rPr>
          <w:rFonts w:ascii="Arial Narrow" w:hAnsi="Arial Narrow"/>
          <w:lang w:val="en-US"/>
        </w:rPr>
        <w:t>Edition</w:t>
      </w:r>
      <w:r w:rsidRPr="008E0DA0">
        <w:rPr>
          <w:rFonts w:ascii="Arial Narrow" w:hAnsi="Arial Narrow"/>
          <w:lang w:val="en-US"/>
        </w:rPr>
        <w:t xml:space="preserve">). </w:t>
      </w:r>
      <w:proofErr w:type="spellStart"/>
      <w:r w:rsidRPr="008E0DA0">
        <w:rPr>
          <w:rFonts w:ascii="Arial Narrow" w:hAnsi="Arial Narrow"/>
          <w:lang w:val="en-US"/>
        </w:rPr>
        <w:t>Clevedon</w:t>
      </w:r>
      <w:proofErr w:type="spellEnd"/>
      <w:r w:rsidRPr="008E0DA0">
        <w:rPr>
          <w:rFonts w:ascii="Arial Narrow" w:hAnsi="Arial Narrow"/>
          <w:lang w:val="en-US"/>
        </w:rPr>
        <w:t>: Multilingual Matters.</w:t>
      </w:r>
    </w:p>
    <w:p w14:paraId="3250C22A" w14:textId="77777777" w:rsidR="0055705C" w:rsidRDefault="0055705C" w:rsidP="000215B1">
      <w:pPr>
        <w:spacing w:line="276" w:lineRule="auto"/>
        <w:rPr>
          <w:rFonts w:ascii="Arial Narrow" w:hAnsi="Arial Narrow"/>
          <w:lang w:val="en-US"/>
        </w:rPr>
      </w:pPr>
    </w:p>
    <w:p w14:paraId="33A2B0D5" w14:textId="5F35865E" w:rsidR="0055705C" w:rsidRPr="0055705C" w:rsidRDefault="0055705C" w:rsidP="000215B1">
      <w:pPr>
        <w:spacing w:line="276" w:lineRule="auto"/>
        <w:rPr>
          <w:rFonts w:ascii="Arial Narrow" w:hAnsi="Arial Narrow"/>
        </w:rPr>
      </w:pPr>
      <w:r w:rsidRPr="0055705C">
        <w:rPr>
          <w:rFonts w:ascii="Arial Narrow" w:hAnsi="Arial Narrow"/>
          <w:lang w:val="cy-GB"/>
        </w:rPr>
        <w:t xml:space="preserve">Baker, C. (2014) </w:t>
      </w:r>
      <w:r w:rsidRPr="0055705C">
        <w:rPr>
          <w:rFonts w:ascii="Arial Narrow" w:hAnsi="Arial Narrow"/>
          <w:i/>
          <w:iCs/>
        </w:rPr>
        <w:t>A Parents' and Teachers' Guide to Bilingualism.</w:t>
      </w:r>
      <w:r w:rsidRPr="0055705C">
        <w:rPr>
          <w:rFonts w:ascii="Arial Narrow" w:hAnsi="Arial Narrow"/>
        </w:rPr>
        <w:t xml:space="preserve"> (4th Edition). Bristol: Multilingual Matters.</w:t>
      </w:r>
    </w:p>
    <w:p w14:paraId="636C1C42" w14:textId="176F6413" w:rsidR="00FE6F73" w:rsidRDefault="00FE6F73" w:rsidP="000215B1">
      <w:pPr>
        <w:spacing w:line="276" w:lineRule="auto"/>
        <w:rPr>
          <w:rFonts w:ascii="Arial Narrow" w:hAnsi="Arial Narrow"/>
          <w:lang w:val="en-US"/>
        </w:rPr>
      </w:pPr>
    </w:p>
    <w:p w14:paraId="7F230BC7" w14:textId="2CE455F6" w:rsidR="00FE6F73" w:rsidRDefault="00FE6F73" w:rsidP="000215B1">
      <w:pPr>
        <w:spacing w:line="276" w:lineRule="auto"/>
        <w:rPr>
          <w:rFonts w:ascii="Arial Narrow" w:hAnsi="Arial Narrow"/>
          <w:lang w:val="en-US"/>
        </w:rPr>
      </w:pPr>
      <w:r>
        <w:rPr>
          <w:rFonts w:ascii="Arial Narrow" w:hAnsi="Arial Narrow"/>
          <w:lang w:val="en-US"/>
        </w:rPr>
        <w:t>Barman, B. (2012) ‘The Linguistic Philosophy of Noam Chomsky’, Philosophy and Progress, 50(52), pp. 104-122.</w:t>
      </w:r>
    </w:p>
    <w:p w14:paraId="59A491DF" w14:textId="77777777" w:rsidR="00FE6F73" w:rsidRDefault="00FE6F73" w:rsidP="000215B1">
      <w:pPr>
        <w:spacing w:line="276" w:lineRule="auto"/>
        <w:rPr>
          <w:rFonts w:ascii="Arial Narrow" w:hAnsi="Arial Narrow"/>
          <w:lang w:val="en-US"/>
        </w:rPr>
      </w:pPr>
    </w:p>
    <w:p w14:paraId="3E1193B4" w14:textId="4FCE8FF2" w:rsidR="00414137" w:rsidRDefault="00414137" w:rsidP="000215B1">
      <w:pPr>
        <w:spacing w:line="276" w:lineRule="auto"/>
        <w:rPr>
          <w:rFonts w:ascii="Arial Narrow" w:hAnsi="Arial Narrow"/>
          <w:lang w:val="en-US"/>
        </w:rPr>
      </w:pPr>
      <w:r>
        <w:rPr>
          <w:rFonts w:ascii="Arial Narrow" w:hAnsi="Arial Narrow"/>
          <w:lang w:val="en-US"/>
        </w:rPr>
        <w:t xml:space="preserve">Bellin, </w:t>
      </w:r>
      <w:r w:rsidR="00BA637D">
        <w:rPr>
          <w:rFonts w:ascii="Arial Narrow" w:hAnsi="Arial Narrow"/>
          <w:lang w:val="en-US"/>
        </w:rPr>
        <w:t xml:space="preserve">W., </w:t>
      </w:r>
      <w:r w:rsidR="00BA637D" w:rsidRPr="00BA637D">
        <w:rPr>
          <w:rFonts w:ascii="Arial Narrow" w:hAnsi="Arial Narrow"/>
          <w:i/>
          <w:iCs/>
          <w:lang w:val="en-US"/>
        </w:rPr>
        <w:t>et al.</w:t>
      </w:r>
      <w:r w:rsidR="00BA637D">
        <w:rPr>
          <w:rFonts w:ascii="Arial Narrow" w:hAnsi="Arial Narrow"/>
          <w:lang w:val="en-US"/>
        </w:rPr>
        <w:t xml:space="preserve"> (2008) ‘The social context of Welsh-medium bilingual education is </w:t>
      </w:r>
      <w:proofErr w:type="spellStart"/>
      <w:r w:rsidR="00BA637D">
        <w:rPr>
          <w:rFonts w:ascii="Arial Narrow" w:hAnsi="Arial Narrow"/>
          <w:lang w:val="en-US"/>
        </w:rPr>
        <w:t>anglicised</w:t>
      </w:r>
      <w:proofErr w:type="spellEnd"/>
      <w:r w:rsidR="00BA637D">
        <w:rPr>
          <w:rFonts w:ascii="Arial Narrow" w:hAnsi="Arial Narrow"/>
          <w:lang w:val="en-US"/>
        </w:rPr>
        <w:t xml:space="preserve"> areas’, </w:t>
      </w:r>
      <w:r w:rsidR="00BA637D" w:rsidRPr="00BA637D">
        <w:rPr>
          <w:rFonts w:ascii="Arial Narrow" w:hAnsi="Arial Narrow"/>
          <w:i/>
          <w:iCs/>
          <w:lang w:val="en-US"/>
        </w:rPr>
        <w:t>Journal of Sociolinguistics,</w:t>
      </w:r>
      <w:r w:rsidR="00BA637D">
        <w:rPr>
          <w:rFonts w:ascii="Arial Narrow" w:hAnsi="Arial Narrow"/>
          <w:lang w:val="en-US"/>
        </w:rPr>
        <w:t xml:space="preserve"> 3(2), pp. 173-193.</w:t>
      </w:r>
    </w:p>
    <w:p w14:paraId="796E1C3B" w14:textId="77777777" w:rsidR="001755BA" w:rsidRDefault="001755BA" w:rsidP="000215B1">
      <w:pPr>
        <w:spacing w:line="276" w:lineRule="auto"/>
        <w:rPr>
          <w:rFonts w:ascii="Arial Narrow" w:hAnsi="Arial Narrow"/>
          <w:lang w:val="en-US"/>
        </w:rPr>
      </w:pPr>
    </w:p>
    <w:p w14:paraId="32C5BC80" w14:textId="12FCBBC2" w:rsidR="001755BA" w:rsidRDefault="001755BA" w:rsidP="000215B1">
      <w:pPr>
        <w:spacing w:line="276" w:lineRule="auto"/>
        <w:rPr>
          <w:rFonts w:ascii="Arial Narrow" w:hAnsi="Arial Narrow"/>
          <w:lang w:val="en-US"/>
        </w:rPr>
      </w:pPr>
      <w:r>
        <w:rPr>
          <w:rFonts w:ascii="Arial Narrow" w:hAnsi="Arial Narrow"/>
          <w:lang w:val="en-US"/>
        </w:rPr>
        <w:t xml:space="preserve">Blackburn, A. M. (2018) </w:t>
      </w:r>
      <w:r>
        <w:rPr>
          <w:rFonts w:ascii="Arial Narrow" w:hAnsi="Arial Narrow"/>
          <w:i/>
          <w:iCs/>
          <w:lang w:val="en-US"/>
        </w:rPr>
        <w:t xml:space="preserve">The Bilingual Brain. </w:t>
      </w:r>
      <w:r>
        <w:rPr>
          <w:rFonts w:ascii="Arial Narrow" w:hAnsi="Arial Narrow"/>
          <w:lang w:val="en-US"/>
        </w:rPr>
        <w:t>(2</w:t>
      </w:r>
      <w:r w:rsidRPr="001755BA">
        <w:rPr>
          <w:rFonts w:ascii="Arial Narrow" w:hAnsi="Arial Narrow"/>
          <w:vertAlign w:val="superscript"/>
          <w:lang w:val="en-US"/>
        </w:rPr>
        <w:t>nd</w:t>
      </w:r>
      <w:r>
        <w:rPr>
          <w:rFonts w:ascii="Arial Narrow" w:hAnsi="Arial Narrow"/>
          <w:lang w:val="en-US"/>
        </w:rPr>
        <w:t xml:space="preserve"> Edition). Oxford: Routledge.</w:t>
      </w:r>
    </w:p>
    <w:p w14:paraId="1CA42DF7" w14:textId="77777777" w:rsidR="001755BA" w:rsidRDefault="001755BA" w:rsidP="000215B1">
      <w:pPr>
        <w:spacing w:line="276" w:lineRule="auto"/>
        <w:rPr>
          <w:rFonts w:ascii="Arial Narrow" w:hAnsi="Arial Narrow"/>
          <w:lang w:val="en-US"/>
        </w:rPr>
      </w:pPr>
    </w:p>
    <w:p w14:paraId="246E3BE8" w14:textId="6B660895" w:rsidR="001755BA" w:rsidRPr="001755BA" w:rsidRDefault="001755BA" w:rsidP="000215B1">
      <w:pPr>
        <w:spacing w:line="276" w:lineRule="auto"/>
        <w:rPr>
          <w:rFonts w:ascii="Arial Narrow" w:hAnsi="Arial Narrow"/>
          <w:lang w:val="en-US"/>
        </w:rPr>
      </w:pPr>
      <w:r>
        <w:rPr>
          <w:rFonts w:ascii="Arial Narrow" w:hAnsi="Arial Narrow"/>
          <w:lang w:val="en-US"/>
        </w:rPr>
        <w:t>Bosch, L., and Sebastián-</w:t>
      </w:r>
      <w:proofErr w:type="spellStart"/>
      <w:r>
        <w:rPr>
          <w:rFonts w:ascii="Arial Narrow" w:hAnsi="Arial Narrow"/>
          <w:lang w:val="en-US"/>
        </w:rPr>
        <w:t>Gallés</w:t>
      </w:r>
      <w:proofErr w:type="spellEnd"/>
      <w:r>
        <w:rPr>
          <w:rFonts w:ascii="Arial Narrow" w:hAnsi="Arial Narrow"/>
          <w:lang w:val="en-US"/>
        </w:rPr>
        <w:t xml:space="preserve"> (2009) ‘Evidence of Early Language Discrimination Abilities in Infants</w:t>
      </w:r>
      <w:r w:rsidR="00B31B47">
        <w:rPr>
          <w:rFonts w:ascii="Arial Narrow" w:hAnsi="Arial Narrow"/>
          <w:lang w:val="en-US"/>
        </w:rPr>
        <w:t xml:space="preserve"> </w:t>
      </w:r>
      <w:proofErr w:type="gramStart"/>
      <w:r w:rsidR="00B31B47">
        <w:rPr>
          <w:rFonts w:ascii="Arial Narrow" w:hAnsi="Arial Narrow"/>
          <w:lang w:val="en-US"/>
        </w:rPr>
        <w:t>From</w:t>
      </w:r>
      <w:proofErr w:type="gramEnd"/>
      <w:r w:rsidR="00B31B47">
        <w:rPr>
          <w:rFonts w:ascii="Arial Narrow" w:hAnsi="Arial Narrow"/>
          <w:lang w:val="en-US"/>
        </w:rPr>
        <w:t xml:space="preserve"> Bilingual Environments’, </w:t>
      </w:r>
      <w:r w:rsidR="00B31B47" w:rsidRPr="00B31B47">
        <w:rPr>
          <w:rFonts w:ascii="Arial Narrow" w:hAnsi="Arial Narrow"/>
          <w:i/>
          <w:iCs/>
          <w:lang w:val="en-US"/>
        </w:rPr>
        <w:t>Infancy,</w:t>
      </w:r>
      <w:r w:rsidR="00B31B47">
        <w:rPr>
          <w:rFonts w:ascii="Arial Narrow" w:hAnsi="Arial Narrow"/>
          <w:lang w:val="en-US"/>
        </w:rPr>
        <w:t xml:space="preserve"> 2(1), pp. 29-49.</w:t>
      </w:r>
    </w:p>
    <w:p w14:paraId="7C25B968" w14:textId="77777777" w:rsidR="0055705C" w:rsidRPr="00E13A91" w:rsidRDefault="0055705C" w:rsidP="000215B1">
      <w:pPr>
        <w:spacing w:line="276" w:lineRule="auto"/>
        <w:rPr>
          <w:rFonts w:ascii="Arial Narrow" w:hAnsi="Arial Narrow"/>
          <w:i/>
          <w:iCs/>
          <w:lang w:val="en-US"/>
        </w:rPr>
      </w:pPr>
    </w:p>
    <w:p w14:paraId="0A67D402" w14:textId="07B45ECF" w:rsidR="0055705C" w:rsidRDefault="0055705C" w:rsidP="000215B1">
      <w:pPr>
        <w:spacing w:line="276" w:lineRule="auto"/>
        <w:rPr>
          <w:rFonts w:ascii="Arial Narrow" w:hAnsi="Arial Narrow"/>
          <w:lang w:val="en-US"/>
        </w:rPr>
      </w:pPr>
      <w:r>
        <w:rPr>
          <w:rFonts w:ascii="Arial Narrow" w:hAnsi="Arial Narrow"/>
          <w:lang w:val="en-US"/>
        </w:rPr>
        <w:t xml:space="preserve">Bright, P., and </w:t>
      </w:r>
      <w:proofErr w:type="spellStart"/>
      <w:r>
        <w:rPr>
          <w:rFonts w:ascii="Arial Narrow" w:hAnsi="Arial Narrow"/>
          <w:lang w:val="en-US"/>
        </w:rPr>
        <w:t>Filippi</w:t>
      </w:r>
      <w:proofErr w:type="spellEnd"/>
      <w:r>
        <w:rPr>
          <w:rFonts w:ascii="Arial Narrow" w:hAnsi="Arial Narrow"/>
          <w:lang w:val="en-US"/>
        </w:rPr>
        <w:t xml:space="preserve">, R. (2019) ‘Editorial: Perspectives on the “Bilingual Advantage”: Challenges and Opportunities’, </w:t>
      </w:r>
      <w:r w:rsidRPr="0055705C">
        <w:rPr>
          <w:rFonts w:ascii="Arial Narrow" w:hAnsi="Arial Narrow"/>
          <w:i/>
          <w:iCs/>
          <w:lang w:val="en-US"/>
        </w:rPr>
        <w:t>Frontiers,</w:t>
      </w:r>
      <w:r>
        <w:rPr>
          <w:rFonts w:ascii="Arial Narrow" w:hAnsi="Arial Narrow"/>
          <w:lang w:val="en-US"/>
        </w:rPr>
        <w:t xml:space="preserve"> 10. </w:t>
      </w:r>
    </w:p>
    <w:p w14:paraId="3FA91B80" w14:textId="77777777" w:rsidR="00C9722C" w:rsidRDefault="00C9722C" w:rsidP="000215B1">
      <w:pPr>
        <w:spacing w:line="276" w:lineRule="auto"/>
        <w:rPr>
          <w:rFonts w:ascii="Arial Narrow" w:hAnsi="Arial Narrow"/>
          <w:lang w:val="en-US"/>
        </w:rPr>
      </w:pPr>
    </w:p>
    <w:p w14:paraId="624E3B28" w14:textId="65197308" w:rsidR="00150633" w:rsidRPr="00150633" w:rsidRDefault="00150633" w:rsidP="000215B1">
      <w:pPr>
        <w:spacing w:line="276" w:lineRule="auto"/>
        <w:rPr>
          <w:rFonts w:ascii="Arial Narrow" w:hAnsi="Arial Narrow"/>
          <w:lang w:val="en-US"/>
        </w:rPr>
      </w:pPr>
      <w:r>
        <w:rPr>
          <w:rFonts w:ascii="Arial Narrow" w:hAnsi="Arial Narrow"/>
          <w:lang w:val="en-US"/>
        </w:rPr>
        <w:t xml:space="preserve">Camilleri, A., and King, L. H. (2003) </w:t>
      </w:r>
      <w:r>
        <w:rPr>
          <w:rFonts w:ascii="Arial Narrow" w:hAnsi="Arial Narrow"/>
          <w:i/>
          <w:iCs/>
          <w:lang w:val="en-US"/>
        </w:rPr>
        <w:t xml:space="preserve">Transcending Monolingualism: Linguistic Revitalization in Education. </w:t>
      </w:r>
      <w:r>
        <w:rPr>
          <w:rFonts w:ascii="Arial Narrow" w:hAnsi="Arial Narrow"/>
          <w:lang w:val="en-US"/>
        </w:rPr>
        <w:t>London: Taylor &amp; Francis.</w:t>
      </w:r>
    </w:p>
    <w:p w14:paraId="0B27203D" w14:textId="77777777" w:rsidR="00150633" w:rsidRDefault="00150633" w:rsidP="000215B1">
      <w:pPr>
        <w:spacing w:line="276" w:lineRule="auto"/>
        <w:rPr>
          <w:rFonts w:ascii="Arial Narrow" w:hAnsi="Arial Narrow"/>
          <w:lang w:val="en-US"/>
        </w:rPr>
      </w:pPr>
    </w:p>
    <w:p w14:paraId="32204514" w14:textId="1EFECA08" w:rsidR="00C9722C" w:rsidRPr="008E0DA0" w:rsidRDefault="00C9722C" w:rsidP="000215B1">
      <w:pPr>
        <w:spacing w:line="276" w:lineRule="auto"/>
        <w:rPr>
          <w:rFonts w:ascii="Arial Narrow" w:hAnsi="Arial Narrow"/>
        </w:rPr>
      </w:pPr>
      <w:proofErr w:type="spellStart"/>
      <w:r>
        <w:rPr>
          <w:rFonts w:ascii="Arial Narrow" w:hAnsi="Arial Narrow"/>
          <w:lang w:val="en-US"/>
        </w:rPr>
        <w:t>Cenoz</w:t>
      </w:r>
      <w:proofErr w:type="spellEnd"/>
      <w:r>
        <w:rPr>
          <w:rFonts w:ascii="Arial Narrow" w:hAnsi="Arial Narrow"/>
          <w:lang w:val="en-US"/>
        </w:rPr>
        <w:t xml:space="preserve">, J. (2013) ‘Defining Multilingualism’, </w:t>
      </w:r>
      <w:r w:rsidRPr="00C9722C">
        <w:rPr>
          <w:rFonts w:ascii="Arial Narrow" w:hAnsi="Arial Narrow"/>
          <w:i/>
          <w:iCs/>
          <w:lang w:val="en-US"/>
        </w:rPr>
        <w:t>Annual Review of Applied Linguistics</w:t>
      </w:r>
      <w:r>
        <w:rPr>
          <w:rFonts w:ascii="Arial Narrow" w:hAnsi="Arial Narrow"/>
          <w:lang w:val="en-US"/>
        </w:rPr>
        <w:t>, 33, pp. 3-18.</w:t>
      </w:r>
    </w:p>
    <w:p w14:paraId="6D135D77" w14:textId="77777777" w:rsidR="008E0DA0" w:rsidRDefault="008E0DA0" w:rsidP="000215B1">
      <w:pPr>
        <w:spacing w:line="276" w:lineRule="auto"/>
        <w:rPr>
          <w:rFonts w:ascii="Arial Narrow" w:hAnsi="Arial Narrow" w:cs="Arial"/>
          <w:color w:val="222222"/>
          <w:shd w:val="clear" w:color="auto" w:fill="FFFFFF"/>
        </w:rPr>
      </w:pPr>
    </w:p>
    <w:p w14:paraId="67036EE8" w14:textId="3CF4A74B" w:rsidR="001D7376" w:rsidRDefault="001D7376" w:rsidP="000215B1">
      <w:pPr>
        <w:spacing w:line="276" w:lineRule="auto"/>
        <w:rPr>
          <w:rFonts w:ascii="Arial Narrow" w:hAnsi="Arial Narrow" w:cs="Arial"/>
          <w:color w:val="222222"/>
          <w:shd w:val="clear" w:color="auto" w:fill="FFFFFF"/>
        </w:rPr>
      </w:pPr>
      <w:r w:rsidRPr="001D7376">
        <w:rPr>
          <w:rFonts w:ascii="Arial Narrow" w:hAnsi="Arial Narrow" w:cs="Arial"/>
          <w:color w:val="222222"/>
          <w:shd w:val="clear" w:color="auto" w:fill="FFFFFF"/>
          <w:lang w:val="cy-GB"/>
        </w:rPr>
        <w:t xml:space="preserve">Chen, X. and Padilla, A. M. (2019) </w:t>
      </w:r>
      <w:r w:rsidR="001455F3">
        <w:rPr>
          <w:rFonts w:ascii="Arial Narrow" w:hAnsi="Arial Narrow" w:cs="Arial"/>
          <w:color w:val="222222"/>
          <w:shd w:val="clear" w:color="auto" w:fill="FFFFFF"/>
          <w:lang w:val="cy-GB"/>
        </w:rPr>
        <w:t>‘</w:t>
      </w:r>
      <w:r w:rsidRPr="001D7376">
        <w:rPr>
          <w:rFonts w:ascii="Arial Narrow" w:hAnsi="Arial Narrow" w:cs="Arial"/>
          <w:color w:val="222222"/>
          <w:shd w:val="clear" w:color="auto" w:fill="FFFFFF"/>
        </w:rPr>
        <w:t>Role of Bilingualism and Biculturalism as Assets in Positive Psychology: Conceptual Dynamic GEAR Model</w:t>
      </w:r>
      <w:r w:rsidR="001455F3" w:rsidRPr="001455F3">
        <w:rPr>
          <w:rFonts w:ascii="Arial Narrow" w:hAnsi="Arial Narrow" w:cs="Arial"/>
          <w:color w:val="222222"/>
          <w:shd w:val="clear" w:color="auto" w:fill="FFFFFF"/>
        </w:rPr>
        <w:t>’,</w:t>
      </w:r>
      <w:r w:rsidR="001455F3">
        <w:rPr>
          <w:rFonts w:ascii="Arial Narrow" w:hAnsi="Arial Narrow" w:cs="Arial"/>
          <w:i/>
          <w:iCs/>
          <w:color w:val="222222"/>
          <w:shd w:val="clear" w:color="auto" w:fill="FFFFFF"/>
        </w:rPr>
        <w:t xml:space="preserve"> Frontiers in Psychology, </w:t>
      </w:r>
      <w:r w:rsidR="001455F3">
        <w:rPr>
          <w:rFonts w:ascii="Arial Narrow" w:hAnsi="Arial Narrow" w:cs="Arial"/>
          <w:color w:val="222222"/>
          <w:shd w:val="clear" w:color="auto" w:fill="FFFFFF"/>
        </w:rPr>
        <w:t>10.</w:t>
      </w:r>
    </w:p>
    <w:p w14:paraId="1DC94217" w14:textId="77777777" w:rsidR="00B405C3" w:rsidRDefault="00B405C3" w:rsidP="000215B1">
      <w:pPr>
        <w:spacing w:line="276" w:lineRule="auto"/>
        <w:rPr>
          <w:rFonts w:ascii="Arial Narrow" w:hAnsi="Arial Narrow" w:cs="Arial"/>
          <w:color w:val="222222"/>
          <w:shd w:val="clear" w:color="auto" w:fill="FFFFFF"/>
        </w:rPr>
      </w:pPr>
    </w:p>
    <w:p w14:paraId="0D2CF5B5" w14:textId="315FF081" w:rsidR="00B405C3" w:rsidRPr="001455F3" w:rsidRDefault="00B405C3" w:rsidP="000215B1">
      <w:pPr>
        <w:spacing w:line="276" w:lineRule="auto"/>
        <w:rPr>
          <w:rFonts w:ascii="Arial Narrow" w:hAnsi="Arial Narrow" w:cs="Arial"/>
          <w:color w:val="222222"/>
          <w:shd w:val="clear" w:color="auto" w:fill="FFFFFF"/>
        </w:rPr>
      </w:pPr>
      <w:r w:rsidRPr="00B405C3">
        <w:rPr>
          <w:rFonts w:ascii="Arial Narrow" w:hAnsi="Arial Narrow" w:cs="Arial"/>
          <w:color w:val="222222"/>
          <w:shd w:val="clear" w:color="auto" w:fill="FFFFFF"/>
        </w:rPr>
        <w:t xml:space="preserve">Children’s Commissioner for Wales (2023) </w:t>
      </w:r>
      <w:r w:rsidRPr="00B405C3">
        <w:rPr>
          <w:rFonts w:ascii="Arial Narrow" w:hAnsi="Arial Narrow" w:cs="Arial"/>
          <w:i/>
          <w:iCs/>
          <w:color w:val="222222"/>
          <w:shd w:val="clear" w:color="auto" w:fill="FFFFFF"/>
        </w:rPr>
        <w:t>The Welsh Language in the Additional Learning Needs System</w:t>
      </w:r>
      <w:r w:rsidRPr="002440D6">
        <w:rPr>
          <w:rFonts w:ascii="Arial Narrow" w:hAnsi="Arial Narrow" w:cs="Arial"/>
          <w:i/>
          <w:iCs/>
          <w:color w:val="222222"/>
          <w:shd w:val="clear" w:color="auto" w:fill="FFFFFF"/>
        </w:rPr>
        <w:t>.</w:t>
      </w:r>
      <w:r>
        <w:rPr>
          <w:rFonts w:ascii="Arial Narrow" w:hAnsi="Arial Narrow" w:cs="Arial"/>
          <w:color w:val="222222"/>
          <w:shd w:val="clear" w:color="auto" w:fill="FFFFFF"/>
        </w:rPr>
        <w:t xml:space="preserve"> Available at: </w:t>
      </w:r>
      <w:hyperlink r:id="rId6" w:history="1">
        <w:r w:rsidRPr="00B405C3">
          <w:rPr>
            <w:rStyle w:val="Hyperlink"/>
            <w:rFonts w:ascii="Arial Narrow" w:hAnsi="Arial Narrow" w:cs="Arial"/>
            <w:shd w:val="clear" w:color="auto" w:fill="FFFFFF"/>
          </w:rPr>
          <w:t>The-Welsh-Language-and-the-Additional-Learning-Needs-System.pdf (childcomwales.org.uk)</w:t>
        </w:r>
      </w:hyperlink>
      <w:r w:rsidRPr="00B405C3">
        <w:rPr>
          <w:rFonts w:ascii="Arial Narrow" w:hAnsi="Arial Narrow" w:cs="Arial"/>
          <w:color w:val="222222"/>
          <w:shd w:val="clear" w:color="auto" w:fill="FFFFFF"/>
        </w:rPr>
        <w:t xml:space="preserve"> </w:t>
      </w:r>
      <w:r w:rsidR="002440D6">
        <w:rPr>
          <w:rFonts w:ascii="Arial Narrow" w:hAnsi="Arial Narrow" w:cs="Arial"/>
          <w:color w:val="222222"/>
          <w:shd w:val="clear" w:color="auto" w:fill="FFFFFF"/>
        </w:rPr>
        <w:t>(Accessed: 18</w:t>
      </w:r>
      <w:r w:rsidR="002440D6" w:rsidRPr="002440D6">
        <w:rPr>
          <w:rFonts w:ascii="Arial Narrow" w:hAnsi="Arial Narrow" w:cs="Arial"/>
          <w:color w:val="222222"/>
          <w:shd w:val="clear" w:color="auto" w:fill="FFFFFF"/>
          <w:vertAlign w:val="superscript"/>
        </w:rPr>
        <w:t>th</w:t>
      </w:r>
      <w:r w:rsidR="002440D6">
        <w:rPr>
          <w:rFonts w:ascii="Arial Narrow" w:hAnsi="Arial Narrow" w:cs="Arial"/>
          <w:color w:val="222222"/>
          <w:shd w:val="clear" w:color="auto" w:fill="FFFFFF"/>
        </w:rPr>
        <w:t xml:space="preserve"> April 2024).</w:t>
      </w:r>
    </w:p>
    <w:p w14:paraId="10E5CA1D" w14:textId="77777777" w:rsidR="001455F3" w:rsidRDefault="001455F3" w:rsidP="000215B1">
      <w:pPr>
        <w:spacing w:line="276" w:lineRule="auto"/>
        <w:rPr>
          <w:rFonts w:ascii="Arial Narrow" w:hAnsi="Arial Narrow" w:cs="Arial"/>
          <w:color w:val="222222"/>
          <w:shd w:val="clear" w:color="auto" w:fill="FFFFFF"/>
        </w:rPr>
      </w:pPr>
    </w:p>
    <w:p w14:paraId="597C0C22" w14:textId="77777777" w:rsidR="001E120C" w:rsidRDefault="008E0DA0" w:rsidP="000215B1">
      <w:pPr>
        <w:spacing w:line="276" w:lineRule="auto"/>
        <w:rPr>
          <w:rFonts w:ascii="Arial Narrow" w:hAnsi="Arial Narrow"/>
        </w:rPr>
      </w:pPr>
      <w:proofErr w:type="spellStart"/>
      <w:r w:rsidRPr="009F2397">
        <w:rPr>
          <w:rFonts w:ascii="Arial Narrow" w:hAnsi="Arial Narrow"/>
        </w:rPr>
        <w:t>Devarakonda</w:t>
      </w:r>
      <w:proofErr w:type="spellEnd"/>
      <w:r w:rsidRPr="009F2397">
        <w:rPr>
          <w:rFonts w:ascii="Arial Narrow" w:hAnsi="Arial Narrow"/>
        </w:rPr>
        <w:t xml:space="preserve">, C. (2013) </w:t>
      </w:r>
      <w:r w:rsidRPr="009F2397">
        <w:rPr>
          <w:rFonts w:ascii="Arial Narrow" w:hAnsi="Arial Narrow"/>
          <w:i/>
          <w:iCs/>
        </w:rPr>
        <w:t>Diversity and Inclusion in Early Childhood: An Introduction</w:t>
      </w:r>
      <w:r w:rsidRPr="009F2397">
        <w:rPr>
          <w:rFonts w:ascii="Arial Narrow" w:hAnsi="Arial Narrow"/>
        </w:rPr>
        <w:t>. London: Sage Publications Ltd</w:t>
      </w:r>
      <w:r>
        <w:rPr>
          <w:rFonts w:ascii="Arial Narrow" w:hAnsi="Arial Narrow"/>
        </w:rPr>
        <w:t>.</w:t>
      </w:r>
    </w:p>
    <w:p w14:paraId="467A6F61" w14:textId="77777777" w:rsidR="00F3448C" w:rsidRDefault="00F3448C" w:rsidP="000215B1">
      <w:pPr>
        <w:spacing w:line="276" w:lineRule="auto"/>
        <w:rPr>
          <w:rFonts w:ascii="Arial Narrow" w:hAnsi="Arial Narrow"/>
        </w:rPr>
      </w:pPr>
    </w:p>
    <w:p w14:paraId="0F223671" w14:textId="18598DED" w:rsidR="00F3448C" w:rsidRDefault="00F3448C" w:rsidP="000215B1">
      <w:pPr>
        <w:spacing w:line="276" w:lineRule="auto"/>
        <w:rPr>
          <w:rFonts w:ascii="Arial Narrow" w:hAnsi="Arial Narrow"/>
        </w:rPr>
      </w:pPr>
      <w:r>
        <w:rPr>
          <w:rFonts w:ascii="Arial Narrow" w:hAnsi="Arial Narrow"/>
        </w:rPr>
        <w:t xml:space="preserve">DeWitt, I., and </w:t>
      </w:r>
      <w:proofErr w:type="spellStart"/>
      <w:r>
        <w:rPr>
          <w:rFonts w:ascii="Arial Narrow" w:hAnsi="Arial Narrow"/>
        </w:rPr>
        <w:t>Rauschecker</w:t>
      </w:r>
      <w:proofErr w:type="spellEnd"/>
      <w:r>
        <w:rPr>
          <w:rFonts w:ascii="Arial Narrow" w:hAnsi="Arial Narrow"/>
        </w:rPr>
        <w:t xml:space="preserve">, J. P. (2013) ‘Wernicke’s area revisited: Parallel streams and word processing’, </w:t>
      </w:r>
      <w:r w:rsidRPr="00F3448C">
        <w:rPr>
          <w:rFonts w:ascii="Arial Narrow" w:hAnsi="Arial Narrow"/>
          <w:i/>
          <w:iCs/>
        </w:rPr>
        <w:t>Brain and Language</w:t>
      </w:r>
      <w:r>
        <w:rPr>
          <w:rFonts w:ascii="Arial Narrow" w:hAnsi="Arial Narrow"/>
        </w:rPr>
        <w:t>, 127(2), pp. 181-191.</w:t>
      </w:r>
    </w:p>
    <w:p w14:paraId="5C0FD5AE" w14:textId="77777777" w:rsidR="00B31B47" w:rsidRDefault="00B31B47" w:rsidP="000215B1">
      <w:pPr>
        <w:spacing w:line="276" w:lineRule="auto"/>
        <w:rPr>
          <w:rFonts w:ascii="Arial Narrow" w:hAnsi="Arial Narrow"/>
        </w:rPr>
      </w:pPr>
    </w:p>
    <w:p w14:paraId="23D3919A" w14:textId="07729964" w:rsidR="00B31B47" w:rsidRDefault="00B31B47" w:rsidP="000215B1">
      <w:pPr>
        <w:spacing w:line="276" w:lineRule="auto"/>
        <w:rPr>
          <w:rFonts w:ascii="Arial Narrow" w:hAnsi="Arial Narrow"/>
        </w:rPr>
      </w:pPr>
      <w:proofErr w:type="spellStart"/>
      <w:r>
        <w:rPr>
          <w:rFonts w:ascii="Arial Narrow" w:hAnsi="Arial Narrow"/>
        </w:rPr>
        <w:t>Friedrici</w:t>
      </w:r>
      <w:proofErr w:type="spellEnd"/>
      <w:r>
        <w:rPr>
          <w:rFonts w:ascii="Arial Narrow" w:hAnsi="Arial Narrow"/>
        </w:rPr>
        <w:t xml:space="preserve">, A. D., Meyer, M., and von </w:t>
      </w:r>
      <w:proofErr w:type="spellStart"/>
      <w:r>
        <w:rPr>
          <w:rFonts w:ascii="Arial Narrow" w:hAnsi="Arial Narrow"/>
        </w:rPr>
        <w:t>Cramon</w:t>
      </w:r>
      <w:proofErr w:type="spellEnd"/>
      <w:r>
        <w:rPr>
          <w:rFonts w:ascii="Arial Narrow" w:hAnsi="Arial Narrow"/>
        </w:rPr>
        <w:t xml:space="preserve">, </w:t>
      </w:r>
      <w:r w:rsidR="009B1F81">
        <w:rPr>
          <w:rFonts w:ascii="Arial Narrow" w:hAnsi="Arial Narrow"/>
        </w:rPr>
        <w:t xml:space="preserve">D. Y. (2000) ‘Auditory Language Comprehension: An Event-Related fMRI Study on the Processing of Syntactic and Lexical Information’, </w:t>
      </w:r>
      <w:r w:rsidR="009B1F81" w:rsidRPr="009B1F81">
        <w:rPr>
          <w:rFonts w:ascii="Arial Narrow" w:hAnsi="Arial Narrow"/>
          <w:i/>
          <w:iCs/>
        </w:rPr>
        <w:t xml:space="preserve">Brain and Language, </w:t>
      </w:r>
      <w:r w:rsidR="009B1F81">
        <w:rPr>
          <w:rFonts w:ascii="Arial Narrow" w:hAnsi="Arial Narrow"/>
        </w:rPr>
        <w:t>74(2), pp. 289-300.</w:t>
      </w:r>
    </w:p>
    <w:p w14:paraId="464A9FDE" w14:textId="77777777" w:rsidR="003D2105" w:rsidRDefault="003D2105" w:rsidP="000215B1">
      <w:pPr>
        <w:spacing w:line="276" w:lineRule="auto"/>
        <w:rPr>
          <w:rFonts w:ascii="Arial Narrow" w:hAnsi="Arial Narrow"/>
        </w:rPr>
      </w:pPr>
    </w:p>
    <w:p w14:paraId="3DDDD81B" w14:textId="40A0E523" w:rsidR="003D2105" w:rsidRDefault="003D2105" w:rsidP="000215B1">
      <w:pPr>
        <w:spacing w:line="276" w:lineRule="auto"/>
        <w:rPr>
          <w:rFonts w:ascii="Arial Narrow" w:hAnsi="Arial Narrow"/>
        </w:rPr>
      </w:pPr>
      <w:r>
        <w:rPr>
          <w:rFonts w:ascii="Arial Narrow" w:hAnsi="Arial Narrow"/>
        </w:rPr>
        <w:t xml:space="preserve">Goodman, Y. M., and Goodman, K. S. (2013) </w:t>
      </w:r>
      <w:r w:rsidRPr="003D2105">
        <w:rPr>
          <w:rFonts w:ascii="Arial Narrow" w:hAnsi="Arial Narrow"/>
          <w:i/>
          <w:iCs/>
        </w:rPr>
        <w:t>Making Sense of Learners Making Sense of Written Language</w:t>
      </w:r>
      <w:r>
        <w:rPr>
          <w:rFonts w:ascii="Arial Narrow" w:hAnsi="Arial Narrow"/>
        </w:rPr>
        <w:t>. Oxford: Routledge.</w:t>
      </w:r>
    </w:p>
    <w:p w14:paraId="0F5ACE86" w14:textId="77777777" w:rsidR="00150633" w:rsidRDefault="00150633" w:rsidP="000215B1">
      <w:pPr>
        <w:spacing w:line="276" w:lineRule="auto"/>
        <w:rPr>
          <w:rFonts w:ascii="Arial Narrow" w:hAnsi="Arial Narrow"/>
        </w:rPr>
      </w:pPr>
    </w:p>
    <w:p w14:paraId="1E8BB084" w14:textId="0BD2DA1C" w:rsidR="00150633" w:rsidRPr="00BE2962" w:rsidRDefault="00150633" w:rsidP="000215B1">
      <w:pPr>
        <w:spacing w:line="276" w:lineRule="auto"/>
        <w:rPr>
          <w:rFonts w:ascii="Arial Narrow" w:hAnsi="Arial Narrow"/>
        </w:rPr>
      </w:pPr>
      <w:proofErr w:type="spellStart"/>
      <w:r>
        <w:rPr>
          <w:rFonts w:ascii="Arial Narrow" w:hAnsi="Arial Narrow"/>
        </w:rPr>
        <w:t>Gorrara</w:t>
      </w:r>
      <w:proofErr w:type="spellEnd"/>
      <w:r>
        <w:rPr>
          <w:rFonts w:ascii="Arial Narrow" w:hAnsi="Arial Narrow"/>
        </w:rPr>
        <w:t xml:space="preserve">, </w:t>
      </w:r>
      <w:r w:rsidR="00BE2962">
        <w:rPr>
          <w:rFonts w:ascii="Arial Narrow" w:hAnsi="Arial Narrow"/>
        </w:rPr>
        <w:t>C</w:t>
      </w:r>
      <w:r>
        <w:rPr>
          <w:rFonts w:ascii="Arial Narrow" w:hAnsi="Arial Narrow"/>
        </w:rPr>
        <w:t xml:space="preserve">., </w:t>
      </w:r>
      <w:r w:rsidRPr="00150633">
        <w:rPr>
          <w:rFonts w:ascii="Arial Narrow" w:hAnsi="Arial Narrow"/>
          <w:i/>
          <w:iCs/>
        </w:rPr>
        <w:t xml:space="preserve">et al. </w:t>
      </w:r>
      <w:r w:rsidR="00BE2962">
        <w:rPr>
          <w:rFonts w:ascii="Arial Narrow" w:hAnsi="Arial Narrow"/>
        </w:rPr>
        <w:t xml:space="preserve">(2020) ‘Multilingual perspectives: preparing for language learning in the new curriculum for Wales’, </w:t>
      </w:r>
      <w:r w:rsidR="00BE2962" w:rsidRPr="00BE2962">
        <w:rPr>
          <w:rFonts w:ascii="Arial Narrow" w:hAnsi="Arial Narrow"/>
          <w:i/>
          <w:iCs/>
        </w:rPr>
        <w:t>The Curriculum Jou</w:t>
      </w:r>
      <w:r w:rsidR="00BE2962">
        <w:rPr>
          <w:rFonts w:ascii="Arial Narrow" w:hAnsi="Arial Narrow"/>
          <w:i/>
          <w:iCs/>
        </w:rPr>
        <w:t>rn</w:t>
      </w:r>
      <w:r w:rsidR="00BE2962" w:rsidRPr="00BE2962">
        <w:rPr>
          <w:rFonts w:ascii="Arial Narrow" w:hAnsi="Arial Narrow"/>
          <w:i/>
          <w:iCs/>
        </w:rPr>
        <w:t>al,</w:t>
      </w:r>
      <w:r w:rsidR="00BE2962">
        <w:rPr>
          <w:rFonts w:ascii="Arial Narrow" w:hAnsi="Arial Narrow"/>
        </w:rPr>
        <w:t xml:space="preserve"> 31(2), pp. 244-257</w:t>
      </w:r>
    </w:p>
    <w:p w14:paraId="7778C15B" w14:textId="77777777" w:rsidR="001C2F77" w:rsidRDefault="001C2F77" w:rsidP="000215B1">
      <w:pPr>
        <w:spacing w:line="276" w:lineRule="auto"/>
        <w:rPr>
          <w:rFonts w:ascii="Arial Narrow" w:hAnsi="Arial Narrow"/>
        </w:rPr>
      </w:pPr>
    </w:p>
    <w:p w14:paraId="58E13781" w14:textId="1CD63442" w:rsidR="001C2F77" w:rsidRPr="009B1F81" w:rsidRDefault="001C2F77" w:rsidP="000215B1">
      <w:pPr>
        <w:spacing w:line="276" w:lineRule="auto"/>
        <w:rPr>
          <w:rFonts w:ascii="Arial Narrow" w:hAnsi="Arial Narrow"/>
        </w:rPr>
      </w:pPr>
      <w:r w:rsidRPr="001C2F77">
        <w:rPr>
          <w:rFonts w:ascii="Arial Narrow" w:hAnsi="Arial Narrow"/>
          <w:lang w:val="cy-GB"/>
        </w:rPr>
        <w:t xml:space="preserve">Guilford, J. P. (1967) </w:t>
      </w:r>
      <w:r w:rsidRPr="001C2F77">
        <w:rPr>
          <w:rFonts w:ascii="Arial Narrow" w:hAnsi="Arial Narrow"/>
          <w:i/>
          <w:iCs/>
          <w:lang w:val="cy-GB"/>
        </w:rPr>
        <w:t xml:space="preserve">The nature of human intelligence. </w:t>
      </w:r>
      <w:r w:rsidRPr="001C2F77">
        <w:rPr>
          <w:rFonts w:ascii="Arial Narrow" w:hAnsi="Arial Narrow"/>
          <w:lang w:val="cy-GB"/>
        </w:rPr>
        <w:t>New York: McGraw-Hill.</w:t>
      </w:r>
    </w:p>
    <w:p w14:paraId="68616178" w14:textId="77777777" w:rsidR="001E120C" w:rsidRDefault="001E120C" w:rsidP="000215B1">
      <w:pPr>
        <w:spacing w:line="276" w:lineRule="auto"/>
        <w:rPr>
          <w:rFonts w:ascii="Arial Narrow" w:hAnsi="Arial Narrow"/>
        </w:rPr>
      </w:pPr>
    </w:p>
    <w:p w14:paraId="55712AC1" w14:textId="77777777" w:rsidR="00EE0DDE" w:rsidRDefault="001E120C" w:rsidP="000215B1">
      <w:pPr>
        <w:spacing w:line="276" w:lineRule="auto"/>
        <w:rPr>
          <w:rFonts w:ascii="Arial Narrow" w:hAnsi="Arial Narrow"/>
        </w:rPr>
      </w:pPr>
      <w:proofErr w:type="spellStart"/>
      <w:r>
        <w:rPr>
          <w:rFonts w:ascii="Arial Narrow" w:hAnsi="Arial Narrow"/>
        </w:rPr>
        <w:t>Haukås</w:t>
      </w:r>
      <w:proofErr w:type="spellEnd"/>
      <w:r>
        <w:rPr>
          <w:rFonts w:ascii="Arial Narrow" w:hAnsi="Arial Narrow"/>
        </w:rPr>
        <w:t xml:space="preserve">, Å., </w:t>
      </w:r>
      <w:proofErr w:type="spellStart"/>
      <w:r>
        <w:rPr>
          <w:rFonts w:ascii="Arial Narrow" w:hAnsi="Arial Narrow"/>
        </w:rPr>
        <w:t>Storto</w:t>
      </w:r>
      <w:proofErr w:type="spellEnd"/>
      <w:r>
        <w:rPr>
          <w:rFonts w:ascii="Arial Narrow" w:hAnsi="Arial Narrow"/>
        </w:rPr>
        <w:t xml:space="preserve">, A., and </w:t>
      </w:r>
      <w:proofErr w:type="spellStart"/>
      <w:r>
        <w:rPr>
          <w:rFonts w:ascii="Arial Narrow" w:hAnsi="Arial Narrow"/>
        </w:rPr>
        <w:t>Tiur</w:t>
      </w:r>
      <w:r w:rsidR="002934D4">
        <w:rPr>
          <w:rFonts w:ascii="Arial Narrow" w:hAnsi="Arial Narrow"/>
        </w:rPr>
        <w:t>ikova</w:t>
      </w:r>
      <w:proofErr w:type="spellEnd"/>
      <w:r w:rsidR="002934D4">
        <w:rPr>
          <w:rFonts w:ascii="Arial Narrow" w:hAnsi="Arial Narrow"/>
        </w:rPr>
        <w:t>, I.</w:t>
      </w:r>
      <w:r>
        <w:rPr>
          <w:rFonts w:ascii="Arial Narrow" w:hAnsi="Arial Narrow"/>
        </w:rPr>
        <w:t xml:space="preserve"> (2022) ‘</w:t>
      </w:r>
      <w:r w:rsidR="002934D4">
        <w:rPr>
          <w:rFonts w:ascii="Arial Narrow" w:hAnsi="Arial Narrow"/>
        </w:rPr>
        <w:t xml:space="preserve">Schools students’ beliefs about the benefits of multilingualism’, </w:t>
      </w:r>
      <w:r w:rsidR="002934D4" w:rsidRPr="002934D4">
        <w:rPr>
          <w:rFonts w:ascii="Arial Narrow" w:hAnsi="Arial Narrow"/>
          <w:i/>
          <w:iCs/>
        </w:rPr>
        <w:t>Journal of Multilingual and Multicultural Development,</w:t>
      </w:r>
      <w:r w:rsidR="002934D4">
        <w:rPr>
          <w:rFonts w:ascii="Arial Narrow" w:hAnsi="Arial Narrow"/>
        </w:rPr>
        <w:t xml:space="preserve"> 45(3), pp. 1-14.</w:t>
      </w:r>
    </w:p>
    <w:p w14:paraId="6663B2DC" w14:textId="77777777" w:rsidR="00742814" w:rsidRDefault="00742814" w:rsidP="000215B1">
      <w:pPr>
        <w:spacing w:line="276" w:lineRule="auto"/>
        <w:rPr>
          <w:rFonts w:ascii="Arial Narrow" w:hAnsi="Arial Narrow"/>
        </w:rPr>
      </w:pPr>
    </w:p>
    <w:p w14:paraId="40348E62" w14:textId="7544A32F" w:rsidR="00F62A03" w:rsidRDefault="00F62A03" w:rsidP="000215B1">
      <w:pPr>
        <w:spacing w:line="276" w:lineRule="auto"/>
        <w:rPr>
          <w:rFonts w:ascii="Arial Narrow" w:hAnsi="Arial Narrow"/>
        </w:rPr>
      </w:pPr>
      <w:r>
        <w:rPr>
          <w:rFonts w:ascii="Arial Narrow" w:hAnsi="Arial Narrow"/>
        </w:rPr>
        <w:t xml:space="preserve">Hickey, T. M., and de Mejia A. M. (2014) </w:t>
      </w:r>
      <w:r w:rsidR="00803572">
        <w:rPr>
          <w:rFonts w:ascii="Arial Narrow" w:hAnsi="Arial Narrow"/>
        </w:rPr>
        <w:t xml:space="preserve">‘Immersion education in the early years: a special issue’, </w:t>
      </w:r>
      <w:r w:rsidR="00803572" w:rsidRPr="00803572">
        <w:rPr>
          <w:rFonts w:ascii="Arial Narrow" w:hAnsi="Arial Narrow"/>
          <w:i/>
          <w:iCs/>
        </w:rPr>
        <w:t>International Journal of Bilingual education and Bilingualism,</w:t>
      </w:r>
      <w:r w:rsidR="00803572">
        <w:rPr>
          <w:rFonts w:ascii="Arial Narrow" w:hAnsi="Arial Narrow"/>
        </w:rPr>
        <w:t xml:space="preserve"> 17(2), pp. 131-143.</w:t>
      </w:r>
    </w:p>
    <w:p w14:paraId="698C4CB3" w14:textId="77777777" w:rsidR="00F62A03" w:rsidRDefault="00F62A03" w:rsidP="000215B1">
      <w:pPr>
        <w:spacing w:line="276" w:lineRule="auto"/>
        <w:rPr>
          <w:rFonts w:ascii="Arial Narrow" w:hAnsi="Arial Narrow"/>
        </w:rPr>
      </w:pPr>
    </w:p>
    <w:p w14:paraId="19346396" w14:textId="3F53E207" w:rsidR="00742814" w:rsidRDefault="00742814" w:rsidP="000215B1">
      <w:pPr>
        <w:spacing w:line="276" w:lineRule="auto"/>
        <w:rPr>
          <w:rFonts w:ascii="Arial Narrow" w:hAnsi="Arial Narrow"/>
        </w:rPr>
      </w:pPr>
      <w:proofErr w:type="spellStart"/>
      <w:r>
        <w:rPr>
          <w:rFonts w:ascii="Arial Narrow" w:hAnsi="Arial Narrow"/>
        </w:rPr>
        <w:t>Hoehne</w:t>
      </w:r>
      <w:proofErr w:type="spellEnd"/>
      <w:r>
        <w:rPr>
          <w:rFonts w:ascii="Arial Narrow" w:hAnsi="Arial Narrow"/>
        </w:rPr>
        <w:t xml:space="preserve">, J. and Michalowski, I. (2018) ‘Long-Term Effects of Language Course Timing on Language Acquisition and Social Constructs: </w:t>
      </w:r>
      <w:r w:rsidR="00FF4B4A">
        <w:rPr>
          <w:rFonts w:ascii="Arial Narrow" w:hAnsi="Arial Narrow"/>
        </w:rPr>
        <w:t xml:space="preserve">Turkish and Moroccan Immigrants in Western Europe’, </w:t>
      </w:r>
      <w:r w:rsidR="00FF4B4A" w:rsidRPr="00FF4B4A">
        <w:rPr>
          <w:rFonts w:ascii="Arial Narrow" w:hAnsi="Arial Narrow"/>
          <w:i/>
          <w:iCs/>
        </w:rPr>
        <w:t>International Migration Review</w:t>
      </w:r>
      <w:r w:rsidR="00FF4B4A">
        <w:rPr>
          <w:rFonts w:ascii="Arial Narrow" w:hAnsi="Arial Narrow"/>
        </w:rPr>
        <w:t>, 50(1), pp. 133-162.</w:t>
      </w:r>
    </w:p>
    <w:p w14:paraId="6EA14E1E" w14:textId="77777777" w:rsidR="003E7F27" w:rsidRDefault="003E7F27" w:rsidP="000215B1">
      <w:pPr>
        <w:spacing w:line="276" w:lineRule="auto"/>
        <w:rPr>
          <w:rFonts w:ascii="Arial Narrow" w:hAnsi="Arial Narrow"/>
        </w:rPr>
      </w:pPr>
    </w:p>
    <w:p w14:paraId="5A3B5EC8" w14:textId="3AA2608D" w:rsidR="003E7F27" w:rsidRPr="003E7F27" w:rsidRDefault="003E7F27" w:rsidP="003E7F27">
      <w:pPr>
        <w:spacing w:line="276" w:lineRule="auto"/>
        <w:rPr>
          <w:rFonts w:ascii="Arial Narrow" w:hAnsi="Arial Narrow"/>
        </w:rPr>
      </w:pPr>
      <w:r w:rsidRPr="003E7F27">
        <w:rPr>
          <w:rFonts w:ascii="Arial Narrow" w:hAnsi="Arial Narrow"/>
        </w:rPr>
        <w:t xml:space="preserve">Hoffman, J. and Russ, S. (2012) ‘Pretend Play, Creativity, and Emotion Regulation in Children’, </w:t>
      </w:r>
      <w:r w:rsidRPr="003E7F27">
        <w:rPr>
          <w:rFonts w:ascii="Arial Narrow" w:hAnsi="Arial Narrow"/>
          <w:i/>
          <w:iCs/>
        </w:rPr>
        <w:t xml:space="preserve">Psychology of Aesthetics, Creativity, and the Arts, </w:t>
      </w:r>
      <w:r w:rsidRPr="003E7F27">
        <w:rPr>
          <w:rFonts w:ascii="Arial Narrow" w:hAnsi="Arial Narrow"/>
        </w:rPr>
        <w:t>6(2), pp. 175-184.</w:t>
      </w:r>
    </w:p>
    <w:p w14:paraId="72B28E56" w14:textId="77777777" w:rsidR="006316FF" w:rsidRDefault="006316FF" w:rsidP="000215B1">
      <w:pPr>
        <w:spacing w:line="276" w:lineRule="auto"/>
        <w:rPr>
          <w:rFonts w:ascii="Arial Narrow" w:hAnsi="Arial Narrow"/>
          <w:lang w:val="cy-GB"/>
        </w:rPr>
      </w:pPr>
    </w:p>
    <w:p w14:paraId="15EB99AC" w14:textId="4D7BE9E5" w:rsidR="00F3448C" w:rsidRDefault="00F3448C" w:rsidP="000215B1">
      <w:pPr>
        <w:spacing w:line="276" w:lineRule="auto"/>
        <w:rPr>
          <w:rFonts w:ascii="Arial Narrow" w:hAnsi="Arial Narrow"/>
        </w:rPr>
      </w:pPr>
      <w:r w:rsidRPr="00F3448C">
        <w:rPr>
          <w:rFonts w:ascii="Arial Narrow" w:hAnsi="Arial Narrow"/>
          <w:lang w:val="cy-GB"/>
        </w:rPr>
        <w:t>Hofman</w:t>
      </w:r>
      <w:r>
        <w:rPr>
          <w:rFonts w:ascii="Arial Narrow" w:hAnsi="Arial Narrow"/>
          <w:lang w:val="cy-GB"/>
        </w:rPr>
        <w:t>n</w:t>
      </w:r>
      <w:r w:rsidRPr="00F3448C">
        <w:rPr>
          <w:rFonts w:ascii="Arial Narrow" w:hAnsi="Arial Narrow"/>
          <w:lang w:val="cy-GB"/>
        </w:rPr>
        <w:t>, C.</w:t>
      </w:r>
      <w:r>
        <w:rPr>
          <w:rFonts w:ascii="Arial Narrow" w:hAnsi="Arial Narrow"/>
          <w:lang w:val="cy-GB"/>
        </w:rPr>
        <w:t xml:space="preserve"> </w:t>
      </w:r>
      <w:r w:rsidRPr="00F3448C">
        <w:rPr>
          <w:rFonts w:ascii="Arial Narrow" w:hAnsi="Arial Narrow"/>
          <w:lang w:val="cy-GB"/>
        </w:rPr>
        <w:t xml:space="preserve">(2020) </w:t>
      </w:r>
      <w:r w:rsidRPr="00F3448C">
        <w:rPr>
          <w:rFonts w:ascii="Arial Narrow" w:hAnsi="Arial Narrow"/>
          <w:i/>
          <w:iCs/>
        </w:rPr>
        <w:t>A literature review examining the effects of bilingualism in individuals who stutter</w:t>
      </w:r>
      <w:r w:rsidR="002440D6">
        <w:rPr>
          <w:rFonts w:ascii="Arial Narrow" w:hAnsi="Arial Narrow"/>
          <w:i/>
          <w:iCs/>
        </w:rPr>
        <w:t xml:space="preserve">. </w:t>
      </w:r>
      <w:r w:rsidR="00516BD8">
        <w:rPr>
          <w:rFonts w:ascii="Arial Narrow" w:hAnsi="Arial Narrow"/>
        </w:rPr>
        <w:t xml:space="preserve">Available at: </w:t>
      </w:r>
      <w:hyperlink r:id="rId7" w:history="1">
        <w:r w:rsidR="00516BD8" w:rsidRPr="00F3448C">
          <w:rPr>
            <w:rStyle w:val="Hyperlink"/>
            <w:rFonts w:ascii="Arial Narrow" w:hAnsi="Arial Narrow"/>
          </w:rPr>
          <w:t>https://digitalcommons.murraystate.edu/cgi/viewcontent.cgi?article=1034&amp;context=honorstheses</w:t>
        </w:r>
      </w:hyperlink>
      <w:r w:rsidRPr="00F3448C">
        <w:rPr>
          <w:rFonts w:ascii="Arial Narrow" w:hAnsi="Arial Narrow"/>
        </w:rPr>
        <w:t xml:space="preserve"> </w:t>
      </w:r>
      <w:r w:rsidR="00516BD8">
        <w:rPr>
          <w:rFonts w:ascii="Arial Narrow" w:hAnsi="Arial Narrow"/>
        </w:rPr>
        <w:t>(Accessed 16</w:t>
      </w:r>
      <w:r w:rsidR="00516BD8" w:rsidRPr="00516BD8">
        <w:rPr>
          <w:rFonts w:ascii="Arial Narrow" w:hAnsi="Arial Narrow"/>
          <w:vertAlign w:val="superscript"/>
        </w:rPr>
        <w:t>th</w:t>
      </w:r>
      <w:r w:rsidR="00516BD8">
        <w:rPr>
          <w:rFonts w:ascii="Arial Narrow" w:hAnsi="Arial Narrow"/>
        </w:rPr>
        <w:t xml:space="preserve"> April 2024).</w:t>
      </w:r>
    </w:p>
    <w:p w14:paraId="2740D8B5" w14:textId="77777777" w:rsidR="00EE0DDE" w:rsidRDefault="00EE0DDE" w:rsidP="000215B1">
      <w:pPr>
        <w:spacing w:line="276" w:lineRule="auto"/>
        <w:rPr>
          <w:rFonts w:ascii="Arial Narrow" w:hAnsi="Arial Narrow"/>
        </w:rPr>
      </w:pPr>
    </w:p>
    <w:p w14:paraId="41902F21" w14:textId="77777777" w:rsidR="00B31B47" w:rsidRDefault="00EE0DDE" w:rsidP="000215B1">
      <w:pPr>
        <w:spacing w:line="276" w:lineRule="auto"/>
        <w:rPr>
          <w:rFonts w:ascii="Arial Narrow" w:hAnsi="Arial Narrow"/>
        </w:rPr>
      </w:pPr>
      <w:r>
        <w:rPr>
          <w:rFonts w:ascii="Arial Narrow" w:hAnsi="Arial Narrow"/>
        </w:rPr>
        <w:t xml:space="preserve">Ivanova, I. P., and Sidorova, L. A. (2020) ‘Bilingualism and Multilingualism as Means of Socio-Psychological Adaptation of the Students of Higher Educational Institutions’, </w:t>
      </w:r>
      <w:r w:rsidRPr="00EE0DDE">
        <w:rPr>
          <w:rFonts w:ascii="Arial Narrow" w:hAnsi="Arial Narrow"/>
          <w:i/>
          <w:iCs/>
        </w:rPr>
        <w:t>ARPHA Proceedings</w:t>
      </w:r>
      <w:r>
        <w:rPr>
          <w:rFonts w:ascii="Arial Narrow" w:hAnsi="Arial Narrow"/>
        </w:rPr>
        <w:t>, 3, pp. 875-884.</w:t>
      </w:r>
    </w:p>
    <w:p w14:paraId="0D0EDC27" w14:textId="77777777" w:rsidR="00D237A4" w:rsidRDefault="00D237A4" w:rsidP="000215B1">
      <w:pPr>
        <w:spacing w:line="276" w:lineRule="auto"/>
        <w:rPr>
          <w:rFonts w:ascii="Arial Narrow" w:hAnsi="Arial Narrow"/>
        </w:rPr>
      </w:pPr>
    </w:p>
    <w:p w14:paraId="11948458" w14:textId="235CA085" w:rsidR="00D237A4" w:rsidRPr="00D237A4" w:rsidRDefault="00D237A4" w:rsidP="000215B1">
      <w:pPr>
        <w:spacing w:line="276" w:lineRule="auto"/>
        <w:rPr>
          <w:rFonts w:ascii="Arial Narrow" w:hAnsi="Arial Narrow"/>
        </w:rPr>
      </w:pPr>
      <w:proofErr w:type="spellStart"/>
      <w:r>
        <w:rPr>
          <w:rFonts w:ascii="Arial Narrow" w:hAnsi="Arial Narrow"/>
        </w:rPr>
        <w:t>Kharkhurin</w:t>
      </w:r>
      <w:proofErr w:type="spellEnd"/>
      <w:r>
        <w:rPr>
          <w:rFonts w:ascii="Arial Narrow" w:hAnsi="Arial Narrow"/>
        </w:rPr>
        <w:t xml:space="preserve">, A. V., </w:t>
      </w:r>
      <w:proofErr w:type="spellStart"/>
      <w:r>
        <w:rPr>
          <w:rFonts w:ascii="Arial Narrow" w:hAnsi="Arial Narrow"/>
        </w:rPr>
        <w:t>Koncha</w:t>
      </w:r>
      <w:proofErr w:type="spellEnd"/>
      <w:r>
        <w:rPr>
          <w:rFonts w:ascii="Arial Narrow" w:hAnsi="Arial Narrow"/>
        </w:rPr>
        <w:t xml:space="preserve">, V., and </w:t>
      </w:r>
      <w:proofErr w:type="spellStart"/>
      <w:r>
        <w:rPr>
          <w:rFonts w:ascii="Arial Narrow" w:hAnsi="Arial Narrow"/>
        </w:rPr>
        <w:t>Charkhabi</w:t>
      </w:r>
      <w:proofErr w:type="spellEnd"/>
      <w:r>
        <w:rPr>
          <w:rFonts w:ascii="Arial Narrow" w:hAnsi="Arial Narrow"/>
        </w:rPr>
        <w:t xml:space="preserve">, M. (2022) ‘The effects of multilingual and multicultural practices on divergent thinking. Implications for plurilingual creativity paradigm’, </w:t>
      </w:r>
      <w:r w:rsidRPr="00D237A4">
        <w:rPr>
          <w:rFonts w:ascii="Arial Narrow" w:hAnsi="Arial Narrow"/>
          <w:i/>
          <w:iCs/>
        </w:rPr>
        <w:t>Bilingualism: Language and Cognition,</w:t>
      </w:r>
      <w:r>
        <w:rPr>
          <w:rFonts w:ascii="Arial Narrow" w:hAnsi="Arial Narrow"/>
          <w:i/>
          <w:iCs/>
        </w:rPr>
        <w:t xml:space="preserve"> </w:t>
      </w:r>
      <w:r>
        <w:rPr>
          <w:rFonts w:ascii="Arial Narrow" w:hAnsi="Arial Narrow"/>
        </w:rPr>
        <w:t>26(3), pp, 592-609.</w:t>
      </w:r>
    </w:p>
    <w:p w14:paraId="10BED2EF" w14:textId="77777777" w:rsidR="00B31B47" w:rsidRDefault="00B31B47" w:rsidP="000215B1">
      <w:pPr>
        <w:spacing w:line="276" w:lineRule="auto"/>
        <w:rPr>
          <w:rFonts w:ascii="Arial Narrow" w:hAnsi="Arial Narrow"/>
        </w:rPr>
      </w:pPr>
    </w:p>
    <w:p w14:paraId="752B8022" w14:textId="5CE994A8" w:rsidR="009F2397" w:rsidRDefault="00B31B47" w:rsidP="000215B1">
      <w:pPr>
        <w:spacing w:line="276" w:lineRule="auto"/>
        <w:rPr>
          <w:rFonts w:ascii="Arial Narrow" w:hAnsi="Arial Narrow"/>
        </w:rPr>
      </w:pPr>
      <w:proofErr w:type="spellStart"/>
      <w:r w:rsidRPr="00B31B47">
        <w:rPr>
          <w:rFonts w:ascii="Arial Narrow" w:hAnsi="Arial Narrow"/>
        </w:rPr>
        <w:t>Kuipers</w:t>
      </w:r>
      <w:proofErr w:type="spellEnd"/>
      <w:r w:rsidRPr="00B31B47">
        <w:rPr>
          <w:rFonts w:ascii="Arial Narrow" w:hAnsi="Arial Narrow"/>
        </w:rPr>
        <w:t xml:space="preserve">, J. R. and Thierry, G. (2015) </w:t>
      </w:r>
      <w:r>
        <w:rPr>
          <w:rFonts w:ascii="Arial Narrow" w:hAnsi="Arial Narrow"/>
        </w:rPr>
        <w:t>‘</w:t>
      </w:r>
      <w:r w:rsidRPr="00B31B47">
        <w:rPr>
          <w:rFonts w:ascii="Arial Narrow" w:hAnsi="Arial Narrow"/>
        </w:rPr>
        <w:t>Bilingualism and increased attention to speech: Evidence from event-related potentials</w:t>
      </w:r>
      <w:r>
        <w:rPr>
          <w:rFonts w:ascii="Arial Narrow" w:hAnsi="Arial Narrow"/>
        </w:rPr>
        <w:t>’</w:t>
      </w:r>
      <w:r w:rsidRPr="00B31B47">
        <w:rPr>
          <w:rFonts w:ascii="Arial Narrow" w:hAnsi="Arial Narrow"/>
        </w:rPr>
        <w:t xml:space="preserve">, </w:t>
      </w:r>
      <w:proofErr w:type="gramStart"/>
      <w:r w:rsidRPr="00B31B47">
        <w:rPr>
          <w:rFonts w:ascii="Arial Narrow" w:hAnsi="Arial Narrow"/>
          <w:i/>
          <w:iCs/>
        </w:rPr>
        <w:t>Brain</w:t>
      </w:r>
      <w:proofErr w:type="gramEnd"/>
      <w:r w:rsidRPr="00B31B47">
        <w:rPr>
          <w:rFonts w:ascii="Arial Narrow" w:hAnsi="Arial Narrow"/>
          <w:i/>
          <w:iCs/>
        </w:rPr>
        <w:t xml:space="preserve"> and Language,</w:t>
      </w:r>
      <w:r>
        <w:rPr>
          <w:rFonts w:ascii="Arial Narrow" w:hAnsi="Arial Narrow"/>
        </w:rPr>
        <w:t xml:space="preserve"> </w:t>
      </w:r>
      <w:r w:rsidR="009B1F81">
        <w:rPr>
          <w:rFonts w:ascii="Arial Narrow" w:hAnsi="Arial Narrow"/>
        </w:rPr>
        <w:t>74(2)</w:t>
      </w:r>
      <w:r>
        <w:rPr>
          <w:rFonts w:ascii="Arial Narrow" w:hAnsi="Arial Narrow"/>
        </w:rPr>
        <w:t>, pp. 27-32.</w:t>
      </w:r>
    </w:p>
    <w:p w14:paraId="76F88702" w14:textId="77777777" w:rsidR="003D2105" w:rsidRDefault="003D2105" w:rsidP="000215B1">
      <w:pPr>
        <w:spacing w:line="276" w:lineRule="auto"/>
        <w:rPr>
          <w:rFonts w:ascii="Arial Narrow" w:hAnsi="Arial Narrow"/>
        </w:rPr>
      </w:pPr>
    </w:p>
    <w:p w14:paraId="0314D9ED" w14:textId="3858E477" w:rsidR="003D2105" w:rsidRDefault="003D2105" w:rsidP="000215B1">
      <w:pPr>
        <w:spacing w:line="276" w:lineRule="auto"/>
        <w:rPr>
          <w:rFonts w:ascii="Arial Narrow" w:hAnsi="Arial Narrow"/>
        </w:rPr>
      </w:pPr>
      <w:r>
        <w:rPr>
          <w:rFonts w:ascii="Arial Narrow" w:hAnsi="Arial Narrow"/>
        </w:rPr>
        <w:t xml:space="preserve">Kumar, V., </w:t>
      </w:r>
      <w:proofErr w:type="spellStart"/>
      <w:r>
        <w:rPr>
          <w:rFonts w:ascii="Arial Narrow" w:hAnsi="Arial Narrow"/>
        </w:rPr>
        <w:t>Croxson</w:t>
      </w:r>
      <w:proofErr w:type="spellEnd"/>
      <w:r>
        <w:rPr>
          <w:rFonts w:ascii="Arial Narrow" w:hAnsi="Arial Narrow"/>
        </w:rPr>
        <w:t xml:space="preserve">, P. L., and </w:t>
      </w:r>
      <w:proofErr w:type="spellStart"/>
      <w:r>
        <w:rPr>
          <w:rFonts w:ascii="Arial Narrow" w:hAnsi="Arial Narrow"/>
        </w:rPr>
        <w:t>Simonyan</w:t>
      </w:r>
      <w:proofErr w:type="spellEnd"/>
      <w:r>
        <w:rPr>
          <w:rFonts w:ascii="Arial Narrow" w:hAnsi="Arial Narrow"/>
        </w:rPr>
        <w:t xml:space="preserve">, K. (2016) ‘Structural Organisation of the Laryngeal Motor Cortical Network and its Implications for Evolution of Speech Production’, </w:t>
      </w:r>
      <w:r w:rsidRPr="003D2105">
        <w:rPr>
          <w:rFonts w:ascii="Arial Narrow" w:hAnsi="Arial Narrow"/>
          <w:i/>
          <w:iCs/>
        </w:rPr>
        <w:t>The Journal of Neuroscience</w:t>
      </w:r>
      <w:r>
        <w:rPr>
          <w:rFonts w:ascii="Arial Narrow" w:hAnsi="Arial Narrow"/>
        </w:rPr>
        <w:t>, 36(15), pp. 4170-4181.</w:t>
      </w:r>
    </w:p>
    <w:p w14:paraId="5724148F" w14:textId="77777777" w:rsidR="00B31B47" w:rsidRDefault="00B31B47" w:rsidP="000215B1">
      <w:pPr>
        <w:spacing w:line="276" w:lineRule="auto"/>
        <w:rPr>
          <w:rFonts w:ascii="Arial Narrow" w:hAnsi="Arial Narrow"/>
        </w:rPr>
      </w:pPr>
    </w:p>
    <w:p w14:paraId="216E539C" w14:textId="144852D0" w:rsidR="0055705C" w:rsidRDefault="0055705C" w:rsidP="000215B1">
      <w:pPr>
        <w:spacing w:line="276" w:lineRule="auto"/>
        <w:rPr>
          <w:rFonts w:ascii="Arial Narrow" w:hAnsi="Arial Narrow"/>
        </w:rPr>
      </w:pPr>
      <w:proofErr w:type="spellStart"/>
      <w:r w:rsidRPr="0055705C">
        <w:rPr>
          <w:rFonts w:ascii="Arial Narrow" w:hAnsi="Arial Narrow"/>
        </w:rPr>
        <w:t>Lightbown</w:t>
      </w:r>
      <w:proofErr w:type="spellEnd"/>
      <w:r w:rsidRPr="0055705C">
        <w:rPr>
          <w:rFonts w:ascii="Arial Narrow" w:hAnsi="Arial Narrow"/>
        </w:rPr>
        <w:t xml:space="preserve">, P. M. and Spada, N. (2013) </w:t>
      </w:r>
      <w:r w:rsidRPr="0055705C">
        <w:rPr>
          <w:rFonts w:ascii="Arial Narrow" w:hAnsi="Arial Narrow"/>
          <w:i/>
          <w:iCs/>
        </w:rPr>
        <w:t>How Languages are Learned</w:t>
      </w:r>
      <w:r w:rsidRPr="0055705C">
        <w:rPr>
          <w:rFonts w:ascii="Arial Narrow" w:hAnsi="Arial Narrow"/>
        </w:rPr>
        <w:t>. Oxford: OUP Oxford.</w:t>
      </w:r>
    </w:p>
    <w:p w14:paraId="4FD41391" w14:textId="77777777" w:rsidR="008E0DA0" w:rsidRDefault="008E0DA0" w:rsidP="000215B1">
      <w:pPr>
        <w:spacing w:line="276" w:lineRule="auto"/>
        <w:rPr>
          <w:rFonts w:ascii="Arial Narrow" w:hAnsi="Arial Narrow"/>
        </w:rPr>
      </w:pPr>
    </w:p>
    <w:p w14:paraId="66E886DB" w14:textId="06C0D39A" w:rsidR="00EA1DA7" w:rsidRDefault="009F2397" w:rsidP="000215B1">
      <w:pPr>
        <w:spacing w:line="276" w:lineRule="auto"/>
        <w:rPr>
          <w:rFonts w:ascii="Arial Narrow" w:hAnsi="Arial Narrow" w:cs="Arial"/>
          <w:color w:val="222222"/>
          <w:shd w:val="clear" w:color="auto" w:fill="FFFFFF"/>
        </w:rPr>
      </w:pPr>
      <w:proofErr w:type="spellStart"/>
      <w:r w:rsidRPr="00D41908">
        <w:rPr>
          <w:rFonts w:ascii="Arial Narrow" w:hAnsi="Arial Narrow" w:cs="Arial"/>
          <w:color w:val="222222"/>
          <w:shd w:val="clear" w:color="auto" w:fill="FFFFFF"/>
        </w:rPr>
        <w:lastRenderedPageBreak/>
        <w:t>Maftoon</w:t>
      </w:r>
      <w:proofErr w:type="spellEnd"/>
      <w:r w:rsidRPr="00D41908">
        <w:rPr>
          <w:rFonts w:ascii="Arial Narrow" w:hAnsi="Arial Narrow" w:cs="Arial"/>
          <w:color w:val="222222"/>
          <w:shd w:val="clear" w:color="auto" w:fill="FFFFFF"/>
        </w:rPr>
        <w:t>, P.</w:t>
      </w:r>
      <w:r>
        <w:rPr>
          <w:rFonts w:ascii="Arial Narrow" w:hAnsi="Arial Narrow" w:cs="Arial"/>
          <w:color w:val="222222"/>
          <w:shd w:val="clear" w:color="auto" w:fill="FFFFFF"/>
        </w:rPr>
        <w:t>,</w:t>
      </w:r>
      <w:r w:rsidRPr="00D41908">
        <w:rPr>
          <w:rFonts w:ascii="Arial Narrow" w:hAnsi="Arial Narrow" w:cs="Arial"/>
          <w:color w:val="222222"/>
          <w:shd w:val="clear" w:color="auto" w:fill="FFFFFF"/>
        </w:rPr>
        <w:t xml:space="preserve"> and </w:t>
      </w:r>
      <w:proofErr w:type="spellStart"/>
      <w:r w:rsidRPr="00D41908">
        <w:rPr>
          <w:rFonts w:ascii="Arial Narrow" w:hAnsi="Arial Narrow" w:cs="Arial"/>
          <w:color w:val="222222"/>
          <w:shd w:val="clear" w:color="auto" w:fill="FFFFFF"/>
        </w:rPr>
        <w:t>Shakibafar</w:t>
      </w:r>
      <w:proofErr w:type="spellEnd"/>
      <w:r w:rsidRPr="00D41908">
        <w:rPr>
          <w:rFonts w:ascii="Arial Narrow" w:hAnsi="Arial Narrow" w:cs="Arial"/>
          <w:color w:val="222222"/>
          <w:shd w:val="clear" w:color="auto" w:fill="FFFFFF"/>
        </w:rPr>
        <w:t xml:space="preserve">, M. </w:t>
      </w:r>
      <w:r>
        <w:rPr>
          <w:rFonts w:ascii="Arial Narrow" w:hAnsi="Arial Narrow" w:cs="Arial"/>
          <w:color w:val="222222"/>
          <w:shd w:val="clear" w:color="auto" w:fill="FFFFFF"/>
        </w:rPr>
        <w:t>(</w:t>
      </w:r>
      <w:r w:rsidRPr="00D41908">
        <w:rPr>
          <w:rFonts w:ascii="Arial Narrow" w:hAnsi="Arial Narrow" w:cs="Arial"/>
          <w:color w:val="222222"/>
          <w:shd w:val="clear" w:color="auto" w:fill="FFFFFF"/>
        </w:rPr>
        <w:t>2011</w:t>
      </w:r>
      <w:r>
        <w:rPr>
          <w:rFonts w:ascii="Arial Narrow" w:hAnsi="Arial Narrow" w:cs="Arial"/>
          <w:color w:val="222222"/>
          <w:shd w:val="clear" w:color="auto" w:fill="FFFFFF"/>
        </w:rPr>
        <w:t>)</w:t>
      </w:r>
      <w:r w:rsidRPr="00D41908">
        <w:rPr>
          <w:rFonts w:ascii="Arial Narrow" w:hAnsi="Arial Narrow" w:cs="Arial"/>
          <w:color w:val="222222"/>
          <w:shd w:val="clear" w:color="auto" w:fill="FFFFFF"/>
        </w:rPr>
        <w:t xml:space="preserve"> </w:t>
      </w:r>
      <w:r>
        <w:rPr>
          <w:rFonts w:ascii="Arial Narrow" w:hAnsi="Arial Narrow" w:cs="Arial"/>
          <w:color w:val="222222"/>
          <w:shd w:val="clear" w:color="auto" w:fill="FFFFFF"/>
        </w:rPr>
        <w:t>‘</w:t>
      </w:r>
      <w:r w:rsidRPr="00D41908">
        <w:rPr>
          <w:rFonts w:ascii="Arial Narrow" w:hAnsi="Arial Narrow" w:cs="Arial"/>
          <w:color w:val="222222"/>
          <w:shd w:val="clear" w:color="auto" w:fill="FFFFFF"/>
        </w:rPr>
        <w:t>Who Is a Bilingual</w:t>
      </w:r>
      <w:r>
        <w:rPr>
          <w:rFonts w:ascii="Arial Narrow" w:hAnsi="Arial Narrow" w:cs="Arial"/>
          <w:color w:val="222222"/>
          <w:shd w:val="clear" w:color="auto" w:fill="FFFFFF"/>
        </w:rPr>
        <w:t xml:space="preserve">?’ </w:t>
      </w:r>
      <w:r w:rsidRPr="00D41908">
        <w:rPr>
          <w:rFonts w:ascii="Arial Narrow" w:hAnsi="Arial Narrow" w:cs="Arial"/>
          <w:i/>
          <w:iCs/>
          <w:color w:val="222222"/>
        </w:rPr>
        <w:t>Journal of English Studies</w:t>
      </w:r>
      <w:r w:rsidRPr="00D41908">
        <w:rPr>
          <w:rFonts w:ascii="Arial Narrow" w:hAnsi="Arial Narrow" w:cs="Arial"/>
          <w:i/>
          <w:iCs/>
          <w:color w:val="222222"/>
          <w:shd w:val="clear" w:color="auto" w:fill="FFFFFF"/>
        </w:rPr>
        <w:t>,</w:t>
      </w:r>
      <w:r w:rsidRPr="00D41908">
        <w:rPr>
          <w:rStyle w:val="apple-converted-space"/>
          <w:rFonts w:ascii="Arial Narrow" w:hAnsi="Arial Narrow" w:cs="Arial"/>
          <w:color w:val="222222"/>
          <w:shd w:val="clear" w:color="auto" w:fill="FFFFFF"/>
        </w:rPr>
        <w:t> </w:t>
      </w:r>
      <w:r w:rsidRPr="00D41908">
        <w:rPr>
          <w:rFonts w:ascii="Arial Narrow" w:hAnsi="Arial Narrow" w:cs="Arial"/>
          <w:color w:val="222222"/>
        </w:rPr>
        <w:t>1</w:t>
      </w:r>
      <w:r w:rsidRPr="00D41908">
        <w:rPr>
          <w:rFonts w:ascii="Arial Narrow" w:hAnsi="Arial Narrow" w:cs="Arial"/>
          <w:color w:val="222222"/>
          <w:shd w:val="clear" w:color="auto" w:fill="FFFFFF"/>
        </w:rPr>
        <w:t>(2), pp.</w:t>
      </w:r>
      <w:r>
        <w:rPr>
          <w:rFonts w:ascii="Arial Narrow" w:hAnsi="Arial Narrow" w:cs="Arial"/>
          <w:color w:val="222222"/>
          <w:shd w:val="clear" w:color="auto" w:fill="FFFFFF"/>
        </w:rPr>
        <w:t xml:space="preserve"> </w:t>
      </w:r>
      <w:r w:rsidRPr="00D41908">
        <w:rPr>
          <w:rFonts w:ascii="Arial Narrow" w:hAnsi="Arial Narrow" w:cs="Arial"/>
          <w:color w:val="222222"/>
          <w:shd w:val="clear" w:color="auto" w:fill="FFFFFF"/>
        </w:rPr>
        <w:t>79-85</w:t>
      </w:r>
      <w:r w:rsidR="00AF33CD">
        <w:rPr>
          <w:rFonts w:ascii="Arial Narrow" w:hAnsi="Arial Narrow" w:cs="Arial"/>
          <w:color w:val="222222"/>
          <w:shd w:val="clear" w:color="auto" w:fill="FFFFFF"/>
        </w:rPr>
        <w:t>.</w:t>
      </w:r>
    </w:p>
    <w:p w14:paraId="1CC1A506" w14:textId="77777777" w:rsidR="00B31B47" w:rsidRDefault="00B31B47" w:rsidP="000215B1">
      <w:pPr>
        <w:spacing w:line="276" w:lineRule="auto"/>
        <w:rPr>
          <w:rFonts w:ascii="Arial Narrow" w:hAnsi="Arial Narrow" w:cs="Arial"/>
          <w:color w:val="222222"/>
          <w:shd w:val="clear" w:color="auto" w:fill="FFFFFF"/>
        </w:rPr>
      </w:pPr>
    </w:p>
    <w:p w14:paraId="5C2C3E68" w14:textId="4E05EA11" w:rsidR="00AF33CD" w:rsidRDefault="00AF33CD" w:rsidP="000215B1">
      <w:pPr>
        <w:spacing w:line="276" w:lineRule="auto"/>
        <w:rPr>
          <w:rFonts w:ascii="Arial Narrow" w:hAnsi="Arial Narrow" w:cs="Arial"/>
          <w:color w:val="222222"/>
          <w:shd w:val="clear" w:color="auto" w:fill="FFFFFF"/>
        </w:rPr>
      </w:pPr>
      <w:proofErr w:type="spellStart"/>
      <w:r>
        <w:rPr>
          <w:rFonts w:ascii="Arial Narrow" w:hAnsi="Arial Narrow" w:cs="Arial"/>
          <w:color w:val="222222"/>
          <w:shd w:val="clear" w:color="auto" w:fill="FFFFFF"/>
        </w:rPr>
        <w:t>Mufwene</w:t>
      </w:r>
      <w:proofErr w:type="spellEnd"/>
      <w:r>
        <w:rPr>
          <w:rFonts w:ascii="Arial Narrow" w:hAnsi="Arial Narrow" w:cs="Arial"/>
          <w:color w:val="222222"/>
          <w:shd w:val="clear" w:color="auto" w:fill="FFFFFF"/>
        </w:rPr>
        <w:t xml:space="preserve">, S. S. (2002) ‘Colonisation, Globalisation, and the Future of Languages in the Twenty-first Century’, </w:t>
      </w:r>
      <w:r w:rsidRPr="00AF33CD">
        <w:rPr>
          <w:rFonts w:ascii="Arial Narrow" w:hAnsi="Arial Narrow" w:cs="Arial"/>
          <w:i/>
          <w:iCs/>
          <w:color w:val="222222"/>
          <w:shd w:val="clear" w:color="auto" w:fill="FFFFFF"/>
        </w:rPr>
        <w:t>International Journal of Multicultural Societies</w:t>
      </w:r>
      <w:r>
        <w:rPr>
          <w:rFonts w:ascii="Arial Narrow" w:hAnsi="Arial Narrow" w:cs="Arial"/>
          <w:color w:val="222222"/>
          <w:shd w:val="clear" w:color="auto" w:fill="FFFFFF"/>
        </w:rPr>
        <w:t>, 4(2), pp. 162-193.</w:t>
      </w:r>
    </w:p>
    <w:p w14:paraId="76433362" w14:textId="77777777" w:rsidR="00B124B9" w:rsidRDefault="00B124B9" w:rsidP="000215B1">
      <w:pPr>
        <w:spacing w:line="276" w:lineRule="auto"/>
        <w:rPr>
          <w:rFonts w:ascii="Arial Narrow" w:hAnsi="Arial Narrow" w:cs="Arial"/>
          <w:color w:val="222222"/>
          <w:shd w:val="clear" w:color="auto" w:fill="FFFFFF"/>
        </w:rPr>
      </w:pPr>
    </w:p>
    <w:p w14:paraId="12E3A281" w14:textId="2AE813A7" w:rsidR="00B124B9" w:rsidRPr="008E0DA0" w:rsidRDefault="00B124B9" w:rsidP="000215B1">
      <w:pPr>
        <w:spacing w:line="276" w:lineRule="auto"/>
        <w:rPr>
          <w:rFonts w:ascii="Arial Narrow" w:hAnsi="Arial Narrow" w:cs="Arial"/>
          <w:color w:val="222222"/>
          <w:shd w:val="clear" w:color="auto" w:fill="FFFFFF"/>
        </w:rPr>
      </w:pPr>
      <w:r>
        <w:rPr>
          <w:rFonts w:ascii="Arial Narrow" w:hAnsi="Arial Narrow" w:cs="Arial"/>
          <w:color w:val="222222"/>
          <w:shd w:val="clear" w:color="auto" w:fill="FFFFFF"/>
        </w:rPr>
        <w:t xml:space="preserve">Myers, S. (2021) </w:t>
      </w:r>
      <w:r w:rsidRPr="00B124B9">
        <w:rPr>
          <w:rFonts w:ascii="Arial Narrow" w:hAnsi="Arial Narrow" w:cs="Arial"/>
          <w:i/>
          <w:iCs/>
          <w:color w:val="222222"/>
          <w:shd w:val="clear" w:color="auto" w:fill="FFFFFF"/>
        </w:rPr>
        <w:t>Jerome Bruner: An Overview of Key Ideas</w:t>
      </w:r>
      <w:r>
        <w:rPr>
          <w:rFonts w:ascii="Arial Narrow" w:hAnsi="Arial Narrow" w:cs="Arial"/>
          <w:color w:val="222222"/>
          <w:shd w:val="clear" w:color="auto" w:fill="FFFFFF"/>
        </w:rPr>
        <w:t>. Leeds: Emerald Publishing Limited.</w:t>
      </w:r>
    </w:p>
    <w:p w14:paraId="34C99BF6" w14:textId="77777777" w:rsidR="00B72B62" w:rsidRDefault="00B72B62" w:rsidP="000215B1">
      <w:pPr>
        <w:spacing w:line="276" w:lineRule="auto"/>
        <w:rPr>
          <w:rFonts w:ascii="Arial Narrow" w:hAnsi="Arial Narrow"/>
          <w:lang w:val="cy-GB"/>
        </w:rPr>
      </w:pPr>
    </w:p>
    <w:p w14:paraId="77A28E97" w14:textId="09F5C66B" w:rsidR="00EA1DA7" w:rsidRDefault="00EA1DA7" w:rsidP="000215B1">
      <w:pPr>
        <w:spacing w:line="276" w:lineRule="auto"/>
        <w:rPr>
          <w:rFonts w:ascii="Arial Narrow" w:hAnsi="Arial Narrow"/>
          <w:lang w:val="cy-GB"/>
        </w:rPr>
      </w:pPr>
      <w:r w:rsidRPr="00EA1DA7">
        <w:rPr>
          <w:rFonts w:ascii="Arial Narrow" w:hAnsi="Arial Narrow"/>
          <w:lang w:val="cy-GB"/>
        </w:rPr>
        <w:t xml:space="preserve">NALDIC (2011) </w:t>
      </w:r>
      <w:r w:rsidRPr="00EA1DA7">
        <w:rPr>
          <w:rFonts w:ascii="Arial Narrow" w:hAnsi="Arial Narrow"/>
          <w:i/>
          <w:iCs/>
          <w:lang w:val="cy-GB"/>
        </w:rPr>
        <w:t>What is bilingualism?</w:t>
      </w:r>
      <w:r w:rsidRPr="00EA1DA7">
        <w:rPr>
          <w:rFonts w:ascii="Arial Narrow" w:hAnsi="Arial Narrow"/>
          <w:lang w:val="cy-GB"/>
        </w:rPr>
        <w:t xml:space="preserve"> Available</w:t>
      </w:r>
      <w:r>
        <w:rPr>
          <w:rFonts w:ascii="Arial Narrow" w:hAnsi="Arial Narrow"/>
          <w:lang w:val="cy-GB"/>
        </w:rPr>
        <w:t xml:space="preserve"> at: </w:t>
      </w:r>
      <w:r>
        <w:rPr>
          <w:rFonts w:ascii="Arial Narrow" w:hAnsi="Arial Narrow"/>
          <w:lang w:val="cy-GB"/>
        </w:rPr>
        <w:fldChar w:fldCharType="begin"/>
      </w:r>
      <w:r>
        <w:rPr>
          <w:rFonts w:ascii="Arial Narrow" w:hAnsi="Arial Narrow"/>
          <w:lang w:val="cy-GB"/>
        </w:rPr>
        <w:instrText>HYPERLINK "</w:instrText>
      </w:r>
      <w:r w:rsidRPr="00EA1DA7">
        <w:rPr>
          <w:rFonts w:ascii="Arial Narrow" w:hAnsi="Arial Narrow"/>
          <w:lang w:val="cy-GB"/>
        </w:rPr>
        <w:instrText>https://www.naldic.org.uk/Resources/NALDIC/Initial%20Teacher%20Education/Documents/B1.pdf</w:instrText>
      </w:r>
      <w:r>
        <w:rPr>
          <w:rFonts w:ascii="Arial Narrow" w:hAnsi="Arial Narrow"/>
          <w:lang w:val="cy-GB"/>
        </w:rPr>
        <w:instrText>"</w:instrText>
      </w:r>
      <w:r>
        <w:rPr>
          <w:rFonts w:ascii="Arial Narrow" w:hAnsi="Arial Narrow"/>
          <w:lang w:val="cy-GB"/>
        </w:rPr>
      </w:r>
      <w:r>
        <w:rPr>
          <w:rFonts w:ascii="Arial Narrow" w:hAnsi="Arial Narrow"/>
          <w:lang w:val="cy-GB"/>
        </w:rPr>
        <w:fldChar w:fldCharType="separate"/>
      </w:r>
      <w:r w:rsidRPr="00EA1DA7">
        <w:rPr>
          <w:rStyle w:val="Hyperlink"/>
          <w:rFonts w:ascii="Arial Narrow" w:hAnsi="Arial Narrow"/>
          <w:lang w:val="cy-GB"/>
        </w:rPr>
        <w:t>https://www.naldic.org.uk/Resources/NALDIC/Initial%20Teacher%20Education/Documents/B1.pdf</w:t>
      </w:r>
      <w:r>
        <w:rPr>
          <w:rFonts w:ascii="Arial Narrow" w:hAnsi="Arial Narrow"/>
          <w:lang w:val="cy-GB"/>
        </w:rPr>
        <w:fldChar w:fldCharType="end"/>
      </w:r>
      <w:r w:rsidRPr="00EA1DA7">
        <w:rPr>
          <w:rFonts w:ascii="Arial Narrow" w:hAnsi="Arial Narrow"/>
          <w:lang w:val="cy-GB"/>
        </w:rPr>
        <w:t xml:space="preserve"> </w:t>
      </w:r>
      <w:r>
        <w:rPr>
          <w:rFonts w:ascii="Arial Narrow" w:hAnsi="Arial Narrow"/>
          <w:lang w:val="cy-GB"/>
        </w:rPr>
        <w:t>(</w:t>
      </w:r>
      <w:r w:rsidRPr="00EA1DA7">
        <w:rPr>
          <w:rFonts w:ascii="Arial Narrow" w:hAnsi="Arial Narrow"/>
          <w:lang w:val="cy-GB"/>
        </w:rPr>
        <w:t xml:space="preserve">Accessed: </w:t>
      </w:r>
      <w:r>
        <w:rPr>
          <w:rFonts w:ascii="Arial Narrow" w:hAnsi="Arial Narrow"/>
          <w:lang w:val="cy-GB"/>
        </w:rPr>
        <w:t>15th April 2024)</w:t>
      </w:r>
      <w:r w:rsidRPr="00EA1DA7">
        <w:rPr>
          <w:rFonts w:ascii="Arial Narrow" w:hAnsi="Arial Narrow"/>
          <w:lang w:val="cy-GB"/>
        </w:rPr>
        <w:t>.</w:t>
      </w:r>
    </w:p>
    <w:p w14:paraId="46C68CFC" w14:textId="77777777" w:rsidR="00742814" w:rsidRDefault="00742814" w:rsidP="000215B1">
      <w:pPr>
        <w:spacing w:line="276" w:lineRule="auto"/>
        <w:rPr>
          <w:rFonts w:ascii="Arial Narrow" w:hAnsi="Arial Narrow"/>
          <w:lang w:val="cy-GB"/>
        </w:rPr>
      </w:pPr>
    </w:p>
    <w:p w14:paraId="6DA60851" w14:textId="2B537F4A" w:rsidR="00742814" w:rsidRPr="00742814" w:rsidRDefault="00742814" w:rsidP="00742814">
      <w:pPr>
        <w:spacing w:line="276" w:lineRule="auto"/>
        <w:rPr>
          <w:rFonts w:ascii="Arial Narrow" w:hAnsi="Arial Narrow"/>
        </w:rPr>
      </w:pPr>
      <w:r w:rsidRPr="00742814">
        <w:rPr>
          <w:rFonts w:ascii="Arial Narrow" w:hAnsi="Arial Narrow"/>
        </w:rPr>
        <w:t xml:space="preserve">Ofsted (2013) </w:t>
      </w:r>
      <w:r w:rsidRPr="00742814">
        <w:rPr>
          <w:rFonts w:ascii="Arial Narrow" w:hAnsi="Arial Narrow"/>
          <w:i/>
          <w:iCs/>
        </w:rPr>
        <w:t>English as an additional language A briefing paper for section 5 inspectors</w:t>
      </w:r>
      <w:r>
        <w:rPr>
          <w:rFonts w:ascii="Arial Narrow" w:hAnsi="Arial Narrow"/>
        </w:rPr>
        <w:t xml:space="preserve">. Available at: </w:t>
      </w:r>
      <w:hyperlink r:id="rId8" w:history="1">
        <w:r w:rsidRPr="00742814">
          <w:rPr>
            <w:rStyle w:val="Hyperlink"/>
            <w:rFonts w:ascii="Arial Narrow" w:hAnsi="Arial Narrow"/>
          </w:rPr>
          <w:t>http://www.naldic.org.uk/eal-teaching-and-learning/outline-guidance/eal-ofsted/</w:t>
        </w:r>
      </w:hyperlink>
      <w:r w:rsidRPr="00742814">
        <w:rPr>
          <w:rFonts w:ascii="Arial Narrow" w:hAnsi="Arial Narrow"/>
        </w:rPr>
        <w:t xml:space="preserve"> </w:t>
      </w:r>
      <w:r>
        <w:rPr>
          <w:rFonts w:ascii="Arial Narrow" w:hAnsi="Arial Narrow"/>
        </w:rPr>
        <w:t>(Accessed 17</w:t>
      </w:r>
      <w:r w:rsidRPr="00742814">
        <w:rPr>
          <w:rFonts w:ascii="Arial Narrow" w:hAnsi="Arial Narrow"/>
          <w:vertAlign w:val="superscript"/>
        </w:rPr>
        <w:t>th</w:t>
      </w:r>
      <w:r>
        <w:rPr>
          <w:rFonts w:ascii="Arial Narrow" w:hAnsi="Arial Narrow"/>
        </w:rPr>
        <w:t xml:space="preserve"> April 2024).</w:t>
      </w:r>
    </w:p>
    <w:p w14:paraId="1D94F1F5" w14:textId="77777777" w:rsidR="006316FF" w:rsidRDefault="006316FF" w:rsidP="000215B1">
      <w:pPr>
        <w:spacing w:line="276" w:lineRule="auto"/>
        <w:rPr>
          <w:rFonts w:ascii="Arial Narrow" w:hAnsi="Arial Narrow"/>
          <w:lang w:val="cy-GB"/>
        </w:rPr>
      </w:pPr>
    </w:p>
    <w:p w14:paraId="55198866" w14:textId="25645C71" w:rsidR="006316FF" w:rsidRDefault="006316FF" w:rsidP="000215B1">
      <w:pPr>
        <w:spacing w:line="276" w:lineRule="auto"/>
        <w:rPr>
          <w:rFonts w:ascii="Arial Narrow" w:hAnsi="Arial Narrow"/>
          <w:lang w:val="cy-GB"/>
        </w:rPr>
      </w:pPr>
      <w:r>
        <w:rPr>
          <w:rFonts w:ascii="Arial Narrow" w:hAnsi="Arial Narrow"/>
          <w:lang w:val="cy-GB"/>
        </w:rPr>
        <w:t xml:space="preserve">Papoutsi, M., </w:t>
      </w:r>
      <w:r w:rsidRPr="006316FF">
        <w:rPr>
          <w:rFonts w:ascii="Arial Narrow" w:hAnsi="Arial Narrow"/>
          <w:i/>
          <w:iCs/>
          <w:lang w:val="cy-GB"/>
        </w:rPr>
        <w:t xml:space="preserve">et al. </w:t>
      </w:r>
      <w:r>
        <w:rPr>
          <w:rFonts w:ascii="Arial Narrow" w:hAnsi="Arial Narrow"/>
          <w:lang w:val="cy-GB"/>
        </w:rPr>
        <w:t xml:space="preserve">(2009) ‘From Phenomes to Articulatory Codes: An fMRI Study of the Role of Broca’s Area in Speech Production’, </w:t>
      </w:r>
      <w:r w:rsidRPr="006316FF">
        <w:rPr>
          <w:rFonts w:ascii="Arial Narrow" w:hAnsi="Arial Narrow"/>
          <w:i/>
          <w:iCs/>
          <w:lang w:val="cy-GB"/>
        </w:rPr>
        <w:t>Cerebral Cortex,</w:t>
      </w:r>
      <w:r>
        <w:rPr>
          <w:rFonts w:ascii="Arial Narrow" w:hAnsi="Arial Narrow"/>
          <w:i/>
          <w:iCs/>
          <w:lang w:val="cy-GB"/>
        </w:rPr>
        <w:t xml:space="preserve"> </w:t>
      </w:r>
      <w:r>
        <w:rPr>
          <w:rFonts w:ascii="Arial Narrow" w:hAnsi="Arial Narrow"/>
          <w:lang w:val="cy-GB"/>
        </w:rPr>
        <w:t>19(9), pp. 2156-2165.</w:t>
      </w:r>
    </w:p>
    <w:p w14:paraId="7A80F174" w14:textId="77777777" w:rsidR="00AE0817" w:rsidRDefault="00AE0817" w:rsidP="000215B1">
      <w:pPr>
        <w:spacing w:line="276" w:lineRule="auto"/>
        <w:rPr>
          <w:rFonts w:ascii="Arial Narrow" w:hAnsi="Arial Narrow"/>
          <w:lang w:val="cy-GB"/>
        </w:rPr>
      </w:pPr>
    </w:p>
    <w:p w14:paraId="2838B060" w14:textId="2567CD1F" w:rsidR="00AE0817" w:rsidRDefault="00AE0817" w:rsidP="000215B1">
      <w:pPr>
        <w:spacing w:line="276" w:lineRule="auto"/>
        <w:rPr>
          <w:rFonts w:ascii="Arial Narrow" w:hAnsi="Arial Narrow"/>
          <w:lang w:val="cy-GB"/>
        </w:rPr>
      </w:pPr>
      <w:r>
        <w:rPr>
          <w:rFonts w:ascii="Arial Narrow" w:hAnsi="Arial Narrow"/>
          <w:lang w:val="cy-GB"/>
        </w:rPr>
        <w:t xml:space="preserve">Rahman, M. M., </w:t>
      </w:r>
      <w:r w:rsidRPr="00AE0817">
        <w:rPr>
          <w:rFonts w:ascii="Arial Narrow" w:hAnsi="Arial Narrow"/>
          <w:i/>
          <w:iCs/>
          <w:lang w:val="cy-GB"/>
        </w:rPr>
        <w:t>et al.</w:t>
      </w:r>
      <w:r>
        <w:rPr>
          <w:rFonts w:ascii="Arial Narrow" w:hAnsi="Arial Narrow"/>
          <w:lang w:val="cy-GB"/>
        </w:rPr>
        <w:t xml:space="preserve"> (2017) ‘Effect of Age in Second Language Acquisition: A Critical Review from the Perspective of Critical Period Hypothesis and Ultimate Attainment’, International Journal of English Linguistics, 7(5), pp. 124-145.</w:t>
      </w:r>
    </w:p>
    <w:p w14:paraId="45D1454C" w14:textId="77777777" w:rsidR="004C66B7" w:rsidRDefault="004C66B7" w:rsidP="000215B1">
      <w:pPr>
        <w:spacing w:line="276" w:lineRule="auto"/>
        <w:rPr>
          <w:rFonts w:ascii="Arial Narrow" w:hAnsi="Arial Narrow"/>
          <w:lang w:val="cy-GB"/>
        </w:rPr>
      </w:pPr>
    </w:p>
    <w:p w14:paraId="57E70733" w14:textId="64911E68" w:rsidR="004C66B7" w:rsidRDefault="004C66B7" w:rsidP="000215B1">
      <w:pPr>
        <w:spacing w:line="276" w:lineRule="auto"/>
        <w:rPr>
          <w:rFonts w:ascii="Arial Narrow" w:hAnsi="Arial Narrow"/>
          <w:lang w:val="cy-GB"/>
        </w:rPr>
      </w:pPr>
      <w:r>
        <w:rPr>
          <w:rFonts w:ascii="Arial Narrow" w:hAnsi="Arial Narrow"/>
          <w:lang w:val="cy-GB"/>
        </w:rPr>
        <w:t xml:space="preserve">Richers, N. (1998) ‘The Paideia Archive: Twentieth World Congress of Philosophy’, </w:t>
      </w:r>
      <w:r w:rsidRPr="004C66B7">
        <w:rPr>
          <w:rFonts w:ascii="Arial Narrow" w:hAnsi="Arial Narrow"/>
          <w:i/>
          <w:iCs/>
          <w:lang w:val="cy-GB"/>
        </w:rPr>
        <w:t xml:space="preserve">Philosophy of Language, </w:t>
      </w:r>
      <w:r>
        <w:rPr>
          <w:rFonts w:ascii="Arial Narrow" w:hAnsi="Arial Narrow"/>
          <w:lang w:val="cy-GB"/>
        </w:rPr>
        <w:t>32, pp. 112-118.</w:t>
      </w:r>
    </w:p>
    <w:p w14:paraId="09F71680" w14:textId="77777777" w:rsidR="00EC1F07" w:rsidRDefault="00EC1F07" w:rsidP="000215B1">
      <w:pPr>
        <w:spacing w:line="276" w:lineRule="auto"/>
        <w:rPr>
          <w:rFonts w:ascii="Arial Narrow" w:hAnsi="Arial Narrow"/>
          <w:lang w:val="cy-GB"/>
        </w:rPr>
      </w:pPr>
    </w:p>
    <w:p w14:paraId="58B353C5" w14:textId="20EF878B" w:rsidR="00EC1F07" w:rsidRDefault="00EC1F07" w:rsidP="000215B1">
      <w:pPr>
        <w:spacing w:line="276" w:lineRule="auto"/>
        <w:rPr>
          <w:rFonts w:ascii="Arial Narrow" w:hAnsi="Arial Narrow"/>
        </w:rPr>
      </w:pPr>
      <w:r w:rsidRPr="00EC1F07">
        <w:rPr>
          <w:rFonts w:ascii="Arial Narrow" w:hAnsi="Arial Narrow"/>
        </w:rPr>
        <w:t xml:space="preserve">Schmid, M. S. (2016) </w:t>
      </w:r>
      <w:r w:rsidR="00941817">
        <w:rPr>
          <w:rFonts w:ascii="Arial Narrow" w:hAnsi="Arial Narrow"/>
        </w:rPr>
        <w:t xml:space="preserve">‘First language attrition’, </w:t>
      </w:r>
      <w:r w:rsidR="00941817">
        <w:rPr>
          <w:rFonts w:ascii="Arial Narrow" w:hAnsi="Arial Narrow"/>
          <w:i/>
          <w:iCs/>
        </w:rPr>
        <w:t xml:space="preserve">Language Teaching, </w:t>
      </w:r>
      <w:r w:rsidR="00941817">
        <w:rPr>
          <w:rFonts w:ascii="Arial Narrow" w:hAnsi="Arial Narrow"/>
        </w:rPr>
        <w:t>49(2), pp. 186-212.</w:t>
      </w:r>
    </w:p>
    <w:p w14:paraId="5EA44F6B" w14:textId="77777777" w:rsidR="00F62A03" w:rsidRDefault="00F62A03" w:rsidP="000215B1">
      <w:pPr>
        <w:spacing w:line="276" w:lineRule="auto"/>
        <w:rPr>
          <w:rFonts w:ascii="Arial Narrow" w:hAnsi="Arial Narrow"/>
        </w:rPr>
      </w:pPr>
    </w:p>
    <w:p w14:paraId="4D562F7A" w14:textId="661484E2" w:rsidR="00F62A03" w:rsidRPr="00941817" w:rsidRDefault="00F62A03" w:rsidP="000215B1">
      <w:pPr>
        <w:spacing w:line="276" w:lineRule="auto"/>
        <w:rPr>
          <w:rFonts w:ascii="Arial Narrow" w:hAnsi="Arial Narrow"/>
        </w:rPr>
      </w:pPr>
      <w:r>
        <w:rPr>
          <w:rFonts w:ascii="Arial Narrow" w:hAnsi="Arial Narrow"/>
        </w:rPr>
        <w:t xml:space="preserve">Schmitt, E., and </w:t>
      </w:r>
      <w:proofErr w:type="spellStart"/>
      <w:r>
        <w:rPr>
          <w:rFonts w:ascii="Arial Narrow" w:hAnsi="Arial Narrow"/>
        </w:rPr>
        <w:t>Sorokina</w:t>
      </w:r>
      <w:proofErr w:type="spellEnd"/>
      <w:r>
        <w:rPr>
          <w:rFonts w:ascii="Arial Narrow" w:hAnsi="Arial Narrow"/>
        </w:rPr>
        <w:t>, A. (2024) ‘Guest editorial: Language attrition – a comprehensive introduction’,</w:t>
      </w:r>
      <w:r w:rsidRPr="00F62A03">
        <w:rPr>
          <w:rFonts w:ascii="Arial Narrow" w:hAnsi="Arial Narrow"/>
          <w:i/>
          <w:iCs/>
        </w:rPr>
        <w:t xml:space="preserve"> Language Learning Journal,</w:t>
      </w:r>
      <w:r>
        <w:rPr>
          <w:rFonts w:ascii="Arial Narrow" w:hAnsi="Arial Narrow"/>
        </w:rPr>
        <w:t xml:space="preserve"> 52(2), pp. 133-144.</w:t>
      </w:r>
    </w:p>
    <w:p w14:paraId="6DE63FAD" w14:textId="77777777" w:rsidR="00E13A91" w:rsidRDefault="00E13A91" w:rsidP="000215B1">
      <w:pPr>
        <w:spacing w:line="276" w:lineRule="auto"/>
        <w:rPr>
          <w:rFonts w:ascii="Arial Narrow" w:hAnsi="Arial Narrow"/>
          <w:lang w:val="cy-GB"/>
        </w:rPr>
      </w:pPr>
    </w:p>
    <w:p w14:paraId="02EE1F77" w14:textId="365C9248" w:rsidR="00E13A91" w:rsidRDefault="00E13A91" w:rsidP="000215B1">
      <w:pPr>
        <w:spacing w:line="276" w:lineRule="auto"/>
        <w:rPr>
          <w:rFonts w:ascii="Arial Narrow" w:hAnsi="Arial Narrow"/>
          <w:lang w:val="en-US"/>
        </w:rPr>
      </w:pPr>
      <w:proofErr w:type="spellStart"/>
      <w:r>
        <w:rPr>
          <w:rFonts w:ascii="Arial Narrow" w:hAnsi="Arial Narrow"/>
          <w:lang w:val="en-US"/>
        </w:rPr>
        <w:t>Shwartz</w:t>
      </w:r>
      <w:proofErr w:type="spellEnd"/>
      <w:r>
        <w:rPr>
          <w:rFonts w:ascii="Arial Narrow" w:hAnsi="Arial Narrow"/>
          <w:lang w:val="en-US"/>
        </w:rPr>
        <w:t xml:space="preserve">, M. and </w:t>
      </w:r>
      <w:proofErr w:type="spellStart"/>
      <w:r>
        <w:rPr>
          <w:rFonts w:ascii="Arial Narrow" w:hAnsi="Arial Narrow"/>
          <w:lang w:val="en-US"/>
        </w:rPr>
        <w:t>Palviainen</w:t>
      </w:r>
      <w:proofErr w:type="spellEnd"/>
      <w:r>
        <w:rPr>
          <w:rFonts w:ascii="Arial Narrow" w:hAnsi="Arial Narrow"/>
          <w:lang w:val="en-US"/>
        </w:rPr>
        <w:t xml:space="preserve">, Å. (2018) </w:t>
      </w:r>
      <w:r w:rsidRPr="00E13A91">
        <w:rPr>
          <w:rFonts w:ascii="Arial Narrow" w:hAnsi="Arial Narrow"/>
          <w:i/>
          <w:iCs/>
          <w:lang w:val="en-US"/>
        </w:rPr>
        <w:t>21</w:t>
      </w:r>
      <w:r w:rsidRPr="00E13A91">
        <w:rPr>
          <w:rFonts w:ascii="Arial Narrow" w:hAnsi="Arial Narrow"/>
          <w:i/>
          <w:iCs/>
          <w:vertAlign w:val="superscript"/>
          <w:lang w:val="en-US"/>
        </w:rPr>
        <w:t>st</w:t>
      </w:r>
      <w:r w:rsidRPr="00E13A91">
        <w:rPr>
          <w:rFonts w:ascii="Arial Narrow" w:hAnsi="Arial Narrow"/>
          <w:i/>
          <w:iCs/>
          <w:lang w:val="en-US"/>
        </w:rPr>
        <w:t xml:space="preserve"> Century Pre-school Bilingual Education. </w:t>
      </w:r>
      <w:r>
        <w:rPr>
          <w:rFonts w:ascii="Arial Narrow" w:hAnsi="Arial Narrow"/>
          <w:lang w:val="en-US"/>
        </w:rPr>
        <w:t>(1</w:t>
      </w:r>
      <w:r w:rsidRPr="00E13A91">
        <w:rPr>
          <w:rFonts w:ascii="Arial Narrow" w:hAnsi="Arial Narrow"/>
          <w:vertAlign w:val="superscript"/>
          <w:lang w:val="en-US"/>
        </w:rPr>
        <w:t>st</w:t>
      </w:r>
      <w:r>
        <w:rPr>
          <w:rFonts w:ascii="Arial Narrow" w:hAnsi="Arial Narrow"/>
          <w:lang w:val="en-US"/>
        </w:rPr>
        <w:t xml:space="preserve"> Edition). Oxford: Routledge.</w:t>
      </w:r>
    </w:p>
    <w:p w14:paraId="63FE9FD0" w14:textId="77777777" w:rsidR="003E7F27" w:rsidRDefault="003E7F27" w:rsidP="000215B1">
      <w:pPr>
        <w:spacing w:line="276" w:lineRule="auto"/>
        <w:rPr>
          <w:rFonts w:ascii="Arial Narrow" w:hAnsi="Arial Narrow"/>
          <w:lang w:val="en-US"/>
        </w:rPr>
      </w:pPr>
    </w:p>
    <w:p w14:paraId="26D4AA2A" w14:textId="555B69FD" w:rsidR="003E7F27" w:rsidRDefault="003E7F27" w:rsidP="000215B1">
      <w:pPr>
        <w:spacing w:line="276" w:lineRule="auto"/>
        <w:rPr>
          <w:rFonts w:ascii="Arial Narrow" w:hAnsi="Arial Narrow"/>
          <w:lang w:val="en-US"/>
        </w:rPr>
      </w:pPr>
      <w:r>
        <w:rPr>
          <w:rFonts w:ascii="Arial Narrow" w:hAnsi="Arial Narrow"/>
          <w:lang w:val="en-US"/>
        </w:rPr>
        <w:t xml:space="preserve">Sikandar, A. (2015) ‘John Dewey and His Philosophy of Education’, </w:t>
      </w:r>
      <w:r w:rsidRPr="003E7F27">
        <w:rPr>
          <w:rFonts w:ascii="Arial Narrow" w:hAnsi="Arial Narrow"/>
          <w:i/>
          <w:iCs/>
          <w:lang w:val="en-US"/>
        </w:rPr>
        <w:t>Journal of Education and Educational Development,</w:t>
      </w:r>
      <w:r>
        <w:rPr>
          <w:rFonts w:ascii="Arial Narrow" w:hAnsi="Arial Narrow"/>
          <w:lang w:val="en-US"/>
        </w:rPr>
        <w:t xml:space="preserve"> 2(2), pp. 191-201.</w:t>
      </w:r>
    </w:p>
    <w:p w14:paraId="0A562008" w14:textId="77777777" w:rsidR="004D72EA" w:rsidRDefault="004D72EA" w:rsidP="000215B1">
      <w:pPr>
        <w:spacing w:line="276" w:lineRule="auto"/>
        <w:rPr>
          <w:rFonts w:ascii="Arial Narrow" w:hAnsi="Arial Narrow"/>
          <w:lang w:val="en-US"/>
        </w:rPr>
      </w:pPr>
    </w:p>
    <w:p w14:paraId="14235CEA" w14:textId="76395C22" w:rsidR="004D72EA" w:rsidRPr="00E13A91" w:rsidRDefault="004D72EA" w:rsidP="000215B1">
      <w:pPr>
        <w:spacing w:line="276" w:lineRule="auto"/>
        <w:rPr>
          <w:rFonts w:ascii="Arial Narrow" w:hAnsi="Arial Narrow"/>
          <w:lang w:val="en-US"/>
        </w:rPr>
      </w:pPr>
      <w:r>
        <w:rPr>
          <w:rFonts w:ascii="Arial Narrow" w:hAnsi="Arial Narrow"/>
          <w:lang w:val="en-US"/>
        </w:rPr>
        <w:t>Simpson, J. (2014)</w:t>
      </w:r>
      <w:r w:rsidR="0005466B">
        <w:rPr>
          <w:rFonts w:ascii="Arial Narrow" w:hAnsi="Arial Narrow"/>
          <w:lang w:val="en-US"/>
        </w:rPr>
        <w:t xml:space="preserve"> </w:t>
      </w:r>
      <w:r w:rsidR="0005466B" w:rsidRPr="0005466B">
        <w:rPr>
          <w:rFonts w:ascii="Arial Narrow" w:hAnsi="Arial Narrow"/>
          <w:i/>
          <w:iCs/>
          <w:lang w:val="en-US"/>
        </w:rPr>
        <w:t>The Routledge Handbook of Historical Linguistics</w:t>
      </w:r>
      <w:r w:rsidR="0005466B">
        <w:rPr>
          <w:rFonts w:ascii="Arial Narrow" w:hAnsi="Arial Narrow"/>
          <w:lang w:val="en-US"/>
        </w:rPr>
        <w:t>. London: Routledge.</w:t>
      </w:r>
    </w:p>
    <w:p w14:paraId="688D5BBE" w14:textId="77777777" w:rsidR="00B72B62" w:rsidRDefault="00B72B62" w:rsidP="000215B1">
      <w:pPr>
        <w:spacing w:line="276" w:lineRule="auto"/>
        <w:rPr>
          <w:rFonts w:ascii="Arial Narrow" w:hAnsi="Arial Narrow"/>
          <w:lang w:val="cy-GB"/>
        </w:rPr>
      </w:pPr>
    </w:p>
    <w:p w14:paraId="74880172" w14:textId="3274FEDB" w:rsidR="00B72B62" w:rsidRDefault="00B72B62" w:rsidP="000215B1">
      <w:pPr>
        <w:spacing w:line="276" w:lineRule="auto"/>
        <w:rPr>
          <w:rFonts w:ascii="Arial Narrow" w:hAnsi="Arial Narrow" w:cs="Arial"/>
          <w:color w:val="222222"/>
          <w:shd w:val="clear" w:color="auto" w:fill="FFFFFF"/>
        </w:rPr>
      </w:pPr>
      <w:r>
        <w:rPr>
          <w:rFonts w:ascii="Arial Narrow" w:hAnsi="Arial Narrow"/>
          <w:lang w:val="cy-GB"/>
        </w:rPr>
        <w:t>Sun, H (</w:t>
      </w:r>
      <w:r w:rsidRPr="00B72B62">
        <w:rPr>
          <w:rFonts w:ascii="Arial Narrow" w:hAnsi="Arial Narrow"/>
          <w:lang w:val="cy-GB"/>
        </w:rPr>
        <w:t>2019) ‘</w:t>
      </w:r>
      <w:r w:rsidRPr="00B72B62">
        <w:rPr>
          <w:rFonts w:ascii="Arial Narrow" w:hAnsi="Arial Narrow" w:cs="Arial"/>
          <w:color w:val="222222"/>
          <w:shd w:val="clear" w:color="auto" w:fill="FFFFFF"/>
        </w:rPr>
        <w:t xml:space="preserve">Home environment, bilingual </w:t>
      </w:r>
      <w:proofErr w:type="spellStart"/>
      <w:r w:rsidRPr="00B72B62">
        <w:rPr>
          <w:rFonts w:ascii="Arial Narrow" w:hAnsi="Arial Narrow" w:cs="Arial"/>
          <w:color w:val="222222"/>
          <w:shd w:val="clear" w:color="auto" w:fill="FFFFFF"/>
        </w:rPr>
        <w:t>preschooler’s</w:t>
      </w:r>
      <w:proofErr w:type="spellEnd"/>
      <w:r w:rsidRPr="00B72B62">
        <w:rPr>
          <w:rFonts w:ascii="Arial Narrow" w:hAnsi="Arial Narrow" w:cs="Arial"/>
          <w:color w:val="222222"/>
          <w:shd w:val="clear" w:color="auto" w:fill="FFFFFF"/>
        </w:rPr>
        <w:t xml:space="preserve"> receptive mother tongue language outcomes, and social-emotional and behavio</w:t>
      </w:r>
      <w:r>
        <w:rPr>
          <w:rFonts w:ascii="Arial Narrow" w:hAnsi="Arial Narrow" w:cs="Arial"/>
          <w:color w:val="222222"/>
          <w:shd w:val="clear" w:color="auto" w:fill="FFFFFF"/>
        </w:rPr>
        <w:t>u</w:t>
      </w:r>
      <w:r w:rsidRPr="00B72B62">
        <w:rPr>
          <w:rFonts w:ascii="Arial Narrow" w:hAnsi="Arial Narrow" w:cs="Arial"/>
          <w:color w:val="222222"/>
          <w:shd w:val="clear" w:color="auto" w:fill="FFFFFF"/>
        </w:rPr>
        <w:t xml:space="preserve">ral skills: One stone for two birds?’, </w:t>
      </w:r>
      <w:r w:rsidRPr="00B72B62">
        <w:rPr>
          <w:rFonts w:ascii="Arial Narrow" w:hAnsi="Arial Narrow" w:cs="Arial"/>
          <w:i/>
          <w:iCs/>
          <w:color w:val="222222"/>
        </w:rPr>
        <w:t>Frontiers in Psychology</w:t>
      </w:r>
      <w:r w:rsidRPr="00B72B62">
        <w:rPr>
          <w:rFonts w:ascii="Arial Narrow" w:hAnsi="Arial Narrow" w:cs="Arial"/>
          <w:i/>
          <w:iCs/>
          <w:color w:val="222222"/>
          <w:shd w:val="clear" w:color="auto" w:fill="FFFFFF"/>
        </w:rPr>
        <w:t>,</w:t>
      </w:r>
      <w:r w:rsidRPr="00B72B62">
        <w:rPr>
          <w:rStyle w:val="apple-converted-space"/>
          <w:rFonts w:ascii="Arial Narrow" w:hAnsi="Arial Narrow" w:cs="Arial"/>
          <w:i/>
          <w:iCs/>
          <w:color w:val="222222"/>
          <w:shd w:val="clear" w:color="auto" w:fill="FFFFFF"/>
        </w:rPr>
        <w:t> </w:t>
      </w:r>
      <w:r w:rsidRPr="00B72B62">
        <w:rPr>
          <w:rFonts w:ascii="Arial Narrow" w:hAnsi="Arial Narrow" w:cs="Arial"/>
          <w:color w:val="222222"/>
        </w:rPr>
        <w:t>10</w:t>
      </w:r>
      <w:r>
        <w:rPr>
          <w:rFonts w:ascii="Arial Narrow" w:hAnsi="Arial Narrow" w:cs="Arial"/>
          <w:color w:val="222222"/>
          <w:shd w:val="clear" w:color="auto" w:fill="FFFFFF"/>
        </w:rPr>
        <w:t>.</w:t>
      </w:r>
    </w:p>
    <w:p w14:paraId="38675144" w14:textId="77777777" w:rsidR="009D40FA" w:rsidRDefault="009D40FA" w:rsidP="000215B1">
      <w:pPr>
        <w:spacing w:line="276" w:lineRule="auto"/>
        <w:rPr>
          <w:rFonts w:ascii="Arial Narrow" w:hAnsi="Arial Narrow" w:cs="Arial"/>
          <w:color w:val="222222"/>
          <w:shd w:val="clear" w:color="auto" w:fill="FFFFFF"/>
        </w:rPr>
      </w:pPr>
    </w:p>
    <w:p w14:paraId="0325288A" w14:textId="2436BA3E" w:rsidR="009D40FA" w:rsidRDefault="009D40FA" w:rsidP="000215B1">
      <w:pPr>
        <w:spacing w:line="276" w:lineRule="auto"/>
        <w:rPr>
          <w:rFonts w:ascii="Arial Narrow" w:hAnsi="Arial Narrow" w:cs="Arial"/>
          <w:color w:val="222222"/>
          <w:shd w:val="clear" w:color="auto" w:fill="FFFFFF"/>
        </w:rPr>
      </w:pPr>
      <w:r>
        <w:rPr>
          <w:rFonts w:ascii="Arial Narrow" w:hAnsi="Arial Narrow" w:cs="Arial"/>
          <w:color w:val="222222"/>
          <w:shd w:val="clear" w:color="auto" w:fill="FFFFFF"/>
        </w:rPr>
        <w:t>Thomas</w:t>
      </w:r>
      <w:r w:rsidR="005262A1">
        <w:rPr>
          <w:rFonts w:ascii="Arial Narrow" w:hAnsi="Arial Narrow" w:cs="Arial"/>
          <w:color w:val="222222"/>
          <w:shd w:val="clear" w:color="auto" w:fill="FFFFFF"/>
        </w:rPr>
        <w:t xml:space="preserve">, E. M. (2018) </w:t>
      </w:r>
      <w:proofErr w:type="spellStart"/>
      <w:r w:rsidR="005262A1" w:rsidRPr="005262A1">
        <w:rPr>
          <w:rFonts w:ascii="Arial Narrow" w:hAnsi="Arial Narrow" w:cs="Arial"/>
          <w:i/>
          <w:iCs/>
          <w:color w:val="222222"/>
          <w:shd w:val="clear" w:color="auto" w:fill="FFFFFF"/>
        </w:rPr>
        <w:t>Cynhadledd</w:t>
      </w:r>
      <w:proofErr w:type="spellEnd"/>
      <w:r w:rsidR="005262A1" w:rsidRPr="005262A1">
        <w:rPr>
          <w:rFonts w:ascii="Arial Narrow" w:hAnsi="Arial Narrow" w:cs="Arial"/>
          <w:i/>
          <w:iCs/>
          <w:color w:val="222222"/>
          <w:shd w:val="clear" w:color="auto" w:fill="FFFFFF"/>
        </w:rPr>
        <w:t xml:space="preserve"> </w:t>
      </w:r>
      <w:proofErr w:type="spellStart"/>
      <w:r w:rsidR="005262A1" w:rsidRPr="005262A1">
        <w:rPr>
          <w:rFonts w:ascii="Arial Narrow" w:hAnsi="Arial Narrow" w:cs="Arial"/>
          <w:i/>
          <w:iCs/>
          <w:color w:val="222222"/>
          <w:shd w:val="clear" w:color="auto" w:fill="FFFFFF"/>
        </w:rPr>
        <w:t>Dwyiethrwydd</w:t>
      </w:r>
      <w:proofErr w:type="spellEnd"/>
      <w:r w:rsidR="005262A1" w:rsidRPr="005262A1">
        <w:rPr>
          <w:rFonts w:ascii="Arial Narrow" w:hAnsi="Arial Narrow" w:cs="Arial"/>
          <w:i/>
          <w:iCs/>
          <w:color w:val="222222"/>
          <w:shd w:val="clear" w:color="auto" w:fill="FFFFFF"/>
        </w:rPr>
        <w:t xml:space="preserve"> </w:t>
      </w:r>
      <w:proofErr w:type="spellStart"/>
      <w:r w:rsidR="005262A1" w:rsidRPr="005262A1">
        <w:rPr>
          <w:rFonts w:ascii="Arial Narrow" w:hAnsi="Arial Narrow" w:cs="Arial"/>
          <w:i/>
          <w:iCs/>
          <w:color w:val="222222"/>
          <w:shd w:val="clear" w:color="auto" w:fill="FFFFFF"/>
        </w:rPr>
        <w:t>Tachwedd</w:t>
      </w:r>
      <w:proofErr w:type="spellEnd"/>
      <w:r w:rsidR="005262A1" w:rsidRPr="005262A1">
        <w:rPr>
          <w:rFonts w:ascii="Arial Narrow" w:hAnsi="Arial Narrow" w:cs="Arial"/>
          <w:i/>
          <w:iCs/>
          <w:color w:val="222222"/>
          <w:shd w:val="clear" w:color="auto" w:fill="FFFFFF"/>
        </w:rPr>
        <w:t xml:space="preserve"> 2018 – Bangor.</w:t>
      </w:r>
      <w:r w:rsidR="005262A1">
        <w:rPr>
          <w:rFonts w:ascii="Arial Narrow" w:hAnsi="Arial Narrow" w:cs="Arial"/>
          <w:color w:val="222222"/>
          <w:shd w:val="clear" w:color="auto" w:fill="FFFFFF"/>
        </w:rPr>
        <w:t xml:space="preserve"> [Video]. Available at: </w:t>
      </w:r>
      <w:hyperlink r:id="rId9" w:history="1">
        <w:r w:rsidR="005262A1" w:rsidRPr="009D40FA">
          <w:rPr>
            <w:rStyle w:val="Hyperlink"/>
            <w:rFonts w:ascii="Arial Narrow" w:hAnsi="Arial Narrow" w:cs="Arial"/>
            <w:shd w:val="clear" w:color="auto" w:fill="FFFFFF"/>
          </w:rPr>
          <w:t>https://www.youtube.com/watch?v=9LeGXUkz8LI&amp;t=3970s</w:t>
        </w:r>
      </w:hyperlink>
      <w:r w:rsidR="005262A1">
        <w:rPr>
          <w:rFonts w:ascii="Arial Narrow" w:hAnsi="Arial Narrow" w:cs="Arial"/>
          <w:color w:val="222222"/>
          <w:shd w:val="clear" w:color="auto" w:fill="FFFFFF"/>
        </w:rPr>
        <w:t xml:space="preserve"> (Accessed: 17</w:t>
      </w:r>
      <w:r w:rsidR="005262A1" w:rsidRPr="005262A1">
        <w:rPr>
          <w:rFonts w:ascii="Arial Narrow" w:hAnsi="Arial Narrow" w:cs="Arial"/>
          <w:color w:val="222222"/>
          <w:shd w:val="clear" w:color="auto" w:fill="FFFFFF"/>
          <w:vertAlign w:val="superscript"/>
        </w:rPr>
        <w:t>th</w:t>
      </w:r>
      <w:r w:rsidR="005262A1">
        <w:rPr>
          <w:rFonts w:ascii="Arial Narrow" w:hAnsi="Arial Narrow" w:cs="Arial"/>
          <w:color w:val="222222"/>
          <w:shd w:val="clear" w:color="auto" w:fill="FFFFFF"/>
        </w:rPr>
        <w:t xml:space="preserve"> April 2024).</w:t>
      </w:r>
    </w:p>
    <w:p w14:paraId="25AAD738" w14:textId="77777777" w:rsidR="00151BAF" w:rsidRDefault="00151BAF" w:rsidP="000215B1">
      <w:pPr>
        <w:spacing w:line="276" w:lineRule="auto"/>
        <w:rPr>
          <w:rFonts w:ascii="Arial Narrow" w:hAnsi="Arial Narrow" w:cs="Arial"/>
          <w:color w:val="222222"/>
          <w:shd w:val="clear" w:color="auto" w:fill="FFFFFF"/>
        </w:rPr>
      </w:pPr>
    </w:p>
    <w:p w14:paraId="3103699E" w14:textId="7AD3DE43" w:rsidR="00151BAF" w:rsidRDefault="00151BAF" w:rsidP="000215B1">
      <w:pPr>
        <w:spacing w:line="276" w:lineRule="auto"/>
        <w:rPr>
          <w:rFonts w:ascii="Arial Narrow" w:hAnsi="Arial Narrow" w:cs="Arial"/>
          <w:color w:val="222222"/>
          <w:shd w:val="clear" w:color="auto" w:fill="FFFFFF"/>
        </w:rPr>
      </w:pPr>
      <w:r>
        <w:rPr>
          <w:rFonts w:ascii="Arial Narrow" w:hAnsi="Arial Narrow" w:cs="Arial"/>
          <w:color w:val="222222"/>
          <w:shd w:val="clear" w:color="auto" w:fill="FFFFFF"/>
        </w:rPr>
        <w:t xml:space="preserve">Tortora, S. (2015) </w:t>
      </w:r>
      <w:r w:rsidRPr="00151BAF">
        <w:rPr>
          <w:rFonts w:ascii="Arial Narrow" w:hAnsi="Arial Narrow" w:cs="Arial"/>
          <w:i/>
          <w:iCs/>
          <w:color w:val="222222"/>
          <w:shd w:val="clear" w:color="auto" w:fill="FFFFFF"/>
        </w:rPr>
        <w:t xml:space="preserve">The </w:t>
      </w:r>
      <w:proofErr w:type="spellStart"/>
      <w:r w:rsidRPr="00151BAF">
        <w:rPr>
          <w:rFonts w:ascii="Arial Narrow" w:hAnsi="Arial Narrow" w:cs="Arial"/>
          <w:i/>
          <w:iCs/>
          <w:color w:val="222222"/>
          <w:shd w:val="clear" w:color="auto" w:fill="FFFFFF"/>
        </w:rPr>
        <w:t>Winnicot</w:t>
      </w:r>
      <w:proofErr w:type="spellEnd"/>
      <w:r w:rsidRPr="00151BAF">
        <w:rPr>
          <w:rFonts w:ascii="Arial Narrow" w:hAnsi="Arial Narrow" w:cs="Arial"/>
          <w:i/>
          <w:iCs/>
          <w:color w:val="222222"/>
          <w:shd w:val="clear" w:color="auto" w:fill="FFFFFF"/>
        </w:rPr>
        <w:t xml:space="preserve"> Tradition</w:t>
      </w:r>
      <w:r>
        <w:rPr>
          <w:rFonts w:ascii="Arial Narrow" w:hAnsi="Arial Narrow" w:cs="Arial"/>
          <w:color w:val="222222"/>
          <w:shd w:val="clear" w:color="auto" w:fill="FFFFFF"/>
        </w:rPr>
        <w:t>. Oxford: Routledge.</w:t>
      </w:r>
    </w:p>
    <w:p w14:paraId="7B00D5B8" w14:textId="77777777" w:rsidR="003D2105" w:rsidRDefault="003D2105" w:rsidP="000215B1">
      <w:pPr>
        <w:spacing w:line="276" w:lineRule="auto"/>
        <w:rPr>
          <w:rFonts w:ascii="Arial Narrow" w:hAnsi="Arial Narrow" w:cs="Arial"/>
          <w:color w:val="222222"/>
          <w:shd w:val="clear" w:color="auto" w:fill="FFFFFF"/>
        </w:rPr>
      </w:pPr>
    </w:p>
    <w:p w14:paraId="407DDD09" w14:textId="67285F92" w:rsidR="003D2105" w:rsidRDefault="003D2105" w:rsidP="003D2105">
      <w:pPr>
        <w:spacing w:line="276" w:lineRule="auto"/>
        <w:rPr>
          <w:rFonts w:ascii="Arial Narrow" w:hAnsi="Arial Narrow"/>
        </w:rPr>
      </w:pPr>
      <w:proofErr w:type="spellStart"/>
      <w:r w:rsidRPr="003D2105">
        <w:rPr>
          <w:rFonts w:ascii="Arial Narrow" w:hAnsi="Arial Narrow"/>
          <w:lang w:val="en-US"/>
        </w:rPr>
        <w:t>Treutler</w:t>
      </w:r>
      <w:proofErr w:type="spellEnd"/>
      <w:r w:rsidRPr="003D2105">
        <w:rPr>
          <w:rFonts w:ascii="Arial Narrow" w:hAnsi="Arial Narrow"/>
          <w:lang w:val="en-US"/>
        </w:rPr>
        <w:t xml:space="preserve">, M. and Soros, P. (2021) </w:t>
      </w:r>
      <w:r w:rsidR="009D40FA">
        <w:rPr>
          <w:rFonts w:ascii="Arial Narrow" w:hAnsi="Arial Narrow"/>
          <w:lang w:val="en-US"/>
        </w:rPr>
        <w:t>‘</w:t>
      </w:r>
      <w:r w:rsidRPr="003D2105">
        <w:rPr>
          <w:rFonts w:ascii="Arial Narrow" w:hAnsi="Arial Narrow"/>
        </w:rPr>
        <w:t>Functional MRI of native and non-native speech production in sequential German-English bilinguals</w:t>
      </w:r>
      <w:r w:rsidR="009D40FA">
        <w:rPr>
          <w:rFonts w:ascii="Arial Narrow" w:hAnsi="Arial Narrow"/>
        </w:rPr>
        <w:t xml:space="preserve">’, </w:t>
      </w:r>
      <w:r w:rsidR="009D40FA" w:rsidRPr="009D40FA">
        <w:rPr>
          <w:rFonts w:ascii="Arial Narrow" w:hAnsi="Arial Narrow"/>
          <w:i/>
          <w:iCs/>
        </w:rPr>
        <w:t>Human Neuroscience</w:t>
      </w:r>
      <w:r w:rsidR="009D40FA">
        <w:rPr>
          <w:rFonts w:ascii="Arial Narrow" w:hAnsi="Arial Narrow"/>
        </w:rPr>
        <w:t>, 15, pp. 1-6.</w:t>
      </w:r>
    </w:p>
    <w:p w14:paraId="64315F39" w14:textId="77777777" w:rsidR="00FF4B4A" w:rsidRDefault="00FF4B4A" w:rsidP="003D2105">
      <w:pPr>
        <w:spacing w:line="276" w:lineRule="auto"/>
        <w:rPr>
          <w:rFonts w:ascii="Arial Narrow" w:hAnsi="Arial Narrow"/>
        </w:rPr>
      </w:pPr>
    </w:p>
    <w:p w14:paraId="4337BDF3" w14:textId="7F00B0A0" w:rsidR="003477E4" w:rsidRDefault="00FF4B4A" w:rsidP="003D2105">
      <w:pPr>
        <w:spacing w:line="276" w:lineRule="auto"/>
        <w:rPr>
          <w:rFonts w:ascii="Arial Narrow" w:hAnsi="Arial Narrow"/>
        </w:rPr>
      </w:pPr>
      <w:r>
        <w:rPr>
          <w:rFonts w:ascii="Arial Narrow" w:hAnsi="Arial Narrow"/>
        </w:rPr>
        <w:t>UNICEF (no date)</w:t>
      </w:r>
      <w:r w:rsidR="00101DC2">
        <w:rPr>
          <w:rFonts w:ascii="Arial Narrow" w:hAnsi="Arial Narrow"/>
        </w:rPr>
        <w:t xml:space="preserve"> </w:t>
      </w:r>
      <w:r w:rsidR="00101DC2" w:rsidRPr="00101DC2">
        <w:rPr>
          <w:rFonts w:ascii="Arial Narrow" w:hAnsi="Arial Narrow"/>
          <w:i/>
          <w:iCs/>
        </w:rPr>
        <w:t>Our Rights.</w:t>
      </w:r>
      <w:r w:rsidR="00101DC2">
        <w:rPr>
          <w:rFonts w:ascii="Arial Narrow" w:hAnsi="Arial Narrow"/>
        </w:rPr>
        <w:t xml:space="preserve"> Available at: </w:t>
      </w:r>
      <w:hyperlink r:id="rId10" w:history="1">
        <w:r w:rsidR="00101DC2" w:rsidRPr="00306DD0">
          <w:rPr>
            <w:rStyle w:val="Hyperlink"/>
            <w:rFonts w:ascii="Arial Narrow" w:hAnsi="Arial Narrow"/>
          </w:rPr>
          <w:t>https://www.unicef.org.uk/wp-content/uploads/2017/09/Our-rights_UNCRC.pdf</w:t>
        </w:r>
      </w:hyperlink>
      <w:r w:rsidR="00101DC2">
        <w:rPr>
          <w:rFonts w:ascii="Arial Narrow" w:hAnsi="Arial Narrow"/>
        </w:rPr>
        <w:t xml:space="preserve"> (Accessed: 17</w:t>
      </w:r>
      <w:r w:rsidR="00101DC2" w:rsidRPr="00101DC2">
        <w:rPr>
          <w:rFonts w:ascii="Arial Narrow" w:hAnsi="Arial Narrow"/>
          <w:vertAlign w:val="superscript"/>
        </w:rPr>
        <w:t>th</w:t>
      </w:r>
      <w:r w:rsidR="00101DC2">
        <w:rPr>
          <w:rFonts w:ascii="Arial Narrow" w:hAnsi="Arial Narrow"/>
        </w:rPr>
        <w:t xml:space="preserve"> April 2024).</w:t>
      </w:r>
    </w:p>
    <w:p w14:paraId="65AF98DE" w14:textId="77777777" w:rsidR="002440D6" w:rsidRDefault="002440D6" w:rsidP="003D2105">
      <w:pPr>
        <w:spacing w:line="276" w:lineRule="auto"/>
        <w:rPr>
          <w:rFonts w:ascii="Arial Narrow" w:hAnsi="Arial Narrow"/>
        </w:rPr>
      </w:pPr>
    </w:p>
    <w:p w14:paraId="1C886926" w14:textId="77777777" w:rsidR="002440D6" w:rsidRDefault="002440D6" w:rsidP="002440D6">
      <w:pPr>
        <w:spacing w:line="276" w:lineRule="auto"/>
        <w:rPr>
          <w:rFonts w:ascii="Arial Narrow" w:hAnsi="Arial Narrow"/>
        </w:rPr>
      </w:pPr>
      <w:r w:rsidRPr="002440D6">
        <w:rPr>
          <w:rFonts w:ascii="Arial Narrow" w:hAnsi="Arial Narrow"/>
        </w:rPr>
        <w:t xml:space="preserve">Welsh Government (2014) </w:t>
      </w:r>
      <w:r w:rsidRPr="002440D6">
        <w:rPr>
          <w:rFonts w:ascii="Arial Narrow" w:hAnsi="Arial Narrow"/>
          <w:i/>
          <w:iCs/>
        </w:rPr>
        <w:t>Welsh as an Additional Language Research into the level of need and current support provided to black and minority ethnic pupils with Welsh language support needs</w:t>
      </w:r>
      <w:r>
        <w:rPr>
          <w:rFonts w:ascii="Arial Narrow" w:hAnsi="Arial Narrow"/>
          <w:i/>
          <w:iCs/>
        </w:rPr>
        <w:t xml:space="preserve">. </w:t>
      </w:r>
      <w:r w:rsidRPr="002440D6">
        <w:rPr>
          <w:rFonts w:ascii="Arial Narrow" w:hAnsi="Arial Narrow"/>
        </w:rPr>
        <w:t>Available at</w:t>
      </w:r>
      <w:r>
        <w:rPr>
          <w:rFonts w:ascii="Arial Narrow" w:hAnsi="Arial Narrow"/>
          <w:i/>
          <w:iCs/>
        </w:rPr>
        <w:t xml:space="preserve">: </w:t>
      </w:r>
      <w:hyperlink r:id="rId11" w:history="1">
        <w:r w:rsidRPr="002440D6">
          <w:rPr>
            <w:rStyle w:val="Hyperlink"/>
            <w:rFonts w:ascii="Arial Narrow" w:hAnsi="Arial Narrow"/>
          </w:rPr>
          <w:t>https://gov.wales/sites/default/files/statistics-and-research/2019-07/140430-welsh-additional-language-en.pdf</w:t>
        </w:r>
      </w:hyperlink>
      <w:r w:rsidRPr="002440D6">
        <w:rPr>
          <w:rFonts w:ascii="Arial Narrow" w:hAnsi="Arial Narrow"/>
        </w:rPr>
        <w:t xml:space="preserve"> </w:t>
      </w:r>
      <w:r>
        <w:rPr>
          <w:rFonts w:ascii="Arial Narrow" w:hAnsi="Arial Narrow"/>
        </w:rPr>
        <w:t>(Accessed: 18</w:t>
      </w:r>
      <w:r w:rsidRPr="002440D6">
        <w:rPr>
          <w:rFonts w:ascii="Arial Narrow" w:hAnsi="Arial Narrow"/>
          <w:vertAlign w:val="superscript"/>
        </w:rPr>
        <w:t>th</w:t>
      </w:r>
      <w:r>
        <w:rPr>
          <w:rFonts w:ascii="Arial Narrow" w:hAnsi="Arial Narrow"/>
        </w:rPr>
        <w:t xml:space="preserve"> April 2024).</w:t>
      </w:r>
    </w:p>
    <w:p w14:paraId="42A99688" w14:textId="77777777" w:rsidR="002440D6" w:rsidRPr="002440D6" w:rsidRDefault="002440D6" w:rsidP="002440D6">
      <w:pPr>
        <w:spacing w:line="276" w:lineRule="auto"/>
        <w:rPr>
          <w:rFonts w:ascii="Arial Narrow" w:hAnsi="Arial Narrow"/>
        </w:rPr>
      </w:pPr>
    </w:p>
    <w:p w14:paraId="38368AE1" w14:textId="77777777" w:rsidR="002440D6" w:rsidRDefault="002440D6" w:rsidP="003D2105">
      <w:pPr>
        <w:spacing w:line="276" w:lineRule="auto"/>
        <w:rPr>
          <w:rFonts w:ascii="Arial Narrow" w:hAnsi="Arial Narrow"/>
        </w:rPr>
      </w:pPr>
      <w:r>
        <w:rPr>
          <w:rFonts w:ascii="Arial Narrow" w:hAnsi="Arial Narrow"/>
        </w:rPr>
        <w:t xml:space="preserve">Welsh Government (2022) </w:t>
      </w:r>
      <w:r w:rsidRPr="00417AD8">
        <w:rPr>
          <w:rFonts w:ascii="Arial Narrow" w:hAnsi="Arial Narrow"/>
          <w:i/>
          <w:iCs/>
        </w:rPr>
        <w:t>Guidance on school categories according to Welsh-medium provision.</w:t>
      </w:r>
      <w:r>
        <w:rPr>
          <w:rFonts w:ascii="Arial Narrow" w:hAnsi="Arial Narrow"/>
        </w:rPr>
        <w:t xml:space="preserve"> Available at: </w:t>
      </w:r>
      <w:hyperlink r:id="rId12" w:history="1">
        <w:r w:rsidRPr="00306DD0">
          <w:rPr>
            <w:rStyle w:val="Hyperlink"/>
            <w:rFonts w:ascii="Arial Narrow" w:hAnsi="Arial Narrow"/>
          </w:rPr>
          <w:t>https://www.gov.wales/sites/default/files/publications/2021-12/guidance-on-school-categories-according-to-welsh-medium-provision.pdf</w:t>
        </w:r>
      </w:hyperlink>
      <w:r>
        <w:rPr>
          <w:rFonts w:ascii="Arial Narrow" w:hAnsi="Arial Narrow"/>
        </w:rPr>
        <w:t xml:space="preserve"> (Accessed: 17</w:t>
      </w:r>
      <w:r w:rsidRPr="00417AD8">
        <w:rPr>
          <w:rFonts w:ascii="Arial Narrow" w:hAnsi="Arial Narrow"/>
          <w:vertAlign w:val="superscript"/>
        </w:rPr>
        <w:t>th</w:t>
      </w:r>
      <w:r>
        <w:rPr>
          <w:rFonts w:ascii="Arial Narrow" w:hAnsi="Arial Narrow"/>
        </w:rPr>
        <w:t xml:space="preserve"> April 2024).</w:t>
      </w:r>
    </w:p>
    <w:p w14:paraId="2A553C24" w14:textId="77777777" w:rsidR="00EA1DA7" w:rsidRPr="00641BFB" w:rsidRDefault="00EA1DA7" w:rsidP="00D41908">
      <w:pPr>
        <w:spacing w:line="360" w:lineRule="auto"/>
        <w:rPr>
          <w:rFonts w:ascii="Arial Narrow" w:hAnsi="Arial Narrow"/>
        </w:rPr>
      </w:pPr>
    </w:p>
    <w:p w14:paraId="45C4325C" w14:textId="4DEDE4FD" w:rsidR="00641BFB" w:rsidRDefault="00641BFB" w:rsidP="00D41908">
      <w:pPr>
        <w:spacing w:line="360" w:lineRule="auto"/>
        <w:rPr>
          <w:rFonts w:ascii="Arial Narrow" w:hAnsi="Arial Narrow"/>
        </w:rPr>
      </w:pPr>
      <w:proofErr w:type="spellStart"/>
      <w:r w:rsidRPr="00641BFB">
        <w:rPr>
          <w:rFonts w:ascii="Arial Narrow" w:hAnsi="Arial Narrow"/>
        </w:rPr>
        <w:t>Yildiz</w:t>
      </w:r>
      <w:proofErr w:type="spellEnd"/>
      <w:r w:rsidRPr="00641BFB">
        <w:rPr>
          <w:rFonts w:ascii="Arial Narrow" w:hAnsi="Arial Narrow"/>
        </w:rPr>
        <w:t>, Y. (2012)</w:t>
      </w:r>
      <w:r>
        <w:rPr>
          <w:rFonts w:ascii="Arial Narrow" w:hAnsi="Arial Narrow"/>
        </w:rPr>
        <w:t xml:space="preserve"> </w:t>
      </w:r>
      <w:r w:rsidRPr="00641BFB">
        <w:rPr>
          <w:rFonts w:ascii="Arial Narrow" w:hAnsi="Arial Narrow"/>
          <w:i/>
          <w:iCs/>
        </w:rPr>
        <w:t xml:space="preserve">Beyond the Mother Tongue: The </w:t>
      </w:r>
      <w:proofErr w:type="spellStart"/>
      <w:r w:rsidRPr="00641BFB">
        <w:rPr>
          <w:rFonts w:ascii="Arial Narrow" w:hAnsi="Arial Narrow"/>
          <w:i/>
          <w:iCs/>
        </w:rPr>
        <w:t>Postmonolingual</w:t>
      </w:r>
      <w:proofErr w:type="spellEnd"/>
      <w:r w:rsidRPr="00641BFB">
        <w:rPr>
          <w:rFonts w:ascii="Arial Narrow" w:hAnsi="Arial Narrow"/>
          <w:i/>
          <w:iCs/>
        </w:rPr>
        <w:t xml:space="preserve"> Condition</w:t>
      </w:r>
      <w:r>
        <w:rPr>
          <w:rFonts w:ascii="Arial Narrow" w:hAnsi="Arial Narrow"/>
          <w:i/>
          <w:iCs/>
        </w:rPr>
        <w:t xml:space="preserve">. </w:t>
      </w:r>
      <w:r>
        <w:rPr>
          <w:rFonts w:ascii="Arial Narrow" w:hAnsi="Arial Narrow"/>
        </w:rPr>
        <w:t>New York: Fordham University Press.</w:t>
      </w:r>
    </w:p>
    <w:p w14:paraId="5B08AC08" w14:textId="3CB0F836" w:rsidR="00417AD8" w:rsidRDefault="00417AD8" w:rsidP="00D41908">
      <w:pPr>
        <w:spacing w:line="360" w:lineRule="auto"/>
        <w:rPr>
          <w:rFonts w:ascii="Arial Narrow" w:hAnsi="Arial Narrow"/>
        </w:rPr>
      </w:pPr>
    </w:p>
    <w:p w14:paraId="61D5B2D5" w14:textId="37528B3B" w:rsidR="00417AD8" w:rsidRPr="00641BFB" w:rsidRDefault="00417AD8" w:rsidP="00D41908">
      <w:pPr>
        <w:spacing w:line="360" w:lineRule="auto"/>
        <w:rPr>
          <w:rFonts w:ascii="Arial Narrow" w:hAnsi="Arial Narrow"/>
        </w:rPr>
      </w:pPr>
      <w:r>
        <w:rPr>
          <w:rFonts w:ascii="Arial Narrow" w:hAnsi="Arial Narrow"/>
        </w:rPr>
        <w:t xml:space="preserve">Zuckerman, G. (2014) ‘Child-Adult Interaction That Creates a Zone of Proximal Development’, </w:t>
      </w:r>
      <w:r w:rsidRPr="00417AD8">
        <w:rPr>
          <w:rFonts w:ascii="Arial Narrow" w:hAnsi="Arial Narrow"/>
          <w:i/>
          <w:iCs/>
        </w:rPr>
        <w:t>Journal of Russian &amp; East European Psychology</w:t>
      </w:r>
      <w:r>
        <w:rPr>
          <w:rFonts w:ascii="Arial Narrow" w:hAnsi="Arial Narrow"/>
        </w:rPr>
        <w:t>, 45(3), pp. 43-69.</w:t>
      </w:r>
    </w:p>
    <w:sectPr w:rsidR="00417AD8" w:rsidRPr="00641BFB" w:rsidSect="004759E4">
      <w:headerReference w:type="default" r:id="rId13"/>
      <w:head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4BFA5" w14:textId="77777777" w:rsidR="004759E4" w:rsidRDefault="004759E4" w:rsidP="00D41908">
      <w:r>
        <w:separator/>
      </w:r>
    </w:p>
  </w:endnote>
  <w:endnote w:type="continuationSeparator" w:id="0">
    <w:p w14:paraId="196E72E1" w14:textId="77777777" w:rsidR="004759E4" w:rsidRDefault="004759E4" w:rsidP="00D419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F417C" w14:textId="77777777" w:rsidR="004759E4" w:rsidRDefault="004759E4" w:rsidP="00D41908">
      <w:r>
        <w:separator/>
      </w:r>
    </w:p>
  </w:footnote>
  <w:footnote w:type="continuationSeparator" w:id="0">
    <w:p w14:paraId="16AD74C0" w14:textId="77777777" w:rsidR="004759E4" w:rsidRDefault="004759E4" w:rsidP="00D419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6B1FD" w14:textId="41E0C632" w:rsidR="009F2397" w:rsidRPr="009F2397" w:rsidRDefault="009F2397" w:rsidP="009F2397">
    <w:pPr>
      <w:pStyle w:val="Header"/>
      <w:spacing w:line="276" w:lineRule="auto"/>
      <w:rPr>
        <w:rFonts w:ascii="Arial Narrow" w:hAnsi="Arial Narrow"/>
        <w:sz w:val="16"/>
        <w:szCs w:val="16"/>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0325F" w14:textId="77777777" w:rsidR="008E0DA0" w:rsidRPr="009F2397" w:rsidRDefault="008E0DA0" w:rsidP="008E0DA0">
    <w:pPr>
      <w:pStyle w:val="Header"/>
      <w:spacing w:line="276" w:lineRule="auto"/>
      <w:rPr>
        <w:rFonts w:ascii="Arial Narrow" w:hAnsi="Arial Narrow"/>
        <w:sz w:val="16"/>
        <w:szCs w:val="16"/>
      </w:rPr>
    </w:pPr>
    <w:r w:rsidRPr="009F2397">
      <w:rPr>
        <w:rFonts w:ascii="Arial Narrow" w:hAnsi="Arial Narrow"/>
        <w:sz w:val="16"/>
        <w:szCs w:val="16"/>
      </w:rPr>
      <w:t>Mia Louise Wiles</w:t>
    </w:r>
  </w:p>
  <w:p w14:paraId="593947EB" w14:textId="77777777" w:rsidR="008E0DA0" w:rsidRPr="009F2397" w:rsidRDefault="008E0DA0" w:rsidP="008E0DA0">
    <w:pPr>
      <w:pStyle w:val="Header"/>
      <w:spacing w:line="276" w:lineRule="auto"/>
      <w:rPr>
        <w:rFonts w:ascii="Arial Narrow" w:hAnsi="Arial Narrow"/>
        <w:sz w:val="16"/>
        <w:szCs w:val="16"/>
      </w:rPr>
    </w:pPr>
    <w:r w:rsidRPr="009F2397">
      <w:rPr>
        <w:rFonts w:ascii="Arial Narrow" w:hAnsi="Arial Narrow"/>
        <w:sz w:val="16"/>
        <w:szCs w:val="16"/>
      </w:rPr>
      <w:t>2306399</w:t>
    </w:r>
  </w:p>
  <w:p w14:paraId="0588E14F" w14:textId="77777777" w:rsidR="008E0DA0" w:rsidRPr="009F2397" w:rsidRDefault="008E0DA0" w:rsidP="008E0DA0">
    <w:pPr>
      <w:pStyle w:val="Header"/>
      <w:spacing w:line="276" w:lineRule="auto"/>
      <w:rPr>
        <w:rFonts w:ascii="Arial Narrow" w:hAnsi="Arial Narrow"/>
        <w:sz w:val="16"/>
        <w:szCs w:val="16"/>
      </w:rPr>
    </w:pPr>
    <w:r w:rsidRPr="009F2397">
      <w:rPr>
        <w:rFonts w:ascii="Arial Narrow" w:hAnsi="Arial Narrow"/>
        <w:sz w:val="16"/>
        <w:szCs w:val="16"/>
      </w:rPr>
      <w:t>ECEY4004</w:t>
    </w:r>
  </w:p>
  <w:p w14:paraId="6F384C7E" w14:textId="77777777" w:rsidR="008E0DA0" w:rsidRPr="009F2397" w:rsidRDefault="008E0DA0" w:rsidP="008E0DA0">
    <w:pPr>
      <w:pStyle w:val="Header"/>
      <w:spacing w:line="276" w:lineRule="auto"/>
      <w:rPr>
        <w:rFonts w:ascii="Arial Narrow" w:hAnsi="Arial Narrow"/>
        <w:sz w:val="16"/>
        <w:szCs w:val="16"/>
      </w:rPr>
    </w:pPr>
    <w:r w:rsidRPr="009F2397">
      <w:rPr>
        <w:rFonts w:ascii="Arial Narrow" w:hAnsi="Arial Narrow"/>
        <w:sz w:val="16"/>
        <w:szCs w:val="16"/>
      </w:rPr>
      <w:t>Word count:</w:t>
    </w:r>
  </w:p>
  <w:p w14:paraId="3E996C8A" w14:textId="77777777" w:rsidR="008E0DA0" w:rsidRDefault="008E0D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E86"/>
    <w:rsid w:val="000215B1"/>
    <w:rsid w:val="0005466B"/>
    <w:rsid w:val="000F2546"/>
    <w:rsid w:val="00101DC2"/>
    <w:rsid w:val="00126CBD"/>
    <w:rsid w:val="001455F3"/>
    <w:rsid w:val="00150633"/>
    <w:rsid w:val="00151BAF"/>
    <w:rsid w:val="001755BA"/>
    <w:rsid w:val="001B1AA9"/>
    <w:rsid w:val="001C2F77"/>
    <w:rsid w:val="001C43B5"/>
    <w:rsid w:val="001D7376"/>
    <w:rsid w:val="001E10A9"/>
    <w:rsid w:val="001E120C"/>
    <w:rsid w:val="00217E86"/>
    <w:rsid w:val="002440D6"/>
    <w:rsid w:val="002711B6"/>
    <w:rsid w:val="002934D4"/>
    <w:rsid w:val="002F55FA"/>
    <w:rsid w:val="00310C8C"/>
    <w:rsid w:val="003477E4"/>
    <w:rsid w:val="003D2105"/>
    <w:rsid w:val="003E7DD4"/>
    <w:rsid w:val="003E7F27"/>
    <w:rsid w:val="004053CA"/>
    <w:rsid w:val="00414137"/>
    <w:rsid w:val="00417AD8"/>
    <w:rsid w:val="004759E4"/>
    <w:rsid w:val="00493C77"/>
    <w:rsid w:val="004A10AC"/>
    <w:rsid w:val="004B14C3"/>
    <w:rsid w:val="004C66B7"/>
    <w:rsid w:val="004D34CD"/>
    <w:rsid w:val="004D72EA"/>
    <w:rsid w:val="00516BD8"/>
    <w:rsid w:val="005262A1"/>
    <w:rsid w:val="0055705C"/>
    <w:rsid w:val="006316FF"/>
    <w:rsid w:val="00641BFB"/>
    <w:rsid w:val="00737ABC"/>
    <w:rsid w:val="00742814"/>
    <w:rsid w:val="00796FE9"/>
    <w:rsid w:val="00803572"/>
    <w:rsid w:val="008E0DA0"/>
    <w:rsid w:val="00941817"/>
    <w:rsid w:val="009B1F81"/>
    <w:rsid w:val="009B7429"/>
    <w:rsid w:val="009D40FA"/>
    <w:rsid w:val="009E52BB"/>
    <w:rsid w:val="009F2397"/>
    <w:rsid w:val="00A74A47"/>
    <w:rsid w:val="00AE0817"/>
    <w:rsid w:val="00AF33CD"/>
    <w:rsid w:val="00B01B02"/>
    <w:rsid w:val="00B124B9"/>
    <w:rsid w:val="00B31B47"/>
    <w:rsid w:val="00B405C3"/>
    <w:rsid w:val="00B50FBC"/>
    <w:rsid w:val="00B6470A"/>
    <w:rsid w:val="00B72B62"/>
    <w:rsid w:val="00B96455"/>
    <w:rsid w:val="00BA637D"/>
    <w:rsid w:val="00BE2962"/>
    <w:rsid w:val="00C9722C"/>
    <w:rsid w:val="00D0200F"/>
    <w:rsid w:val="00D237A4"/>
    <w:rsid w:val="00D41908"/>
    <w:rsid w:val="00DB534F"/>
    <w:rsid w:val="00DE3D71"/>
    <w:rsid w:val="00E13A91"/>
    <w:rsid w:val="00EA1DA7"/>
    <w:rsid w:val="00EC1F07"/>
    <w:rsid w:val="00EE0DDE"/>
    <w:rsid w:val="00F3448C"/>
    <w:rsid w:val="00F62A03"/>
    <w:rsid w:val="00FE6F73"/>
    <w:rsid w:val="00FF4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F3168C"/>
  <w15:chartTrackingRefBased/>
  <w15:docId w15:val="{96F9252B-F419-2741-8ED5-A8690A4FD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F07"/>
    <w:rPr>
      <w:rFonts w:ascii="Times New Roman" w:hAnsi="Times New Roman"/>
      <w:kern w:val="0"/>
      <w:lang w:eastAsia="zh-CN"/>
      <w14:ligatures w14:val="none"/>
    </w:rPr>
  </w:style>
  <w:style w:type="paragraph" w:styleId="Heading1">
    <w:name w:val="heading 1"/>
    <w:basedOn w:val="Normal"/>
    <w:next w:val="Normal"/>
    <w:link w:val="Heading1Char"/>
    <w:uiPriority w:val="9"/>
    <w:qFormat/>
    <w:rsid w:val="00217E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7E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7E8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E8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17E8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17E86"/>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17E86"/>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17E86"/>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17E86"/>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C43B5"/>
    <w:rPr>
      <w:i/>
      <w:iCs/>
    </w:rPr>
  </w:style>
  <w:style w:type="paragraph" w:styleId="NoSpacing">
    <w:name w:val="No Spacing"/>
    <w:uiPriority w:val="1"/>
    <w:qFormat/>
    <w:rsid w:val="001C43B5"/>
    <w:rPr>
      <w:rFonts w:ascii="Times New Roman" w:eastAsia="Times New Roman" w:hAnsi="Times New Roman" w:cs="Times New Roman"/>
      <w:kern w:val="0"/>
      <w:lang w:eastAsia="zh-CN"/>
      <w14:ligatures w14:val="none"/>
    </w:rPr>
  </w:style>
  <w:style w:type="paragraph" w:styleId="ListParagraph">
    <w:name w:val="List Paragraph"/>
    <w:basedOn w:val="Normal"/>
    <w:uiPriority w:val="34"/>
    <w:qFormat/>
    <w:rsid w:val="001C43B5"/>
    <w:pPr>
      <w:ind w:left="720"/>
      <w:contextualSpacing/>
    </w:pPr>
    <w:rPr>
      <w:rFonts w:eastAsia="Times New Roman" w:cs="Times New Roman"/>
      <w:lang w:eastAsia="en-GB"/>
    </w:rPr>
  </w:style>
  <w:style w:type="character" w:customStyle="1" w:styleId="Heading1Char">
    <w:name w:val="Heading 1 Char"/>
    <w:basedOn w:val="DefaultParagraphFont"/>
    <w:link w:val="Heading1"/>
    <w:uiPriority w:val="9"/>
    <w:rsid w:val="00217E86"/>
    <w:rPr>
      <w:rFonts w:asciiTheme="majorHAnsi" w:eastAsiaTheme="majorEastAsia" w:hAnsiTheme="majorHAnsi" w:cstheme="majorBidi"/>
      <w:color w:val="0F4761" w:themeColor="accent1" w:themeShade="BF"/>
      <w:kern w:val="0"/>
      <w:sz w:val="40"/>
      <w:szCs w:val="40"/>
      <w:lang w:eastAsia="zh-CN"/>
      <w14:ligatures w14:val="none"/>
    </w:rPr>
  </w:style>
  <w:style w:type="character" w:customStyle="1" w:styleId="Heading2Char">
    <w:name w:val="Heading 2 Char"/>
    <w:basedOn w:val="DefaultParagraphFont"/>
    <w:link w:val="Heading2"/>
    <w:uiPriority w:val="9"/>
    <w:semiHidden/>
    <w:rsid w:val="00217E86"/>
    <w:rPr>
      <w:rFonts w:asciiTheme="majorHAnsi" w:eastAsiaTheme="majorEastAsia" w:hAnsiTheme="majorHAnsi" w:cstheme="majorBidi"/>
      <w:color w:val="0F4761" w:themeColor="accent1" w:themeShade="BF"/>
      <w:kern w:val="0"/>
      <w:sz w:val="32"/>
      <w:szCs w:val="32"/>
      <w:lang w:eastAsia="zh-CN"/>
      <w14:ligatures w14:val="none"/>
    </w:rPr>
  </w:style>
  <w:style w:type="character" w:customStyle="1" w:styleId="Heading3Char">
    <w:name w:val="Heading 3 Char"/>
    <w:basedOn w:val="DefaultParagraphFont"/>
    <w:link w:val="Heading3"/>
    <w:uiPriority w:val="9"/>
    <w:semiHidden/>
    <w:rsid w:val="00217E86"/>
    <w:rPr>
      <w:rFonts w:eastAsiaTheme="majorEastAsia" w:cstheme="majorBidi"/>
      <w:color w:val="0F4761" w:themeColor="accent1" w:themeShade="BF"/>
      <w:kern w:val="0"/>
      <w:sz w:val="28"/>
      <w:szCs w:val="28"/>
      <w:lang w:eastAsia="zh-CN"/>
      <w14:ligatures w14:val="none"/>
    </w:rPr>
  </w:style>
  <w:style w:type="character" w:customStyle="1" w:styleId="Heading4Char">
    <w:name w:val="Heading 4 Char"/>
    <w:basedOn w:val="DefaultParagraphFont"/>
    <w:link w:val="Heading4"/>
    <w:uiPriority w:val="9"/>
    <w:semiHidden/>
    <w:rsid w:val="00217E86"/>
    <w:rPr>
      <w:rFonts w:eastAsiaTheme="majorEastAsia" w:cstheme="majorBidi"/>
      <w:i/>
      <w:iCs/>
      <w:color w:val="0F4761" w:themeColor="accent1" w:themeShade="BF"/>
      <w:kern w:val="0"/>
      <w:lang w:eastAsia="zh-CN"/>
      <w14:ligatures w14:val="none"/>
    </w:rPr>
  </w:style>
  <w:style w:type="character" w:customStyle="1" w:styleId="Heading5Char">
    <w:name w:val="Heading 5 Char"/>
    <w:basedOn w:val="DefaultParagraphFont"/>
    <w:link w:val="Heading5"/>
    <w:uiPriority w:val="9"/>
    <w:semiHidden/>
    <w:rsid w:val="00217E86"/>
    <w:rPr>
      <w:rFonts w:eastAsiaTheme="majorEastAsia" w:cstheme="majorBidi"/>
      <w:color w:val="0F4761" w:themeColor="accent1" w:themeShade="BF"/>
      <w:kern w:val="0"/>
      <w:lang w:eastAsia="zh-CN"/>
      <w14:ligatures w14:val="none"/>
    </w:rPr>
  </w:style>
  <w:style w:type="character" w:customStyle="1" w:styleId="Heading6Char">
    <w:name w:val="Heading 6 Char"/>
    <w:basedOn w:val="DefaultParagraphFont"/>
    <w:link w:val="Heading6"/>
    <w:uiPriority w:val="9"/>
    <w:semiHidden/>
    <w:rsid w:val="00217E86"/>
    <w:rPr>
      <w:rFonts w:eastAsiaTheme="majorEastAsia" w:cstheme="majorBidi"/>
      <w:i/>
      <w:iCs/>
      <w:color w:val="595959" w:themeColor="text1" w:themeTint="A6"/>
      <w:kern w:val="0"/>
      <w:lang w:eastAsia="zh-CN"/>
      <w14:ligatures w14:val="none"/>
    </w:rPr>
  </w:style>
  <w:style w:type="character" w:customStyle="1" w:styleId="Heading7Char">
    <w:name w:val="Heading 7 Char"/>
    <w:basedOn w:val="DefaultParagraphFont"/>
    <w:link w:val="Heading7"/>
    <w:uiPriority w:val="9"/>
    <w:semiHidden/>
    <w:rsid w:val="00217E86"/>
    <w:rPr>
      <w:rFonts w:eastAsiaTheme="majorEastAsia" w:cstheme="majorBidi"/>
      <w:color w:val="595959" w:themeColor="text1" w:themeTint="A6"/>
      <w:kern w:val="0"/>
      <w:lang w:eastAsia="zh-CN"/>
      <w14:ligatures w14:val="none"/>
    </w:rPr>
  </w:style>
  <w:style w:type="character" w:customStyle="1" w:styleId="Heading8Char">
    <w:name w:val="Heading 8 Char"/>
    <w:basedOn w:val="DefaultParagraphFont"/>
    <w:link w:val="Heading8"/>
    <w:uiPriority w:val="9"/>
    <w:semiHidden/>
    <w:rsid w:val="00217E86"/>
    <w:rPr>
      <w:rFonts w:eastAsiaTheme="majorEastAsia" w:cstheme="majorBidi"/>
      <w:i/>
      <w:iCs/>
      <w:color w:val="272727" w:themeColor="text1" w:themeTint="D8"/>
      <w:kern w:val="0"/>
      <w:lang w:eastAsia="zh-CN"/>
      <w14:ligatures w14:val="none"/>
    </w:rPr>
  </w:style>
  <w:style w:type="character" w:customStyle="1" w:styleId="Heading9Char">
    <w:name w:val="Heading 9 Char"/>
    <w:basedOn w:val="DefaultParagraphFont"/>
    <w:link w:val="Heading9"/>
    <w:uiPriority w:val="9"/>
    <w:semiHidden/>
    <w:rsid w:val="00217E86"/>
    <w:rPr>
      <w:rFonts w:eastAsiaTheme="majorEastAsia" w:cstheme="majorBidi"/>
      <w:color w:val="272727" w:themeColor="text1" w:themeTint="D8"/>
      <w:kern w:val="0"/>
      <w:lang w:eastAsia="zh-CN"/>
      <w14:ligatures w14:val="none"/>
    </w:rPr>
  </w:style>
  <w:style w:type="paragraph" w:styleId="Title">
    <w:name w:val="Title"/>
    <w:basedOn w:val="Normal"/>
    <w:next w:val="Normal"/>
    <w:link w:val="TitleChar"/>
    <w:uiPriority w:val="10"/>
    <w:qFormat/>
    <w:rsid w:val="00217E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E86"/>
    <w:rPr>
      <w:rFonts w:asciiTheme="majorHAnsi" w:eastAsiaTheme="majorEastAsia" w:hAnsiTheme="majorHAnsi" w:cstheme="majorBidi"/>
      <w:spacing w:val="-10"/>
      <w:kern w:val="28"/>
      <w:sz w:val="56"/>
      <w:szCs w:val="56"/>
      <w:lang w:eastAsia="zh-CN"/>
      <w14:ligatures w14:val="none"/>
    </w:rPr>
  </w:style>
  <w:style w:type="paragraph" w:styleId="Subtitle">
    <w:name w:val="Subtitle"/>
    <w:basedOn w:val="Normal"/>
    <w:next w:val="Normal"/>
    <w:link w:val="SubtitleChar"/>
    <w:uiPriority w:val="11"/>
    <w:qFormat/>
    <w:rsid w:val="00217E86"/>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7E86"/>
    <w:rPr>
      <w:rFonts w:eastAsiaTheme="majorEastAsia" w:cstheme="majorBidi"/>
      <w:color w:val="595959" w:themeColor="text1" w:themeTint="A6"/>
      <w:spacing w:val="15"/>
      <w:kern w:val="0"/>
      <w:sz w:val="28"/>
      <w:szCs w:val="28"/>
      <w:lang w:eastAsia="zh-CN"/>
      <w14:ligatures w14:val="none"/>
    </w:rPr>
  </w:style>
  <w:style w:type="paragraph" w:styleId="Quote">
    <w:name w:val="Quote"/>
    <w:basedOn w:val="Normal"/>
    <w:next w:val="Normal"/>
    <w:link w:val="QuoteChar"/>
    <w:uiPriority w:val="29"/>
    <w:qFormat/>
    <w:rsid w:val="00217E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17E86"/>
    <w:rPr>
      <w:rFonts w:ascii="Times New Roman" w:hAnsi="Times New Roman"/>
      <w:i/>
      <w:iCs/>
      <w:color w:val="404040" w:themeColor="text1" w:themeTint="BF"/>
      <w:kern w:val="0"/>
      <w:lang w:eastAsia="zh-CN"/>
      <w14:ligatures w14:val="none"/>
    </w:rPr>
  </w:style>
  <w:style w:type="character" w:styleId="IntenseEmphasis">
    <w:name w:val="Intense Emphasis"/>
    <w:basedOn w:val="DefaultParagraphFont"/>
    <w:uiPriority w:val="21"/>
    <w:qFormat/>
    <w:rsid w:val="00217E86"/>
    <w:rPr>
      <w:i/>
      <w:iCs/>
      <w:color w:val="0F4761" w:themeColor="accent1" w:themeShade="BF"/>
    </w:rPr>
  </w:style>
  <w:style w:type="paragraph" w:styleId="IntenseQuote">
    <w:name w:val="Intense Quote"/>
    <w:basedOn w:val="Normal"/>
    <w:next w:val="Normal"/>
    <w:link w:val="IntenseQuoteChar"/>
    <w:uiPriority w:val="30"/>
    <w:qFormat/>
    <w:rsid w:val="00217E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7E86"/>
    <w:rPr>
      <w:rFonts w:ascii="Times New Roman" w:hAnsi="Times New Roman"/>
      <w:i/>
      <w:iCs/>
      <w:color w:val="0F4761" w:themeColor="accent1" w:themeShade="BF"/>
      <w:kern w:val="0"/>
      <w:lang w:eastAsia="zh-CN"/>
      <w14:ligatures w14:val="none"/>
    </w:rPr>
  </w:style>
  <w:style w:type="character" w:styleId="IntenseReference">
    <w:name w:val="Intense Reference"/>
    <w:basedOn w:val="DefaultParagraphFont"/>
    <w:uiPriority w:val="32"/>
    <w:qFormat/>
    <w:rsid w:val="00217E86"/>
    <w:rPr>
      <w:b/>
      <w:bCs/>
      <w:smallCaps/>
      <w:color w:val="0F4761" w:themeColor="accent1" w:themeShade="BF"/>
      <w:spacing w:val="5"/>
    </w:rPr>
  </w:style>
  <w:style w:type="paragraph" w:styleId="Header">
    <w:name w:val="header"/>
    <w:basedOn w:val="Normal"/>
    <w:link w:val="HeaderChar"/>
    <w:uiPriority w:val="99"/>
    <w:unhideWhenUsed/>
    <w:rsid w:val="00D41908"/>
    <w:pPr>
      <w:tabs>
        <w:tab w:val="center" w:pos="4513"/>
        <w:tab w:val="right" w:pos="9026"/>
      </w:tabs>
    </w:pPr>
  </w:style>
  <w:style w:type="character" w:customStyle="1" w:styleId="HeaderChar">
    <w:name w:val="Header Char"/>
    <w:basedOn w:val="DefaultParagraphFont"/>
    <w:link w:val="Header"/>
    <w:uiPriority w:val="99"/>
    <w:rsid w:val="00D41908"/>
    <w:rPr>
      <w:rFonts w:ascii="Times New Roman" w:hAnsi="Times New Roman"/>
      <w:kern w:val="0"/>
      <w:lang w:eastAsia="zh-CN"/>
      <w14:ligatures w14:val="none"/>
    </w:rPr>
  </w:style>
  <w:style w:type="paragraph" w:styleId="Footer">
    <w:name w:val="footer"/>
    <w:basedOn w:val="Normal"/>
    <w:link w:val="FooterChar"/>
    <w:uiPriority w:val="99"/>
    <w:unhideWhenUsed/>
    <w:rsid w:val="00D41908"/>
    <w:pPr>
      <w:tabs>
        <w:tab w:val="center" w:pos="4513"/>
        <w:tab w:val="right" w:pos="9026"/>
      </w:tabs>
    </w:pPr>
  </w:style>
  <w:style w:type="character" w:customStyle="1" w:styleId="FooterChar">
    <w:name w:val="Footer Char"/>
    <w:basedOn w:val="DefaultParagraphFont"/>
    <w:link w:val="Footer"/>
    <w:uiPriority w:val="99"/>
    <w:rsid w:val="00D41908"/>
    <w:rPr>
      <w:rFonts w:ascii="Times New Roman" w:hAnsi="Times New Roman"/>
      <w:kern w:val="0"/>
      <w:lang w:eastAsia="zh-CN"/>
      <w14:ligatures w14:val="none"/>
    </w:rPr>
  </w:style>
  <w:style w:type="character" w:customStyle="1" w:styleId="apple-converted-space">
    <w:name w:val="apple-converted-space"/>
    <w:basedOn w:val="DefaultParagraphFont"/>
    <w:rsid w:val="00D41908"/>
  </w:style>
  <w:style w:type="character" w:styleId="Hyperlink">
    <w:name w:val="Hyperlink"/>
    <w:basedOn w:val="DefaultParagraphFont"/>
    <w:uiPriority w:val="99"/>
    <w:unhideWhenUsed/>
    <w:rsid w:val="00EA1DA7"/>
    <w:rPr>
      <w:color w:val="467886" w:themeColor="hyperlink"/>
      <w:u w:val="single"/>
    </w:rPr>
  </w:style>
  <w:style w:type="character" w:styleId="UnresolvedMention">
    <w:name w:val="Unresolved Mention"/>
    <w:basedOn w:val="DefaultParagraphFont"/>
    <w:uiPriority w:val="99"/>
    <w:semiHidden/>
    <w:unhideWhenUsed/>
    <w:rsid w:val="00EA1DA7"/>
    <w:rPr>
      <w:color w:val="605E5C"/>
      <w:shd w:val="clear" w:color="auto" w:fill="E1DFDD"/>
    </w:rPr>
  </w:style>
  <w:style w:type="character" w:styleId="FollowedHyperlink">
    <w:name w:val="FollowedHyperlink"/>
    <w:basedOn w:val="DefaultParagraphFont"/>
    <w:uiPriority w:val="99"/>
    <w:semiHidden/>
    <w:unhideWhenUsed/>
    <w:rsid w:val="00EA1DA7"/>
    <w:rPr>
      <w:color w:val="96607D" w:themeColor="followedHyperlink"/>
      <w:u w:val="single"/>
    </w:rPr>
  </w:style>
  <w:style w:type="paragraph" w:styleId="NormalWeb">
    <w:name w:val="Normal (Web)"/>
    <w:basedOn w:val="Normal"/>
    <w:uiPriority w:val="99"/>
    <w:semiHidden/>
    <w:unhideWhenUsed/>
    <w:rsid w:val="003E7F27"/>
    <w:pPr>
      <w:spacing w:before="100" w:beforeAutospacing="1" w:after="100" w:afterAutospacing="1"/>
    </w:pPr>
    <w:rPr>
      <w:rFonts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28859">
      <w:bodyDiv w:val="1"/>
      <w:marLeft w:val="0"/>
      <w:marRight w:val="0"/>
      <w:marTop w:val="0"/>
      <w:marBottom w:val="0"/>
      <w:divBdr>
        <w:top w:val="none" w:sz="0" w:space="0" w:color="auto"/>
        <w:left w:val="none" w:sz="0" w:space="0" w:color="auto"/>
        <w:bottom w:val="none" w:sz="0" w:space="0" w:color="auto"/>
        <w:right w:val="none" w:sz="0" w:space="0" w:color="auto"/>
      </w:divBdr>
    </w:div>
    <w:div w:id="151609801">
      <w:bodyDiv w:val="1"/>
      <w:marLeft w:val="0"/>
      <w:marRight w:val="0"/>
      <w:marTop w:val="0"/>
      <w:marBottom w:val="0"/>
      <w:divBdr>
        <w:top w:val="none" w:sz="0" w:space="0" w:color="auto"/>
        <w:left w:val="none" w:sz="0" w:space="0" w:color="auto"/>
        <w:bottom w:val="none" w:sz="0" w:space="0" w:color="auto"/>
        <w:right w:val="none" w:sz="0" w:space="0" w:color="auto"/>
      </w:divBdr>
    </w:div>
    <w:div w:id="175312693">
      <w:bodyDiv w:val="1"/>
      <w:marLeft w:val="0"/>
      <w:marRight w:val="0"/>
      <w:marTop w:val="0"/>
      <w:marBottom w:val="0"/>
      <w:divBdr>
        <w:top w:val="none" w:sz="0" w:space="0" w:color="auto"/>
        <w:left w:val="none" w:sz="0" w:space="0" w:color="auto"/>
        <w:bottom w:val="none" w:sz="0" w:space="0" w:color="auto"/>
        <w:right w:val="none" w:sz="0" w:space="0" w:color="auto"/>
      </w:divBdr>
    </w:div>
    <w:div w:id="234360809">
      <w:bodyDiv w:val="1"/>
      <w:marLeft w:val="0"/>
      <w:marRight w:val="0"/>
      <w:marTop w:val="0"/>
      <w:marBottom w:val="0"/>
      <w:divBdr>
        <w:top w:val="none" w:sz="0" w:space="0" w:color="auto"/>
        <w:left w:val="none" w:sz="0" w:space="0" w:color="auto"/>
        <w:bottom w:val="none" w:sz="0" w:space="0" w:color="auto"/>
        <w:right w:val="none" w:sz="0" w:space="0" w:color="auto"/>
      </w:divBdr>
    </w:div>
    <w:div w:id="341665260">
      <w:bodyDiv w:val="1"/>
      <w:marLeft w:val="0"/>
      <w:marRight w:val="0"/>
      <w:marTop w:val="0"/>
      <w:marBottom w:val="0"/>
      <w:divBdr>
        <w:top w:val="none" w:sz="0" w:space="0" w:color="auto"/>
        <w:left w:val="none" w:sz="0" w:space="0" w:color="auto"/>
        <w:bottom w:val="none" w:sz="0" w:space="0" w:color="auto"/>
        <w:right w:val="none" w:sz="0" w:space="0" w:color="auto"/>
      </w:divBdr>
    </w:div>
    <w:div w:id="585722649">
      <w:bodyDiv w:val="1"/>
      <w:marLeft w:val="0"/>
      <w:marRight w:val="0"/>
      <w:marTop w:val="0"/>
      <w:marBottom w:val="0"/>
      <w:divBdr>
        <w:top w:val="none" w:sz="0" w:space="0" w:color="auto"/>
        <w:left w:val="none" w:sz="0" w:space="0" w:color="auto"/>
        <w:bottom w:val="none" w:sz="0" w:space="0" w:color="auto"/>
        <w:right w:val="none" w:sz="0" w:space="0" w:color="auto"/>
      </w:divBdr>
    </w:div>
    <w:div w:id="732041798">
      <w:bodyDiv w:val="1"/>
      <w:marLeft w:val="0"/>
      <w:marRight w:val="0"/>
      <w:marTop w:val="0"/>
      <w:marBottom w:val="0"/>
      <w:divBdr>
        <w:top w:val="none" w:sz="0" w:space="0" w:color="auto"/>
        <w:left w:val="none" w:sz="0" w:space="0" w:color="auto"/>
        <w:bottom w:val="none" w:sz="0" w:space="0" w:color="auto"/>
        <w:right w:val="none" w:sz="0" w:space="0" w:color="auto"/>
      </w:divBdr>
    </w:div>
    <w:div w:id="898244941">
      <w:bodyDiv w:val="1"/>
      <w:marLeft w:val="0"/>
      <w:marRight w:val="0"/>
      <w:marTop w:val="0"/>
      <w:marBottom w:val="0"/>
      <w:divBdr>
        <w:top w:val="none" w:sz="0" w:space="0" w:color="auto"/>
        <w:left w:val="none" w:sz="0" w:space="0" w:color="auto"/>
        <w:bottom w:val="none" w:sz="0" w:space="0" w:color="auto"/>
        <w:right w:val="none" w:sz="0" w:space="0" w:color="auto"/>
      </w:divBdr>
    </w:div>
    <w:div w:id="947196480">
      <w:bodyDiv w:val="1"/>
      <w:marLeft w:val="0"/>
      <w:marRight w:val="0"/>
      <w:marTop w:val="0"/>
      <w:marBottom w:val="0"/>
      <w:divBdr>
        <w:top w:val="none" w:sz="0" w:space="0" w:color="auto"/>
        <w:left w:val="none" w:sz="0" w:space="0" w:color="auto"/>
        <w:bottom w:val="none" w:sz="0" w:space="0" w:color="auto"/>
        <w:right w:val="none" w:sz="0" w:space="0" w:color="auto"/>
      </w:divBdr>
    </w:div>
    <w:div w:id="978071597">
      <w:bodyDiv w:val="1"/>
      <w:marLeft w:val="0"/>
      <w:marRight w:val="0"/>
      <w:marTop w:val="0"/>
      <w:marBottom w:val="0"/>
      <w:divBdr>
        <w:top w:val="none" w:sz="0" w:space="0" w:color="auto"/>
        <w:left w:val="none" w:sz="0" w:space="0" w:color="auto"/>
        <w:bottom w:val="none" w:sz="0" w:space="0" w:color="auto"/>
        <w:right w:val="none" w:sz="0" w:space="0" w:color="auto"/>
      </w:divBdr>
    </w:div>
    <w:div w:id="1060635953">
      <w:bodyDiv w:val="1"/>
      <w:marLeft w:val="0"/>
      <w:marRight w:val="0"/>
      <w:marTop w:val="0"/>
      <w:marBottom w:val="0"/>
      <w:divBdr>
        <w:top w:val="none" w:sz="0" w:space="0" w:color="auto"/>
        <w:left w:val="none" w:sz="0" w:space="0" w:color="auto"/>
        <w:bottom w:val="none" w:sz="0" w:space="0" w:color="auto"/>
        <w:right w:val="none" w:sz="0" w:space="0" w:color="auto"/>
      </w:divBdr>
    </w:div>
    <w:div w:id="1112898086">
      <w:bodyDiv w:val="1"/>
      <w:marLeft w:val="0"/>
      <w:marRight w:val="0"/>
      <w:marTop w:val="0"/>
      <w:marBottom w:val="0"/>
      <w:divBdr>
        <w:top w:val="none" w:sz="0" w:space="0" w:color="auto"/>
        <w:left w:val="none" w:sz="0" w:space="0" w:color="auto"/>
        <w:bottom w:val="none" w:sz="0" w:space="0" w:color="auto"/>
        <w:right w:val="none" w:sz="0" w:space="0" w:color="auto"/>
      </w:divBdr>
    </w:div>
    <w:div w:id="1171070212">
      <w:bodyDiv w:val="1"/>
      <w:marLeft w:val="0"/>
      <w:marRight w:val="0"/>
      <w:marTop w:val="0"/>
      <w:marBottom w:val="0"/>
      <w:divBdr>
        <w:top w:val="none" w:sz="0" w:space="0" w:color="auto"/>
        <w:left w:val="none" w:sz="0" w:space="0" w:color="auto"/>
        <w:bottom w:val="none" w:sz="0" w:space="0" w:color="auto"/>
        <w:right w:val="none" w:sz="0" w:space="0" w:color="auto"/>
      </w:divBdr>
    </w:div>
    <w:div w:id="1305624347">
      <w:bodyDiv w:val="1"/>
      <w:marLeft w:val="0"/>
      <w:marRight w:val="0"/>
      <w:marTop w:val="0"/>
      <w:marBottom w:val="0"/>
      <w:divBdr>
        <w:top w:val="none" w:sz="0" w:space="0" w:color="auto"/>
        <w:left w:val="none" w:sz="0" w:space="0" w:color="auto"/>
        <w:bottom w:val="none" w:sz="0" w:space="0" w:color="auto"/>
        <w:right w:val="none" w:sz="0" w:space="0" w:color="auto"/>
      </w:divBdr>
    </w:div>
    <w:div w:id="1831363527">
      <w:bodyDiv w:val="1"/>
      <w:marLeft w:val="0"/>
      <w:marRight w:val="0"/>
      <w:marTop w:val="0"/>
      <w:marBottom w:val="0"/>
      <w:divBdr>
        <w:top w:val="none" w:sz="0" w:space="0" w:color="auto"/>
        <w:left w:val="none" w:sz="0" w:space="0" w:color="auto"/>
        <w:bottom w:val="none" w:sz="0" w:space="0" w:color="auto"/>
        <w:right w:val="none" w:sz="0" w:space="0" w:color="auto"/>
      </w:divBdr>
    </w:div>
    <w:div w:id="1980570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ldic.org.uk/eal-teaching-and-learning/outline-guidance/eal-ofsted/"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igitalcommons.murraystate.edu/cgi/viewcontent.cgi?article=1034&amp;context=honorstheses" TargetMode="External"/><Relationship Id="rId12" Type="http://schemas.openxmlformats.org/officeDocument/2006/relationships/hyperlink" Target="https://www.gov.wales/sites/default/files/publications/2021-12/guidance-on-school-categories-according-to-welsh-medium-provision.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hildcomwales.org.uk/wp-content/uploads/2023/06/The-Welsh-Language-and-the-Additional-Learning-Needs-System.pdf" TargetMode="External"/><Relationship Id="rId11" Type="http://schemas.openxmlformats.org/officeDocument/2006/relationships/hyperlink" Target="https://gov.wales/sites/default/files/statistics-and-research/2019-07/140430-welsh-additional-language-en.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unicef.org.uk/wp-content/uploads/2017/09/Our-rights_UNCRC.pdf" TargetMode="External"/><Relationship Id="rId4" Type="http://schemas.openxmlformats.org/officeDocument/2006/relationships/footnotes" Target="footnotes.xml"/><Relationship Id="rId9" Type="http://schemas.openxmlformats.org/officeDocument/2006/relationships/hyperlink" Target="https://www.youtube.com/watch?v=9LeGXUkz8LI&amp;t=3970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369</TotalTime>
  <Pages>9</Pages>
  <Words>3567</Words>
  <Characters>20334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WILES (Ysgol Cynwyd Sant)</dc:creator>
  <cp:keywords/>
  <dc:description/>
  <cp:lastModifiedBy>M WILES (Ysgol Cynwyd Sant)</cp:lastModifiedBy>
  <cp:revision>13</cp:revision>
  <cp:lastPrinted>2024-04-18T17:06:00Z</cp:lastPrinted>
  <dcterms:created xsi:type="dcterms:W3CDTF">2024-04-11T09:03:00Z</dcterms:created>
  <dcterms:modified xsi:type="dcterms:W3CDTF">2024-04-18T18:14:00Z</dcterms:modified>
</cp:coreProperties>
</file>