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0BD3C" w14:textId="77777777" w:rsidR="00C4247C" w:rsidRDefault="00C4247C" w:rsidP="00D93F0A">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6CC796DD" wp14:editId="3FF39F2F">
            <wp:extent cx="2884170" cy="1055370"/>
            <wp:effectExtent l="25400" t="25400" r="11430" b="1143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4170" cy="1055370"/>
                    </a:xfrm>
                    <a:prstGeom prst="rect">
                      <a:avLst/>
                    </a:prstGeom>
                    <a:noFill/>
                    <a:ln w="19050" cmpd="sng">
                      <a:solidFill>
                        <a:srgbClr val="000000"/>
                      </a:solidFill>
                      <a:miter lim="800000"/>
                      <a:headEnd/>
                      <a:tailEnd/>
                    </a:ln>
                    <a:effectLst/>
                  </pic:spPr>
                </pic:pic>
              </a:graphicData>
            </a:graphic>
          </wp:inline>
        </w:drawing>
      </w:r>
    </w:p>
    <w:p w14:paraId="630886DA" w14:textId="77777777" w:rsidR="00C4247C" w:rsidRDefault="00C4247C" w:rsidP="00D93F0A">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92A5427" w14:textId="77777777" w:rsidR="00C4247C" w:rsidRPr="001E50BB" w:rsidRDefault="00C4247C" w:rsidP="00D93F0A">
      <w:pPr>
        <w:jc w:val="center"/>
        <w:rPr>
          <w:rFonts w:ascii="Arial" w:hAnsi="Arial" w:cs="Arial"/>
          <w:b/>
          <w:lang w:val="cy-GB"/>
        </w:rPr>
      </w:pPr>
      <w:r w:rsidRPr="001E50BB">
        <w:rPr>
          <w:rFonts w:ascii="Arial" w:hAnsi="Arial" w:cs="Arial"/>
          <w:b/>
          <w:lang w:val="cy-GB"/>
        </w:rPr>
        <w:t>(to be completed by marker)</w:t>
      </w:r>
    </w:p>
    <w:p w14:paraId="47EB38C7" w14:textId="77777777" w:rsidR="00C4247C" w:rsidRPr="001E50BB" w:rsidRDefault="00C4247C" w:rsidP="00D93F0A">
      <w:pPr>
        <w:jc w:val="center"/>
        <w:rPr>
          <w:rFonts w:ascii="Arial" w:hAnsi="Arial" w:cs="Arial"/>
          <w:b/>
          <w:lang w:val="cy-GB"/>
        </w:rPr>
      </w:pPr>
    </w:p>
    <w:p w14:paraId="25EE179E" w14:textId="77777777" w:rsidR="00C4247C" w:rsidRDefault="00C4247C" w:rsidP="00D93F0A">
      <w:pPr>
        <w:pStyle w:val="Heading3"/>
        <w:rPr>
          <w:rFonts w:ascii="Trebuchet MS" w:hAnsi="Trebuchet MS"/>
        </w:rPr>
      </w:pPr>
    </w:p>
    <w:tbl>
      <w:tblPr>
        <w:tblW w:w="88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43"/>
        <w:gridCol w:w="1996"/>
        <w:gridCol w:w="2020"/>
      </w:tblGrid>
      <w:tr w:rsidR="00C4247C" w:rsidRPr="0065654E" w14:paraId="609554FB" w14:textId="77777777" w:rsidTr="00D93F0A">
        <w:trPr>
          <w:trHeight w:val="761"/>
        </w:trPr>
        <w:tc>
          <w:tcPr>
            <w:tcW w:w="8859" w:type="dxa"/>
            <w:gridSpan w:val="3"/>
            <w:tcBorders>
              <w:top w:val="single" w:sz="4" w:space="0" w:color="auto"/>
              <w:left w:val="single" w:sz="4" w:space="0" w:color="auto"/>
              <w:bottom w:val="single" w:sz="4" w:space="0" w:color="auto"/>
              <w:right w:val="single" w:sz="4" w:space="0" w:color="auto"/>
            </w:tcBorders>
            <w:vAlign w:val="center"/>
          </w:tcPr>
          <w:p w14:paraId="3A0CBC66" w14:textId="72F1417C" w:rsidR="00C4247C" w:rsidRPr="00047E95" w:rsidRDefault="00C4247C" w:rsidP="00D93F0A">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sidR="00047E95">
              <w:rPr>
                <w:rFonts w:ascii="Calibri" w:hAnsi="Calibri" w:cs="Tahoma"/>
                <w:i/>
                <w:sz w:val="24"/>
                <w:szCs w:val="24"/>
              </w:rPr>
              <w:t xml:space="preserve"> </w:t>
            </w:r>
            <w:r w:rsidR="00047E95">
              <w:rPr>
                <w:rFonts w:ascii="Calibri" w:hAnsi="Calibri" w:cs="Tahoma"/>
                <w:sz w:val="24"/>
                <w:szCs w:val="24"/>
              </w:rPr>
              <w:t>Michael Thomas</w:t>
            </w:r>
          </w:p>
          <w:p w14:paraId="15A47125" w14:textId="77777777" w:rsidR="00C4247C" w:rsidRPr="0065654E" w:rsidRDefault="00C4247C" w:rsidP="00D93F0A">
            <w:pPr>
              <w:pStyle w:val="NormalWeb"/>
              <w:spacing w:before="0" w:beforeAutospacing="0" w:after="0" w:afterAutospacing="0"/>
              <w:ind w:right="34"/>
              <w:rPr>
                <w:rFonts w:ascii="Calibri" w:hAnsi="Calibri" w:cs="Tahoma"/>
                <w:i/>
                <w:sz w:val="24"/>
                <w:szCs w:val="24"/>
              </w:rPr>
            </w:pPr>
          </w:p>
        </w:tc>
      </w:tr>
      <w:tr w:rsidR="00C4247C" w:rsidRPr="0065654E" w14:paraId="49FC4BE3" w14:textId="77777777" w:rsidTr="00D93F0A">
        <w:trPr>
          <w:trHeight w:val="900"/>
        </w:trPr>
        <w:tc>
          <w:tcPr>
            <w:tcW w:w="4843" w:type="dxa"/>
            <w:tcBorders>
              <w:top w:val="single" w:sz="4" w:space="0" w:color="auto"/>
              <w:left w:val="single" w:sz="4" w:space="0" w:color="auto"/>
              <w:bottom w:val="single" w:sz="4" w:space="0" w:color="auto"/>
              <w:right w:val="single" w:sz="4" w:space="0" w:color="auto"/>
            </w:tcBorders>
            <w:vAlign w:val="center"/>
          </w:tcPr>
          <w:p w14:paraId="5BEA1865" w14:textId="74115809" w:rsidR="00C4247C" w:rsidRPr="00047E95" w:rsidRDefault="00C4247C" w:rsidP="00D93F0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sidR="00554875">
              <w:rPr>
                <w:rFonts w:ascii="Calibri" w:hAnsi="Calibri" w:cs="Tahoma"/>
                <w:sz w:val="24"/>
                <w:szCs w:val="24"/>
              </w:rPr>
              <w:t>CSEN</w:t>
            </w:r>
            <w:r w:rsidR="00C359B2">
              <w:rPr>
                <w:rFonts w:ascii="Calibri" w:hAnsi="Calibri" w:cs="Tahoma"/>
                <w:sz w:val="24"/>
                <w:szCs w:val="24"/>
              </w:rPr>
              <w:t>5014</w:t>
            </w:r>
          </w:p>
          <w:p w14:paraId="3EB6B428" w14:textId="77777777" w:rsidR="00C4247C" w:rsidRDefault="00C4247C" w:rsidP="00D93F0A">
            <w:pPr>
              <w:pStyle w:val="NormalWeb"/>
              <w:spacing w:before="0" w:beforeAutospacing="0" w:after="0" w:afterAutospacing="0"/>
              <w:ind w:right="34"/>
              <w:rPr>
                <w:rFonts w:ascii="Calibri" w:hAnsi="Calibri" w:cs="Tahoma"/>
                <w:i/>
                <w:sz w:val="24"/>
                <w:szCs w:val="24"/>
              </w:rPr>
            </w:pPr>
          </w:p>
          <w:p w14:paraId="022A37BB" w14:textId="6C1BB693" w:rsidR="00C4247C" w:rsidRPr="008F4FB9" w:rsidRDefault="00C4247C" w:rsidP="00D93F0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8F4FB9">
              <w:rPr>
                <w:rFonts w:ascii="Calibri" w:hAnsi="Calibri" w:cs="Tahoma"/>
                <w:sz w:val="24"/>
                <w:szCs w:val="24"/>
              </w:rPr>
              <w:t xml:space="preserve">Critical and Cultural </w:t>
            </w:r>
            <w:r w:rsidR="00CF663E">
              <w:rPr>
                <w:rFonts w:ascii="Calibri" w:hAnsi="Calibri" w:cs="Tahoma"/>
                <w:sz w:val="24"/>
                <w:szCs w:val="24"/>
              </w:rPr>
              <w:t xml:space="preserve">Theory </w:t>
            </w:r>
          </w:p>
          <w:p w14:paraId="28A8A234" w14:textId="77777777" w:rsidR="00C4247C" w:rsidRPr="0065654E" w:rsidRDefault="00C4247C" w:rsidP="00D93F0A">
            <w:pPr>
              <w:pStyle w:val="NormalWeb"/>
              <w:spacing w:before="0" w:beforeAutospacing="0" w:after="0" w:afterAutospacing="0"/>
              <w:ind w:right="34"/>
              <w:rPr>
                <w:rFonts w:ascii="Calibri" w:hAnsi="Calibri" w:cs="Tahoma"/>
                <w:i/>
                <w:sz w:val="24"/>
                <w:szCs w:val="24"/>
              </w:rPr>
            </w:pPr>
          </w:p>
        </w:tc>
        <w:tc>
          <w:tcPr>
            <w:tcW w:w="4016" w:type="dxa"/>
            <w:gridSpan w:val="2"/>
            <w:tcBorders>
              <w:top w:val="single" w:sz="4" w:space="0" w:color="auto"/>
              <w:left w:val="single" w:sz="4" w:space="0" w:color="auto"/>
              <w:bottom w:val="single" w:sz="4" w:space="0" w:color="auto"/>
              <w:right w:val="single" w:sz="4" w:space="0" w:color="auto"/>
            </w:tcBorders>
          </w:tcPr>
          <w:p w14:paraId="6863713E" w14:textId="217242BB" w:rsidR="00C4247C" w:rsidRPr="00CF663E" w:rsidRDefault="00C4247C" w:rsidP="00D93F0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CF663E">
              <w:rPr>
                <w:rFonts w:ascii="Calibri" w:hAnsi="Calibri" w:cs="Tahoma"/>
                <w:i/>
                <w:sz w:val="24"/>
                <w:szCs w:val="24"/>
              </w:rPr>
              <w:t xml:space="preserve"> </w:t>
            </w:r>
            <w:r w:rsidR="00CF663E">
              <w:rPr>
                <w:rFonts w:ascii="Calibri" w:hAnsi="Calibri" w:cs="Tahoma"/>
                <w:sz w:val="24"/>
                <w:szCs w:val="24"/>
              </w:rPr>
              <w:t>0800946</w:t>
            </w:r>
            <w:bookmarkStart w:id="0" w:name="_GoBack"/>
            <w:bookmarkEnd w:id="0"/>
          </w:p>
        </w:tc>
      </w:tr>
      <w:tr w:rsidR="00C4247C" w:rsidRPr="0065654E" w14:paraId="0E9E47FF" w14:textId="77777777" w:rsidTr="00D93F0A">
        <w:trPr>
          <w:trHeight w:val="4212"/>
        </w:trPr>
        <w:tc>
          <w:tcPr>
            <w:tcW w:w="8859" w:type="dxa"/>
            <w:gridSpan w:val="3"/>
            <w:tcBorders>
              <w:top w:val="single" w:sz="4" w:space="0" w:color="auto"/>
              <w:left w:val="single" w:sz="4" w:space="0" w:color="auto"/>
              <w:bottom w:val="single" w:sz="4" w:space="0" w:color="auto"/>
              <w:right w:val="single" w:sz="4" w:space="0" w:color="auto"/>
            </w:tcBorders>
          </w:tcPr>
          <w:p w14:paraId="6EF820AC" w14:textId="77777777" w:rsidR="00C4247C" w:rsidRPr="0065654E" w:rsidRDefault="00C4247C" w:rsidP="00D93F0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00A6530" w14:textId="77777777" w:rsidR="00C4247C" w:rsidRDefault="00C4247C" w:rsidP="00D93F0A">
            <w:pPr>
              <w:pStyle w:val="NormalWeb"/>
              <w:rPr>
                <w:rFonts w:ascii="Calibri" w:hAnsi="Calibri" w:cs="Tahoma"/>
                <w:i/>
                <w:sz w:val="24"/>
                <w:szCs w:val="24"/>
              </w:rPr>
            </w:pPr>
            <w:r w:rsidRPr="0065654E">
              <w:rPr>
                <w:rFonts w:ascii="Calibri" w:hAnsi="Calibri" w:cs="Tahoma"/>
                <w:i/>
                <w:sz w:val="24"/>
                <w:szCs w:val="24"/>
              </w:rPr>
              <w:t>Comments:</w:t>
            </w:r>
          </w:p>
          <w:p w14:paraId="69D8C245" w14:textId="77777777" w:rsidR="00C4247C" w:rsidRDefault="00C4247C" w:rsidP="00D93F0A">
            <w:pPr>
              <w:pStyle w:val="NormalWeb"/>
              <w:rPr>
                <w:rFonts w:ascii="Calibri" w:hAnsi="Calibri" w:cs="Tahoma"/>
                <w:i/>
                <w:sz w:val="24"/>
                <w:szCs w:val="24"/>
              </w:rPr>
            </w:pPr>
          </w:p>
          <w:p w14:paraId="3BA1B71F" w14:textId="77777777" w:rsidR="00C4247C" w:rsidRDefault="00C4247C" w:rsidP="00D93F0A">
            <w:pPr>
              <w:pStyle w:val="NormalWeb"/>
              <w:rPr>
                <w:rFonts w:ascii="Calibri" w:hAnsi="Calibri" w:cs="Tahoma"/>
                <w:i/>
                <w:sz w:val="24"/>
                <w:szCs w:val="24"/>
              </w:rPr>
            </w:pPr>
          </w:p>
          <w:p w14:paraId="45FAE2DF" w14:textId="77777777" w:rsidR="00C4247C" w:rsidRDefault="00C4247C" w:rsidP="00D93F0A">
            <w:pPr>
              <w:pStyle w:val="NormalWeb"/>
              <w:rPr>
                <w:rFonts w:ascii="Calibri" w:hAnsi="Calibri" w:cs="Tahoma"/>
                <w:i/>
                <w:sz w:val="24"/>
                <w:szCs w:val="24"/>
              </w:rPr>
            </w:pPr>
          </w:p>
          <w:p w14:paraId="44DE7135" w14:textId="77777777" w:rsidR="00C4247C" w:rsidRDefault="00C4247C" w:rsidP="00D93F0A">
            <w:pPr>
              <w:pStyle w:val="NormalWeb"/>
              <w:rPr>
                <w:rFonts w:ascii="Calibri" w:hAnsi="Calibri" w:cs="Tahoma"/>
                <w:i/>
                <w:sz w:val="24"/>
                <w:szCs w:val="24"/>
              </w:rPr>
            </w:pPr>
          </w:p>
          <w:p w14:paraId="24A9E32F" w14:textId="77777777" w:rsidR="00C4247C" w:rsidRDefault="00C4247C" w:rsidP="00D93F0A">
            <w:pPr>
              <w:pStyle w:val="NormalWeb"/>
              <w:rPr>
                <w:rFonts w:ascii="Calibri" w:hAnsi="Calibri" w:cs="Tahoma"/>
                <w:i/>
                <w:sz w:val="24"/>
                <w:szCs w:val="24"/>
              </w:rPr>
            </w:pPr>
          </w:p>
          <w:p w14:paraId="247D4F41" w14:textId="77777777" w:rsidR="00C4247C" w:rsidRDefault="00C4247C" w:rsidP="00D93F0A">
            <w:pPr>
              <w:pStyle w:val="NormalWeb"/>
              <w:rPr>
                <w:rFonts w:ascii="Calibri" w:hAnsi="Calibri" w:cs="Tahoma"/>
                <w:i/>
                <w:sz w:val="24"/>
                <w:szCs w:val="24"/>
              </w:rPr>
            </w:pPr>
          </w:p>
          <w:p w14:paraId="76562788" w14:textId="77777777" w:rsidR="00C4247C" w:rsidRDefault="00C4247C" w:rsidP="00D93F0A">
            <w:pPr>
              <w:pStyle w:val="NormalWeb"/>
              <w:rPr>
                <w:rFonts w:ascii="Calibri" w:hAnsi="Calibri" w:cs="Tahoma"/>
                <w:i/>
                <w:sz w:val="24"/>
                <w:szCs w:val="24"/>
              </w:rPr>
            </w:pPr>
          </w:p>
          <w:p w14:paraId="62379214" w14:textId="77777777" w:rsidR="00C4247C" w:rsidRDefault="00C4247C" w:rsidP="00D93F0A">
            <w:pPr>
              <w:pStyle w:val="NormalWeb"/>
              <w:rPr>
                <w:rFonts w:ascii="Calibri" w:hAnsi="Calibri" w:cs="Tahoma"/>
                <w:i/>
                <w:sz w:val="24"/>
                <w:szCs w:val="24"/>
              </w:rPr>
            </w:pPr>
          </w:p>
          <w:p w14:paraId="08EBE4E8" w14:textId="77777777" w:rsidR="00C4247C" w:rsidRDefault="00C4247C" w:rsidP="00D93F0A">
            <w:pPr>
              <w:pStyle w:val="NormalWeb"/>
              <w:rPr>
                <w:rFonts w:ascii="Calibri" w:hAnsi="Calibri" w:cs="Tahoma"/>
                <w:i/>
                <w:sz w:val="24"/>
                <w:szCs w:val="24"/>
              </w:rPr>
            </w:pPr>
          </w:p>
          <w:p w14:paraId="5CB95160" w14:textId="77777777" w:rsidR="00C4247C" w:rsidRDefault="00C4247C" w:rsidP="00D93F0A">
            <w:pPr>
              <w:pStyle w:val="NormalWeb"/>
              <w:rPr>
                <w:rFonts w:ascii="Calibri" w:hAnsi="Calibri" w:cs="Tahoma"/>
                <w:i/>
                <w:sz w:val="24"/>
                <w:szCs w:val="24"/>
              </w:rPr>
            </w:pPr>
          </w:p>
          <w:p w14:paraId="4C73B973" w14:textId="77777777" w:rsidR="00C4247C" w:rsidRPr="0065654E" w:rsidRDefault="00C4247C" w:rsidP="00D93F0A">
            <w:pPr>
              <w:pStyle w:val="NormalWeb"/>
              <w:rPr>
                <w:rFonts w:ascii="Calibri" w:hAnsi="Calibri" w:cs="Tahoma"/>
                <w:i/>
                <w:sz w:val="24"/>
                <w:szCs w:val="24"/>
              </w:rPr>
            </w:pPr>
          </w:p>
        </w:tc>
      </w:tr>
      <w:tr w:rsidR="00C4247C" w:rsidRPr="0065654E" w14:paraId="3E5B2997" w14:textId="77777777" w:rsidTr="00D93F0A">
        <w:trPr>
          <w:trHeight w:val="521"/>
        </w:trPr>
        <w:tc>
          <w:tcPr>
            <w:tcW w:w="6839" w:type="dxa"/>
            <w:gridSpan w:val="2"/>
            <w:tcBorders>
              <w:top w:val="single" w:sz="4" w:space="0" w:color="auto"/>
            </w:tcBorders>
            <w:vAlign w:val="center"/>
          </w:tcPr>
          <w:p w14:paraId="693CC598" w14:textId="77777777" w:rsidR="00C4247C" w:rsidRPr="0065654E" w:rsidRDefault="00C4247C" w:rsidP="00D93F0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2020" w:type="dxa"/>
            <w:tcBorders>
              <w:top w:val="single" w:sz="4" w:space="0" w:color="auto"/>
            </w:tcBorders>
            <w:vAlign w:val="center"/>
          </w:tcPr>
          <w:p w14:paraId="5B754EC1" w14:textId="77777777" w:rsidR="00C4247C" w:rsidRPr="0065654E" w:rsidRDefault="00C4247C" w:rsidP="00D93F0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C4247C" w:rsidRPr="0065654E" w14:paraId="0E286C46" w14:textId="77777777" w:rsidTr="00D93F0A">
        <w:trPr>
          <w:trHeight w:val="590"/>
        </w:trPr>
        <w:tc>
          <w:tcPr>
            <w:tcW w:w="8859" w:type="dxa"/>
            <w:gridSpan w:val="3"/>
            <w:vAlign w:val="center"/>
          </w:tcPr>
          <w:p w14:paraId="4A5759C6" w14:textId="77777777" w:rsidR="00C4247C" w:rsidRDefault="00C4247C" w:rsidP="00D93F0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41BEB8E" w14:textId="77777777" w:rsidR="00C4247C" w:rsidRPr="0065654E" w:rsidRDefault="00C4247C" w:rsidP="00D93F0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3D4564B1" w14:textId="65A064E0" w:rsidR="00D14056" w:rsidRPr="00A01668" w:rsidRDefault="00D14056" w:rsidP="00A35E8E">
      <w:pPr>
        <w:spacing w:line="360" w:lineRule="auto"/>
        <w:jc w:val="both"/>
        <w:rPr>
          <w:rFonts w:eastAsia="Times New Roman" w:cs="Times New Roman"/>
          <w:b/>
          <w:color w:val="000000"/>
        </w:rPr>
      </w:pPr>
      <w:r w:rsidRPr="00A01668">
        <w:rPr>
          <w:rFonts w:eastAsia="Times New Roman" w:cs="Times New Roman"/>
          <w:b/>
          <w:color w:val="000000"/>
        </w:rPr>
        <w:lastRenderedPageBreak/>
        <w:t>6) ‘All literary works contain one or more sub-texts, and there is a sense in which they may be spoken of as the “unconscious” of the work itself. The work’s insights, as with all writing, are deeply related to its blindnesses: what it does not say, and </w:t>
      </w:r>
      <w:r w:rsidRPr="00A01668">
        <w:rPr>
          <w:rFonts w:eastAsia="Times New Roman" w:cs="Times New Roman"/>
          <w:b/>
          <w:iCs/>
          <w:color w:val="000000"/>
        </w:rPr>
        <w:t>how</w:t>
      </w:r>
      <w:r w:rsidRPr="00A01668">
        <w:rPr>
          <w:rFonts w:eastAsia="Times New Roman" w:cs="Times New Roman"/>
          <w:b/>
          <w:color w:val="000000"/>
        </w:rPr>
        <w:t> it does not say it, may be as important as what it articulates: what seems absent, marginal or ambivalent about it may provide a clue to its meanings.’ To what extent do you agree with this statement by Terry Eagleton? You should support your answer with reference to AT LEAST ONE of the literary works you have studied on this course.  </w:t>
      </w:r>
    </w:p>
    <w:p w14:paraId="2A34A7C7" w14:textId="77777777" w:rsidR="00851CD5" w:rsidRDefault="00851CD5" w:rsidP="00A35E8E">
      <w:pPr>
        <w:spacing w:line="360" w:lineRule="auto"/>
        <w:jc w:val="both"/>
        <w:rPr>
          <w:rFonts w:eastAsia="Times New Roman" w:cs="Times New Roman"/>
          <w:color w:val="000000"/>
        </w:rPr>
      </w:pPr>
    </w:p>
    <w:p w14:paraId="41155017" w14:textId="77777777" w:rsidR="00851CD5" w:rsidRPr="00C52806" w:rsidRDefault="00D01A68" w:rsidP="00C52806">
      <w:pPr>
        <w:spacing w:line="360" w:lineRule="auto"/>
        <w:ind w:left="1440"/>
        <w:jc w:val="both"/>
        <w:rPr>
          <w:rFonts w:eastAsia="Times New Roman" w:cs="Times New Roman"/>
          <w:sz w:val="18"/>
          <w:szCs w:val="18"/>
        </w:rPr>
      </w:pPr>
      <w:r w:rsidRPr="00C52806">
        <w:rPr>
          <w:rFonts w:eastAsia="Times New Roman" w:cs="Times New Roman"/>
          <w:sz w:val="18"/>
          <w:szCs w:val="18"/>
        </w:rPr>
        <w:t>In popular English speech, the word ‘subconscious’ rather than ‘unconscious’ is often use</w:t>
      </w:r>
      <w:r w:rsidR="003C0A60">
        <w:rPr>
          <w:rFonts w:eastAsia="Times New Roman" w:cs="Times New Roman"/>
          <w:sz w:val="18"/>
          <w:szCs w:val="18"/>
        </w:rPr>
        <w:t>d</w:t>
      </w:r>
      <w:r w:rsidRPr="00C52806">
        <w:rPr>
          <w:rFonts w:eastAsia="Times New Roman" w:cs="Times New Roman"/>
          <w:sz w:val="18"/>
          <w:szCs w:val="18"/>
        </w:rPr>
        <w:t xml:space="preserve">; but this is to underestimate the radical </w:t>
      </w:r>
      <w:r w:rsidRPr="00C52806">
        <w:rPr>
          <w:rFonts w:eastAsia="Times New Roman" w:cs="Times New Roman"/>
          <w:i/>
          <w:sz w:val="18"/>
          <w:szCs w:val="18"/>
        </w:rPr>
        <w:t xml:space="preserve">otherness </w:t>
      </w:r>
      <w:r w:rsidRPr="00C52806">
        <w:rPr>
          <w:rFonts w:eastAsia="Times New Roman" w:cs="Times New Roman"/>
          <w:sz w:val="18"/>
          <w:szCs w:val="18"/>
        </w:rPr>
        <w:t xml:space="preserve">of the unconscious, imagining it as a place just within reach below the surface. </w:t>
      </w:r>
      <w:r w:rsidR="005938A8" w:rsidRPr="00C52806">
        <w:rPr>
          <w:rFonts w:eastAsia="Times New Roman" w:cs="Times New Roman"/>
          <w:sz w:val="18"/>
          <w:szCs w:val="18"/>
        </w:rPr>
        <w:t>It underestimates the extreme strangeness of the unconscious, which is a place and a non-place, which is completely indifferent to reality, which knows no logic or negation or causality</w:t>
      </w:r>
      <w:r w:rsidR="00AA41B3" w:rsidRPr="00C52806">
        <w:rPr>
          <w:rFonts w:eastAsia="Times New Roman" w:cs="Times New Roman"/>
          <w:sz w:val="18"/>
          <w:szCs w:val="18"/>
        </w:rPr>
        <w:t xml:space="preserve"> or contradiction, wholly given over as it is to the instinct</w:t>
      </w:r>
      <w:r w:rsidR="0048063C">
        <w:rPr>
          <w:rFonts w:eastAsia="Times New Roman" w:cs="Times New Roman"/>
          <w:sz w:val="18"/>
          <w:szCs w:val="18"/>
        </w:rPr>
        <w:t>ual play of the drives and the</w:t>
      </w:r>
      <w:r w:rsidR="00AA41B3" w:rsidRPr="00C52806">
        <w:rPr>
          <w:rFonts w:eastAsia="Times New Roman" w:cs="Times New Roman"/>
          <w:sz w:val="18"/>
          <w:szCs w:val="18"/>
        </w:rPr>
        <w:t xml:space="preserve"> search for pleasure</w:t>
      </w:r>
      <w:r w:rsidR="00073E70" w:rsidRPr="00C52806">
        <w:rPr>
          <w:rFonts w:eastAsia="Times New Roman" w:cs="Times New Roman"/>
          <w:sz w:val="18"/>
          <w:szCs w:val="18"/>
        </w:rPr>
        <w:t>.</w:t>
      </w:r>
      <w:r w:rsidR="00073E70" w:rsidRPr="00C52806">
        <w:rPr>
          <w:rStyle w:val="FootnoteReference"/>
          <w:rFonts w:eastAsia="Times New Roman" w:cs="Times New Roman"/>
          <w:sz w:val="18"/>
          <w:szCs w:val="18"/>
        </w:rPr>
        <w:footnoteReference w:id="1"/>
      </w:r>
      <w:r w:rsidR="00AA41B3" w:rsidRPr="00C52806">
        <w:rPr>
          <w:rFonts w:eastAsia="Times New Roman" w:cs="Times New Roman"/>
          <w:sz w:val="18"/>
          <w:szCs w:val="18"/>
        </w:rPr>
        <w:t xml:space="preserve"> </w:t>
      </w:r>
      <w:r w:rsidR="005938A8" w:rsidRPr="00C52806">
        <w:rPr>
          <w:rFonts w:eastAsia="Times New Roman" w:cs="Times New Roman"/>
          <w:sz w:val="18"/>
          <w:szCs w:val="18"/>
        </w:rPr>
        <w:t xml:space="preserve"> </w:t>
      </w:r>
    </w:p>
    <w:p w14:paraId="69AE512E" w14:textId="77777777" w:rsidR="00C52806" w:rsidRDefault="00C52806" w:rsidP="00A35E8E">
      <w:pPr>
        <w:spacing w:line="360" w:lineRule="auto"/>
        <w:jc w:val="both"/>
        <w:rPr>
          <w:rFonts w:eastAsia="Times New Roman" w:cs="Times New Roman"/>
        </w:rPr>
      </w:pPr>
    </w:p>
    <w:p w14:paraId="5F6D2ED8" w14:textId="471B5F05" w:rsidR="00486E75" w:rsidRDefault="00C968F1" w:rsidP="00C95456">
      <w:pPr>
        <w:spacing w:line="360" w:lineRule="auto"/>
        <w:jc w:val="both"/>
      </w:pPr>
      <w:r>
        <w:t xml:space="preserve">The </w:t>
      </w:r>
      <w:r w:rsidR="007179FA">
        <w:t xml:space="preserve">subconscious mind or </w:t>
      </w:r>
      <w:r>
        <w:t>unconscious</w:t>
      </w:r>
      <w:r w:rsidR="007179FA">
        <w:t xml:space="preserve">ness as it </w:t>
      </w:r>
      <w:r w:rsidR="00772A18">
        <w:t xml:space="preserve">is </w:t>
      </w:r>
      <w:r w:rsidR="007179FA">
        <w:t>better known in the discipline</w:t>
      </w:r>
      <w:r>
        <w:t xml:space="preserve"> of </w:t>
      </w:r>
      <w:r w:rsidR="00772A18">
        <w:t>psychoanal</w:t>
      </w:r>
      <w:r w:rsidR="0028085A">
        <w:t xml:space="preserve">ysis </w:t>
      </w:r>
      <w:r w:rsidR="007179FA">
        <w:t xml:space="preserve"> is a </w:t>
      </w:r>
      <w:r w:rsidR="000B6785">
        <w:t xml:space="preserve">concept that is </w:t>
      </w:r>
      <w:r w:rsidR="007179FA">
        <w:t>c</w:t>
      </w:r>
      <w:r w:rsidR="00605D92">
        <w:t xml:space="preserve">omplex to say the least. </w:t>
      </w:r>
      <w:r w:rsidR="0062720F">
        <w:t xml:space="preserve">We can use </w:t>
      </w:r>
      <w:r w:rsidR="00BF1633">
        <w:t>psychoanalysis</w:t>
      </w:r>
      <w:r w:rsidR="002C7D85">
        <w:t xml:space="preserve"> on</w:t>
      </w:r>
      <w:r w:rsidR="0062720F">
        <w:t xml:space="preserve"> a text, character and even an author to reveal what the unconscious and underlying meaning</w:t>
      </w:r>
      <w:r w:rsidR="00AF6BD3">
        <w:t xml:space="preserve"> can potentially be</w:t>
      </w:r>
      <w:r w:rsidR="0028085A">
        <w:t xml:space="preserve"> behind it</w:t>
      </w:r>
      <w:r w:rsidR="00554216">
        <w:t xml:space="preserve"> </w:t>
      </w:r>
      <w:r w:rsidR="00027262">
        <w:t xml:space="preserve">or them, </w:t>
      </w:r>
      <w:r w:rsidR="00554216">
        <w:t xml:space="preserve">just as in </w:t>
      </w:r>
      <w:r w:rsidR="00541B66">
        <w:t xml:space="preserve">a </w:t>
      </w:r>
      <w:r w:rsidR="00554216">
        <w:t>dream</w:t>
      </w:r>
      <w:r w:rsidR="00027262">
        <w:t>,</w:t>
      </w:r>
      <w:r w:rsidR="00554216">
        <w:t xml:space="preserve"> as Habib says:</w:t>
      </w:r>
    </w:p>
    <w:p w14:paraId="7AAB0C33" w14:textId="77777777" w:rsidR="008D36E3" w:rsidRDefault="008D36E3" w:rsidP="00C95456">
      <w:pPr>
        <w:spacing w:line="360" w:lineRule="auto"/>
        <w:jc w:val="both"/>
      </w:pPr>
    </w:p>
    <w:p w14:paraId="0F000AC6" w14:textId="77777777" w:rsidR="008B3EDA" w:rsidRDefault="008B3EDA" w:rsidP="00486E75">
      <w:pPr>
        <w:spacing w:line="360" w:lineRule="auto"/>
        <w:ind w:left="1440"/>
        <w:jc w:val="both"/>
        <w:rPr>
          <w:sz w:val="18"/>
          <w:szCs w:val="18"/>
        </w:rPr>
      </w:pPr>
      <w:r w:rsidRPr="00486E75">
        <w:rPr>
          <w:sz w:val="18"/>
          <w:szCs w:val="18"/>
        </w:rPr>
        <w:t xml:space="preserve">Yet psychoanalysis insisted that dreams could be scientifically interpreted. From associations produced by the dreamer, the analyst could infer a thought structure, composed of </w:t>
      </w:r>
      <w:r w:rsidRPr="00486E75">
        <w:rPr>
          <w:i/>
          <w:sz w:val="18"/>
          <w:szCs w:val="18"/>
        </w:rPr>
        <w:t>latent dream thoughts</w:t>
      </w:r>
      <w:r w:rsidRPr="00486E75">
        <w:rPr>
          <w:sz w:val="18"/>
          <w:szCs w:val="18"/>
        </w:rPr>
        <w:t xml:space="preserve">. These were expressed not directly but only as translated and distorted into the </w:t>
      </w:r>
      <w:r w:rsidRPr="00486E75">
        <w:rPr>
          <w:i/>
          <w:sz w:val="18"/>
          <w:szCs w:val="18"/>
        </w:rPr>
        <w:t xml:space="preserve">manifest </w:t>
      </w:r>
      <w:r w:rsidRPr="00486E75">
        <w:rPr>
          <w:sz w:val="18"/>
          <w:szCs w:val="18"/>
        </w:rPr>
        <w:t>dream, which was composed largely of visual images.</w:t>
      </w:r>
      <w:r w:rsidRPr="00486E75">
        <w:rPr>
          <w:rStyle w:val="FootnoteReference"/>
          <w:sz w:val="18"/>
          <w:szCs w:val="18"/>
        </w:rPr>
        <w:footnoteReference w:id="2"/>
      </w:r>
    </w:p>
    <w:p w14:paraId="0FAA065B" w14:textId="77777777" w:rsidR="008D36E3" w:rsidRPr="00486E75" w:rsidRDefault="008D36E3" w:rsidP="00486E75">
      <w:pPr>
        <w:spacing w:line="360" w:lineRule="auto"/>
        <w:ind w:left="1440"/>
        <w:jc w:val="both"/>
        <w:rPr>
          <w:sz w:val="18"/>
          <w:szCs w:val="18"/>
        </w:rPr>
      </w:pPr>
    </w:p>
    <w:p w14:paraId="08C27BEC" w14:textId="46C958B1" w:rsidR="00055804" w:rsidRDefault="00C01361" w:rsidP="00C95456">
      <w:pPr>
        <w:spacing w:line="360" w:lineRule="auto"/>
        <w:jc w:val="both"/>
      </w:pPr>
      <w:r>
        <w:t xml:space="preserve">The dreams of person </w:t>
      </w:r>
      <w:r w:rsidR="009667D2">
        <w:t xml:space="preserve">or the subject </w:t>
      </w:r>
      <w:r>
        <w:t>are created from the unconscious</w:t>
      </w:r>
      <w:r w:rsidR="00B61747">
        <w:t xml:space="preserve"> thoughts </w:t>
      </w:r>
      <w:r w:rsidR="00661C88">
        <w:t xml:space="preserve">that </w:t>
      </w:r>
      <w:r w:rsidR="00B61747">
        <w:t>make</w:t>
      </w:r>
      <w:r w:rsidR="005F314B">
        <w:t xml:space="preserve"> its</w:t>
      </w:r>
      <w:r w:rsidR="00B61747">
        <w:t xml:space="preserve"> </w:t>
      </w:r>
      <w:r>
        <w:t xml:space="preserve">way into the </w:t>
      </w:r>
      <w:r w:rsidR="00F511E0">
        <w:t>conscious mind</w:t>
      </w:r>
      <w:r w:rsidR="00B2584F">
        <w:t xml:space="preserve"> which is referred to as the ego</w:t>
      </w:r>
      <w:r w:rsidR="00F511E0">
        <w:t>.</w:t>
      </w:r>
      <w:r w:rsidR="0074464C">
        <w:rPr>
          <w:rStyle w:val="FootnoteReference"/>
        </w:rPr>
        <w:footnoteReference w:id="3"/>
      </w:r>
      <w:r w:rsidR="00F511E0">
        <w:t xml:space="preserve"> These unconscious thoughts are thought to b</w:t>
      </w:r>
      <w:r w:rsidR="008659FC">
        <w:t xml:space="preserve">e repressed memories of painful or </w:t>
      </w:r>
      <w:r w:rsidR="00F511E0">
        <w:t xml:space="preserve">distressing </w:t>
      </w:r>
      <w:r w:rsidR="009D22C5">
        <w:t>infantile experiences</w:t>
      </w:r>
      <w:r w:rsidR="00C229ED">
        <w:t xml:space="preserve"> that reoccur during late</w:t>
      </w:r>
      <w:r w:rsidR="00F9710D">
        <w:t>r</w:t>
      </w:r>
      <w:r w:rsidR="00C229ED">
        <w:t xml:space="preserve"> adult life, repeating themselves in </w:t>
      </w:r>
      <w:r w:rsidR="00F74BB3">
        <w:t xml:space="preserve">uncanny </w:t>
      </w:r>
      <w:r w:rsidR="00C229ED">
        <w:t>manifestations</w:t>
      </w:r>
      <w:r w:rsidR="009A0F23">
        <w:t xml:space="preserve"> in most cases of </w:t>
      </w:r>
      <w:r w:rsidR="00741B93">
        <w:t>psychoanalysis</w:t>
      </w:r>
      <w:r w:rsidR="009A0F23">
        <w:t xml:space="preserve">. </w:t>
      </w:r>
      <w:r w:rsidR="00F9710D">
        <w:t>Freud’s Oedipus Co</w:t>
      </w:r>
      <w:r w:rsidR="00445EEA">
        <w:t>mplex</w:t>
      </w:r>
      <w:r w:rsidR="00C229ED">
        <w:t xml:space="preserve"> </w:t>
      </w:r>
      <w:r w:rsidR="0006348E">
        <w:t>is fundamental when psychoanaly</w:t>
      </w:r>
      <w:r w:rsidR="00456B1E">
        <w:t>sing text</w:t>
      </w:r>
      <w:r w:rsidR="00B10BB9">
        <w:t xml:space="preserve">s to aid in the discovery of </w:t>
      </w:r>
      <w:r w:rsidR="00456B1E">
        <w:t>repressive memories</w:t>
      </w:r>
      <w:r w:rsidR="00055804">
        <w:t xml:space="preserve"> as it says ‘The human subject who emerges from the Oedipal process is a </w:t>
      </w:r>
      <w:r w:rsidR="00055804">
        <w:rPr>
          <w:i/>
        </w:rPr>
        <w:t>split</w:t>
      </w:r>
      <w:r w:rsidR="00055804">
        <w:t xml:space="preserve"> subject, torn precariously between conscious and unconscious; and the unconscious can always return to plague it.’</w:t>
      </w:r>
      <w:r w:rsidR="00055804">
        <w:rPr>
          <w:rStyle w:val="FootnoteReference"/>
        </w:rPr>
        <w:footnoteReference w:id="4"/>
      </w:r>
      <w:r w:rsidR="00055804">
        <w:t xml:space="preserve"> </w:t>
      </w:r>
      <w:r w:rsidR="009667D2">
        <w:t>Lacan, after Freud</w:t>
      </w:r>
      <w:r w:rsidR="00A07E09">
        <w:t>,</w:t>
      </w:r>
      <w:r w:rsidR="001B21AA">
        <w:t xml:space="preserve"> </w:t>
      </w:r>
      <w:r w:rsidR="001C7DC5">
        <w:t xml:space="preserve">was concerned with psychoanalysis like Freud and also </w:t>
      </w:r>
      <w:r w:rsidR="00B10BB9">
        <w:t>P</w:t>
      </w:r>
      <w:r w:rsidR="001C7DC5">
        <w:t>ost</w:t>
      </w:r>
      <w:r w:rsidR="001B28E5">
        <w:t>-structuralism. Lacan theorised the mirror s</w:t>
      </w:r>
      <w:r w:rsidR="00D9770E">
        <w:t xml:space="preserve">tage </w:t>
      </w:r>
      <w:r w:rsidR="00C16FE2">
        <w:t xml:space="preserve">which intertwines with the Oedipus </w:t>
      </w:r>
      <w:r w:rsidR="00B10BB9">
        <w:t>C</w:t>
      </w:r>
      <w:r w:rsidR="00C16FE2">
        <w:t xml:space="preserve">omplex </w:t>
      </w:r>
      <w:r w:rsidR="000D2AFC">
        <w:t xml:space="preserve">and explores the imaginary </w:t>
      </w:r>
      <w:r w:rsidR="00D235E0">
        <w:t>of the child’s ‘self</w:t>
      </w:r>
      <w:r w:rsidR="00A023B8">
        <w:t xml:space="preserve"> </w:t>
      </w:r>
      <w:r w:rsidR="00D235E0">
        <w:t>’</w:t>
      </w:r>
      <w:r w:rsidR="001C7DC5">
        <w:t xml:space="preserve"> </w:t>
      </w:r>
      <w:r w:rsidR="00D235E0">
        <w:t>in what they p</w:t>
      </w:r>
      <w:r w:rsidR="00B10BB9">
        <w:t>ass into objects and objects c</w:t>
      </w:r>
      <w:r w:rsidR="00A05ECB">
        <w:t xml:space="preserve">onstant closed </w:t>
      </w:r>
      <w:r w:rsidR="00A05ECB">
        <w:lastRenderedPageBreak/>
        <w:t>exchange.</w:t>
      </w:r>
      <w:r w:rsidR="00B242D0" w:rsidRPr="00B242D0">
        <w:t xml:space="preserve"> </w:t>
      </w:r>
      <w:r w:rsidR="00B242D0">
        <w:t>This is where the child</w:t>
      </w:r>
      <w:r w:rsidR="00C92F9E">
        <w:t>‘s</w:t>
      </w:r>
      <w:r w:rsidR="00B242D0">
        <w:t xml:space="preserve"> first emergence of the ego appears as it constructs a self image that</w:t>
      </w:r>
      <w:r w:rsidR="00EE6BF9">
        <w:t xml:space="preserve"> blurs subject and object</w:t>
      </w:r>
      <w:r w:rsidR="000748A2">
        <w:t xml:space="preserve"> of</w:t>
      </w:r>
      <w:r w:rsidR="00B242D0">
        <w:t xml:space="preserve"> </w:t>
      </w:r>
      <w:r w:rsidR="000748A2">
        <w:t>itself, but</w:t>
      </w:r>
      <w:r w:rsidR="00274FB7">
        <w:t xml:space="preserve"> </w:t>
      </w:r>
      <w:r w:rsidR="000748A2">
        <w:t xml:space="preserve">it is </w:t>
      </w:r>
      <w:r w:rsidR="00274FB7">
        <w:t>not itself</w:t>
      </w:r>
      <w:r w:rsidR="00B242D0">
        <w:t xml:space="preserve"> simultaneously.</w:t>
      </w:r>
      <w:r w:rsidR="00A05ECB">
        <w:rPr>
          <w:rStyle w:val="FootnoteReference"/>
        </w:rPr>
        <w:footnoteReference w:id="5"/>
      </w:r>
      <w:r w:rsidR="00C92A7E">
        <w:t xml:space="preserve"> </w:t>
      </w:r>
    </w:p>
    <w:p w14:paraId="072A75F9" w14:textId="57B095C2" w:rsidR="0012018D" w:rsidRDefault="00A12564" w:rsidP="0015204F">
      <w:pPr>
        <w:spacing w:line="360" w:lineRule="auto"/>
        <w:ind w:firstLine="720"/>
        <w:jc w:val="both"/>
      </w:pPr>
      <w:r>
        <w:tab/>
      </w:r>
      <w:r w:rsidR="00D8377A">
        <w:t xml:space="preserve">When </w:t>
      </w:r>
      <w:r w:rsidR="00FA5DE8">
        <w:t xml:space="preserve">exploring a text for hidden meaning, psychoanalysis is not the only method to uncovering the unconsciousness behind it. We also need to take into consideration </w:t>
      </w:r>
      <w:r w:rsidR="00AC11DA">
        <w:t xml:space="preserve">the structuralism and semiotics </w:t>
      </w:r>
      <w:r w:rsidR="007F5641">
        <w:t>of a text</w:t>
      </w:r>
      <w:r w:rsidR="00543887">
        <w:t xml:space="preserve"> as it says</w:t>
      </w:r>
      <w:r w:rsidR="00C92F9E">
        <w:t>:</w:t>
      </w:r>
      <w:r w:rsidR="00543887">
        <w:t xml:space="preserve"> ‘All communication consists of a </w:t>
      </w:r>
      <w:r w:rsidR="00543887">
        <w:rPr>
          <w:i/>
        </w:rPr>
        <w:t xml:space="preserve">message </w:t>
      </w:r>
      <w:r w:rsidR="00543887">
        <w:t xml:space="preserve">initiated by an </w:t>
      </w:r>
      <w:r w:rsidR="00543887">
        <w:rPr>
          <w:i/>
        </w:rPr>
        <w:t xml:space="preserve">addresser, </w:t>
      </w:r>
      <w:r w:rsidR="00543887">
        <w:t xml:space="preserve">whose destination in an </w:t>
      </w:r>
      <w:r w:rsidR="00543887">
        <w:rPr>
          <w:i/>
        </w:rPr>
        <w:t>addressee.</w:t>
      </w:r>
      <w:r w:rsidR="00DD19A4">
        <w:rPr>
          <w:i/>
        </w:rPr>
        <w:t>’</w:t>
      </w:r>
      <w:r w:rsidR="00EC4D09">
        <w:rPr>
          <w:rStyle w:val="FootnoteReference"/>
          <w:i/>
        </w:rPr>
        <w:footnoteReference w:id="6"/>
      </w:r>
      <w:r w:rsidR="00F06CF3">
        <w:rPr>
          <w:i/>
        </w:rPr>
        <w:t xml:space="preserve"> </w:t>
      </w:r>
      <w:r w:rsidR="00DD19A4">
        <w:t xml:space="preserve">Context, message, contact and code must also be present </w:t>
      </w:r>
      <w:r w:rsidR="0063243D">
        <w:t xml:space="preserve">in this </w:t>
      </w:r>
      <w:r w:rsidR="00DD19A4">
        <w:t>to understand what a meaning</w:t>
      </w:r>
      <w:r w:rsidR="0063243D">
        <w:t xml:space="preserve"> is or can be</w:t>
      </w:r>
      <w:r w:rsidR="00B5040A">
        <w:t xml:space="preserve"> taken </w:t>
      </w:r>
      <w:r w:rsidR="0063243D">
        <w:t xml:space="preserve">by the reader. </w:t>
      </w:r>
      <w:r w:rsidR="00DD19A4">
        <w:t xml:space="preserve"> </w:t>
      </w:r>
      <w:r w:rsidR="0012018D">
        <w:t>Semi</w:t>
      </w:r>
      <w:r w:rsidR="003A2F45">
        <w:t>otics, the science of signs</w:t>
      </w:r>
      <w:r w:rsidR="0012018D">
        <w:t xml:space="preserve"> play</w:t>
      </w:r>
      <w:r w:rsidR="00773EFB">
        <w:t>s</w:t>
      </w:r>
      <w:r w:rsidR="0012018D">
        <w:t xml:space="preserve"> a part in identifying the unconsciousness of a text through relations to one another in language as it says:</w:t>
      </w:r>
    </w:p>
    <w:p w14:paraId="02FC8A8E" w14:textId="77777777" w:rsidR="0012018D" w:rsidRDefault="0012018D" w:rsidP="0015204F">
      <w:pPr>
        <w:spacing w:line="360" w:lineRule="auto"/>
        <w:ind w:left="2880"/>
        <w:jc w:val="both"/>
      </w:pPr>
    </w:p>
    <w:p w14:paraId="2D5C2CCC" w14:textId="4C609819" w:rsidR="0012018D" w:rsidRDefault="0012018D" w:rsidP="0015204F">
      <w:pPr>
        <w:spacing w:line="360" w:lineRule="auto"/>
        <w:ind w:left="1440"/>
        <w:jc w:val="both"/>
      </w:pPr>
      <w:r w:rsidRPr="004D7E6F">
        <w:rPr>
          <w:sz w:val="18"/>
          <w:szCs w:val="18"/>
        </w:rPr>
        <w:t xml:space="preserve">In respect of language this (as I have termed it above) “structural relationship” between sound-image (signifier) and concept (signified) constitutes what Saussure calls the </w:t>
      </w:r>
      <w:r w:rsidRPr="004D7E6F">
        <w:rPr>
          <w:i/>
          <w:sz w:val="18"/>
          <w:szCs w:val="18"/>
        </w:rPr>
        <w:t xml:space="preserve">linguistic sign. </w:t>
      </w:r>
      <w:r w:rsidRPr="004D7E6F">
        <w:rPr>
          <w:sz w:val="18"/>
          <w:szCs w:val="18"/>
        </w:rPr>
        <w:t xml:space="preserve">In respect of </w:t>
      </w:r>
      <w:r w:rsidRPr="004D7E6F">
        <w:rPr>
          <w:i/>
          <w:sz w:val="18"/>
          <w:szCs w:val="18"/>
        </w:rPr>
        <w:t xml:space="preserve">non-linguistic </w:t>
      </w:r>
      <w:r w:rsidRPr="004D7E6F">
        <w:rPr>
          <w:sz w:val="18"/>
          <w:szCs w:val="18"/>
        </w:rPr>
        <w:t xml:space="preserve">systems, says Barthes, this “associative total” of signifier and signified constitutes simply the </w:t>
      </w:r>
      <w:r w:rsidR="003A2F45">
        <w:rPr>
          <w:i/>
          <w:sz w:val="18"/>
          <w:szCs w:val="18"/>
        </w:rPr>
        <w:t>sign.</w:t>
      </w:r>
      <w:r w:rsidRPr="004D7E6F">
        <w:rPr>
          <w:rStyle w:val="FootnoteReference"/>
          <w:i/>
          <w:sz w:val="18"/>
          <w:szCs w:val="18"/>
        </w:rPr>
        <w:footnoteReference w:id="7"/>
      </w:r>
      <w:r w:rsidRPr="004D7E6F">
        <w:rPr>
          <w:sz w:val="18"/>
          <w:szCs w:val="18"/>
        </w:rPr>
        <w:t xml:space="preserve"> </w:t>
      </w:r>
      <w:r>
        <w:tab/>
        <w:t xml:space="preserve">   </w:t>
      </w:r>
      <w:r>
        <w:rPr>
          <w:vanish/>
        </w:rPr>
        <w:t>it cansxsxsbedded in it. interpretating5etween sexuality and sxoial</w:t>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r>
        <w:rPr>
          <w:vanish/>
        </w:rPr>
        <w:pgNum/>
      </w:r>
    </w:p>
    <w:p w14:paraId="0530210E" w14:textId="2E495CA8" w:rsidR="00A12564" w:rsidRPr="00DD19A4" w:rsidRDefault="00A12564" w:rsidP="00C95456">
      <w:pPr>
        <w:spacing w:line="360" w:lineRule="auto"/>
        <w:jc w:val="both"/>
      </w:pPr>
    </w:p>
    <w:p w14:paraId="2AF33599" w14:textId="68222409" w:rsidR="00235808" w:rsidRDefault="00E65BE4" w:rsidP="0012018D">
      <w:pPr>
        <w:spacing w:line="360" w:lineRule="auto"/>
        <w:ind w:firstLine="720"/>
        <w:jc w:val="both"/>
      </w:pPr>
      <w:r>
        <w:t xml:space="preserve"> </w:t>
      </w:r>
      <w:r w:rsidR="00605D92">
        <w:t xml:space="preserve">Laplanche says </w:t>
      </w:r>
      <w:r w:rsidR="00FC2479">
        <w:t>‘</w:t>
      </w:r>
      <w:r w:rsidR="00F35A02" w:rsidRPr="00951580">
        <w:t>Sign, symptom, and symbol are sustained not only by the unconscious meaning to be discovered in them, but also by the immediate meaning which they first seem to express.</w:t>
      </w:r>
      <w:r w:rsidR="00FC2479">
        <w:t>’</w:t>
      </w:r>
      <w:r w:rsidR="00F35A02">
        <w:rPr>
          <w:rStyle w:val="FootnoteReference"/>
        </w:rPr>
        <w:footnoteReference w:id="8"/>
      </w:r>
      <w:r w:rsidR="00F35A02">
        <w:t xml:space="preserve">  </w:t>
      </w:r>
      <w:r w:rsidR="002A4DE2">
        <w:t xml:space="preserve">It can be difficult for anyone psychoanalysing the unconsciousness of </w:t>
      </w:r>
      <w:r w:rsidR="00762AA0">
        <w:t>a text t</w:t>
      </w:r>
      <w:r w:rsidR="00863181">
        <w:t>o reach the same interpretation</w:t>
      </w:r>
      <w:r w:rsidR="00A71726">
        <w:t xml:space="preserve"> that is embedded in it</w:t>
      </w:r>
      <w:r w:rsidR="00710F00">
        <w:t>,</w:t>
      </w:r>
      <w:r w:rsidR="005873D7">
        <w:t xml:space="preserve"> as</w:t>
      </w:r>
      <w:r w:rsidR="00710F00">
        <w:t xml:space="preserve"> Hawkes says ‘Sau</w:t>
      </w:r>
      <w:r w:rsidR="009F1771">
        <w:t>ssure begins with a consideration of the whole phenomenon of language in terms of two fundamental dimensions</w:t>
      </w:r>
      <w:r w:rsidR="00C3069F">
        <w:t xml:space="preserve"> which it exhibits: that </w:t>
      </w:r>
      <w:r w:rsidR="00580BF0">
        <w:t>of</w:t>
      </w:r>
      <w:r w:rsidR="00C3069F">
        <w:t xml:space="preserve"> </w:t>
      </w:r>
      <w:r w:rsidR="00C3069F">
        <w:rPr>
          <w:i/>
        </w:rPr>
        <w:t xml:space="preserve">langue </w:t>
      </w:r>
      <w:r w:rsidR="00694810">
        <w:t xml:space="preserve">and that of </w:t>
      </w:r>
      <w:r w:rsidR="00C3069F">
        <w:rPr>
          <w:i/>
        </w:rPr>
        <w:t>parole</w:t>
      </w:r>
      <w:r w:rsidR="00694810">
        <w:rPr>
          <w:i/>
        </w:rPr>
        <w:t>.’</w:t>
      </w:r>
      <w:r w:rsidR="00F16F96">
        <w:rPr>
          <w:rStyle w:val="FootnoteReference"/>
          <w:i/>
        </w:rPr>
        <w:footnoteReference w:id="9"/>
      </w:r>
      <w:r w:rsidR="005873D7">
        <w:rPr>
          <w:i/>
        </w:rPr>
        <w:t xml:space="preserve"> </w:t>
      </w:r>
      <w:r w:rsidR="005873D7">
        <w:t>The structure of the text can play a crucial role when it come</w:t>
      </w:r>
      <w:r w:rsidR="00B5040A">
        <w:t>s</w:t>
      </w:r>
      <w:r w:rsidR="005873D7">
        <w:t xml:space="preserve"> to uncovering the unconsciousness</w:t>
      </w:r>
      <w:r w:rsidR="00012B41">
        <w:t xml:space="preserve">. The set of rules that is used when exploring the unconscious is </w:t>
      </w:r>
      <w:r w:rsidR="00E44C9F">
        <w:t>key in how we interpret the sub-</w:t>
      </w:r>
      <w:r w:rsidR="00427D01">
        <w:t>text</w:t>
      </w:r>
      <w:r w:rsidR="00227E33">
        <w:t xml:space="preserve"> </w:t>
      </w:r>
      <w:r w:rsidR="00427D01">
        <w:t>an</w:t>
      </w:r>
      <w:r w:rsidR="00773E76">
        <w:t>d the</w:t>
      </w:r>
      <w:r w:rsidR="00227E33">
        <w:t xml:space="preserve"> understandings can lead to </w:t>
      </w:r>
      <w:r w:rsidR="00773E76">
        <w:t>different</w:t>
      </w:r>
      <w:r w:rsidR="00EE1187">
        <w:t xml:space="preserve"> conclusions</w:t>
      </w:r>
      <w:r w:rsidR="00B46F04">
        <w:t xml:space="preserve"> about them.</w:t>
      </w:r>
      <w:r w:rsidR="0019726A">
        <w:t xml:space="preserve"> The language is concerned with </w:t>
      </w:r>
      <w:r w:rsidR="007A702E">
        <w:t>meaning</w:t>
      </w:r>
      <w:r w:rsidR="00B5040A">
        <w:t>,</w:t>
      </w:r>
      <w:r w:rsidR="007A702E">
        <w:t xml:space="preserve"> what it can reveal to us.</w:t>
      </w:r>
      <w:r w:rsidR="00B46F04">
        <w:t xml:space="preserve"> </w:t>
      </w:r>
      <w:r w:rsidR="009233E4">
        <w:t>To understand</w:t>
      </w:r>
      <w:r w:rsidR="0060175A">
        <w:t xml:space="preserve"> Eagleton’s statement </w:t>
      </w:r>
      <w:r w:rsidR="009233E4">
        <w:t xml:space="preserve">in more depth </w:t>
      </w:r>
      <w:r w:rsidR="00924B2E">
        <w:t xml:space="preserve">in terms </w:t>
      </w:r>
      <w:r w:rsidR="00293859">
        <w:t xml:space="preserve">of sub-text and the unconscious, </w:t>
      </w:r>
      <w:r w:rsidR="00043229">
        <w:t xml:space="preserve">the </w:t>
      </w:r>
      <w:r w:rsidR="00CA0752">
        <w:t>deconstruction</w:t>
      </w:r>
      <w:r w:rsidR="00043229">
        <w:t xml:space="preserve"> and psychoanalysis </w:t>
      </w:r>
      <w:r w:rsidR="0037626A">
        <w:t>of the text</w:t>
      </w:r>
      <w:r w:rsidR="00293859">
        <w:t xml:space="preserve"> must</w:t>
      </w:r>
      <w:r w:rsidR="00CA0752">
        <w:t xml:space="preserve"> be considered.</w:t>
      </w:r>
      <w:r w:rsidR="00293859">
        <w:t xml:space="preserve"> </w:t>
      </w:r>
    </w:p>
    <w:p w14:paraId="71B088E5" w14:textId="6347C72F" w:rsidR="00DC0D06" w:rsidRPr="00336666" w:rsidRDefault="00541AB8" w:rsidP="00336666">
      <w:pPr>
        <w:spacing w:line="360" w:lineRule="auto"/>
        <w:ind w:firstLine="720"/>
        <w:jc w:val="both"/>
      </w:pPr>
      <w:r>
        <w:t xml:space="preserve">Edgar Allen Poe’s </w:t>
      </w:r>
      <w:r>
        <w:rPr>
          <w:i/>
        </w:rPr>
        <w:t xml:space="preserve">The Black Cat </w:t>
      </w:r>
      <w:r>
        <w:t>is a story that has been psychoanalysed</w:t>
      </w:r>
      <w:r w:rsidR="008145D6">
        <w:t xml:space="preserve"> and it </w:t>
      </w:r>
      <w:r w:rsidR="004579CA">
        <w:t>can be interpreted</w:t>
      </w:r>
      <w:r w:rsidR="008145D6">
        <w:t xml:space="preserve"> </w:t>
      </w:r>
      <w:r w:rsidR="004579CA">
        <w:t xml:space="preserve">as </w:t>
      </w:r>
      <w:r w:rsidR="008145D6">
        <w:t xml:space="preserve">Poe’s unconsciousness </w:t>
      </w:r>
      <w:r w:rsidR="006E47D9">
        <w:t>or displacement</w:t>
      </w:r>
      <w:r w:rsidR="0005643D">
        <w:t xml:space="preserve"> for Poe to express himself</w:t>
      </w:r>
      <w:r w:rsidR="00336666">
        <w:t xml:space="preserve"> </w:t>
      </w:r>
      <w:r w:rsidR="00786322">
        <w:t>as Shulman says</w:t>
      </w:r>
      <w:r w:rsidR="00336666">
        <w:t>:</w:t>
      </w:r>
    </w:p>
    <w:p w14:paraId="1C80B653" w14:textId="77777777" w:rsidR="00062222" w:rsidRDefault="00062222" w:rsidP="004D2CF8">
      <w:pPr>
        <w:spacing w:line="360" w:lineRule="auto"/>
        <w:ind w:firstLine="720"/>
        <w:jc w:val="both"/>
        <w:rPr>
          <w:lang w:val="en-US"/>
        </w:rPr>
      </w:pPr>
    </w:p>
    <w:p w14:paraId="10DF4ED2" w14:textId="77777777" w:rsidR="00062222" w:rsidRDefault="00062222" w:rsidP="00BB463E">
      <w:pPr>
        <w:spacing w:line="360" w:lineRule="auto"/>
        <w:ind w:left="1440"/>
        <w:jc w:val="both"/>
        <w:rPr>
          <w:sz w:val="18"/>
          <w:szCs w:val="18"/>
          <w:lang w:val="en-US"/>
        </w:rPr>
      </w:pPr>
      <w:r w:rsidRPr="00BB463E">
        <w:rPr>
          <w:sz w:val="18"/>
          <w:szCs w:val="18"/>
          <w:lang w:val="en-US"/>
        </w:rPr>
        <w:t xml:space="preserve">Poe, moreover, knows that the mind can endow a neutral object like a cat with a charge of significance revealing the deepest strains in the character, and in " The Black Cat" he brilliantly suggests the inner </w:t>
      </w:r>
      <w:r w:rsidRPr="00BB463E">
        <w:rPr>
          <w:sz w:val="18"/>
          <w:szCs w:val="18"/>
          <w:lang w:val="en-US"/>
        </w:rPr>
        <w:lastRenderedPageBreak/>
        <w:t>dynamics, the underlying fear, hatred, and guilt that animate the narrator's terrified obsession with a common- place animal.</w:t>
      </w:r>
      <w:r w:rsidR="00F149D6" w:rsidRPr="00BB463E">
        <w:rPr>
          <w:rStyle w:val="FootnoteReference"/>
          <w:sz w:val="18"/>
          <w:szCs w:val="18"/>
          <w:lang w:val="en-US"/>
        </w:rPr>
        <w:footnoteReference w:id="10"/>
      </w:r>
    </w:p>
    <w:p w14:paraId="61DF7866" w14:textId="77777777" w:rsidR="000F7711" w:rsidRDefault="000F7711" w:rsidP="00BB463E">
      <w:pPr>
        <w:spacing w:line="360" w:lineRule="auto"/>
        <w:ind w:left="1440"/>
        <w:jc w:val="both"/>
        <w:rPr>
          <w:sz w:val="18"/>
          <w:szCs w:val="18"/>
          <w:lang w:val="en-US"/>
        </w:rPr>
      </w:pPr>
    </w:p>
    <w:p w14:paraId="3E48A913" w14:textId="45134D10" w:rsidR="00805300" w:rsidRDefault="00581465" w:rsidP="00A35E8E">
      <w:pPr>
        <w:spacing w:line="360" w:lineRule="auto"/>
        <w:jc w:val="both"/>
      </w:pPr>
      <w:r>
        <w:t>T</w:t>
      </w:r>
      <w:r w:rsidR="00034C93">
        <w:t>he cat itself is the signifier</w:t>
      </w:r>
      <w:r w:rsidR="00FE47A9">
        <w:t xml:space="preserve"> </w:t>
      </w:r>
      <w:r w:rsidR="00034C93">
        <w:t xml:space="preserve">and </w:t>
      </w:r>
      <w:r w:rsidR="005E42AB">
        <w:t>the signified meaning</w:t>
      </w:r>
      <w:r w:rsidR="00034C93">
        <w:t xml:space="preserve"> of the cat </w:t>
      </w:r>
      <w:r w:rsidR="00581EEF">
        <w:t>represents</w:t>
      </w:r>
      <w:r w:rsidR="00034C93">
        <w:t xml:space="preserve"> Poe’s mother which s</w:t>
      </w:r>
      <w:r w:rsidR="005825E1">
        <w:t>ymbolises</w:t>
      </w:r>
      <w:r w:rsidR="009D3D0F">
        <w:t xml:space="preserve"> the female genitals. This is thought to be a repressed </w:t>
      </w:r>
      <w:r w:rsidR="00303561">
        <w:t xml:space="preserve">memory </w:t>
      </w:r>
      <w:r w:rsidR="009C7F46">
        <w:t>that has reoccurred</w:t>
      </w:r>
      <w:r w:rsidR="009D3D0F">
        <w:t xml:space="preserve"> </w:t>
      </w:r>
      <w:r w:rsidR="00A11AD7">
        <w:t xml:space="preserve">through the fear of castration </w:t>
      </w:r>
      <w:r w:rsidR="00E52522">
        <w:t>in Poe’s unconsciousness</w:t>
      </w:r>
      <w:r w:rsidR="00BD2AAE">
        <w:t>.</w:t>
      </w:r>
      <w:r w:rsidR="00F317BC">
        <w:rPr>
          <w:rStyle w:val="FootnoteReference"/>
        </w:rPr>
        <w:footnoteReference w:id="11"/>
      </w:r>
      <w:r w:rsidR="00E52522">
        <w:t xml:space="preserve"> By Poe’s mother being absent durin</w:t>
      </w:r>
      <w:r w:rsidR="00D879B4">
        <w:t>g his childhood, it has shown his unresolved issues</w:t>
      </w:r>
      <w:r w:rsidR="00AC44B5">
        <w:t>,</w:t>
      </w:r>
      <w:r w:rsidR="00D879B4">
        <w:t xml:space="preserve"> that have repressed</w:t>
      </w:r>
      <w:r w:rsidR="00AC44B5">
        <w:t>,</w:t>
      </w:r>
      <w:r w:rsidR="00D879B4">
        <w:t xml:space="preserve"> </w:t>
      </w:r>
      <w:r w:rsidR="001B6CBF">
        <w:t>re-emerge</w:t>
      </w:r>
      <w:r w:rsidR="0007038F">
        <w:t xml:space="preserve"> </w:t>
      </w:r>
      <w:r w:rsidR="001B6CBF">
        <w:t xml:space="preserve">through his aggression </w:t>
      </w:r>
      <w:r w:rsidR="0007038F">
        <w:t>towards the</w:t>
      </w:r>
      <w:r w:rsidR="00D879B4">
        <w:t xml:space="preserve"> cats.</w:t>
      </w:r>
      <w:r w:rsidR="0029201D">
        <w:t xml:space="preserve"> </w:t>
      </w:r>
      <w:r w:rsidR="005D2678">
        <w:t xml:space="preserve">Poe’s unconscious lets slip </w:t>
      </w:r>
      <w:r w:rsidR="00782097">
        <w:t xml:space="preserve">his repressed feelings </w:t>
      </w:r>
      <w:r w:rsidR="008927A2">
        <w:t xml:space="preserve">for his mother as it says </w:t>
      </w:r>
      <w:r w:rsidR="0029201D">
        <w:t>‘Psychoanalytic theory brings out the unconscious aspect of utterance through its concentration on the relationship between sexuality and social role.’</w:t>
      </w:r>
      <w:r w:rsidR="0029201D">
        <w:rPr>
          <w:rStyle w:val="FootnoteReference"/>
        </w:rPr>
        <w:footnoteReference w:id="12"/>
      </w:r>
      <w:r w:rsidR="00F113DD">
        <w:t xml:space="preserve"> </w:t>
      </w:r>
      <w:r w:rsidR="001050A9">
        <w:t>Poe’</w:t>
      </w:r>
      <w:r w:rsidR="00D52408">
        <w:t xml:space="preserve">s mother passed away </w:t>
      </w:r>
      <w:r w:rsidR="007A0B46">
        <w:t>a</w:t>
      </w:r>
      <w:r w:rsidR="00563603">
        <w:t>t</w:t>
      </w:r>
      <w:r w:rsidR="007A0B46">
        <w:t xml:space="preserve"> </w:t>
      </w:r>
      <w:r w:rsidR="00563603">
        <w:t xml:space="preserve">the </w:t>
      </w:r>
      <w:r w:rsidR="007A0B46">
        <w:t>sta</w:t>
      </w:r>
      <w:r w:rsidR="00563603">
        <w:t>ge of</w:t>
      </w:r>
      <w:r w:rsidR="007A0B46">
        <w:t xml:space="preserve"> his life </w:t>
      </w:r>
      <w:r w:rsidR="00563603">
        <w:t>where he still saw his mother and himself a</w:t>
      </w:r>
      <w:r w:rsidR="001050A9">
        <w:t>s one conscious</w:t>
      </w:r>
      <w:r w:rsidR="00BE0000">
        <w:t xml:space="preserve">, which in psychoanalytic theory stopped </w:t>
      </w:r>
      <w:r w:rsidR="00975C3A">
        <w:t xml:space="preserve">his </w:t>
      </w:r>
      <w:r w:rsidR="00BE0000">
        <w:t>sexual identit</w:t>
      </w:r>
      <w:r w:rsidR="00A40E15">
        <w:t>y from being</w:t>
      </w:r>
      <w:r w:rsidR="00BE0000">
        <w:t xml:space="preserve"> </w:t>
      </w:r>
      <w:r w:rsidR="00A40E15">
        <w:t xml:space="preserve">created </w:t>
      </w:r>
      <w:r w:rsidR="00BE0000">
        <w:t xml:space="preserve">until </w:t>
      </w:r>
      <w:r w:rsidR="00A40E15">
        <w:t>adolescence</w:t>
      </w:r>
      <w:r w:rsidR="0057149F">
        <w:t xml:space="preserve">. </w:t>
      </w:r>
      <w:r w:rsidR="00DF57AC">
        <w:t>The first cat as Poe describes ‘T</w:t>
      </w:r>
      <w:r w:rsidR="00CA5E2C">
        <w:t>his latter was remarkably large and beautiful animal, entirely black and sagacious to an astonishing degree.’</w:t>
      </w:r>
      <w:r w:rsidR="0051453A">
        <w:rPr>
          <w:rStyle w:val="FootnoteReference"/>
        </w:rPr>
        <w:footnoteReference w:id="13"/>
      </w:r>
      <w:r w:rsidR="00CA5E2C">
        <w:t xml:space="preserve"> It can be seen that Poe</w:t>
      </w:r>
      <w:r w:rsidR="009D70C2">
        <w:t xml:space="preserve"> has an infatuation with this cat because he lists all different kinds of animals that he owns but only </w:t>
      </w:r>
      <w:r w:rsidR="000231B8">
        <w:t xml:space="preserve">talks about how beautiful that cat is. </w:t>
      </w:r>
      <w:r w:rsidR="0057149F">
        <w:t>Poe later g</w:t>
      </w:r>
      <w:r w:rsidR="00975C3A">
        <w:t>o</w:t>
      </w:r>
      <w:r w:rsidR="0057149F">
        <w:t>uges one of the eyes of the cat out</w:t>
      </w:r>
      <w:r w:rsidR="003A1872">
        <w:t xml:space="preserve"> and </w:t>
      </w:r>
      <w:r w:rsidR="00975C3A">
        <w:t xml:space="preserve">this </w:t>
      </w:r>
      <w:r w:rsidR="00A37DAD">
        <w:t>can be seen as a symbol of castration. This can be interpreted as Poe</w:t>
      </w:r>
      <w:r w:rsidR="005F4033">
        <w:t xml:space="preserve">’s </w:t>
      </w:r>
      <w:r w:rsidR="001C0F06">
        <w:t xml:space="preserve">castration </w:t>
      </w:r>
      <w:r w:rsidR="005F4033">
        <w:t xml:space="preserve">anxiety because of his abandonment by his mother and his </w:t>
      </w:r>
      <w:r w:rsidR="009E2F15">
        <w:t>fear of losing his genitals</w:t>
      </w:r>
      <w:r w:rsidR="00312FCA">
        <w:t xml:space="preserve">. </w:t>
      </w:r>
      <w:r w:rsidR="00DD060D">
        <w:t xml:space="preserve">Later in the story, Poe murders his wife with an axe in an attempt to hit the second </w:t>
      </w:r>
      <w:r w:rsidR="003C5D58">
        <w:t>c</w:t>
      </w:r>
      <w:r w:rsidR="00DD060D">
        <w:t xml:space="preserve">at that has appeared in his life. </w:t>
      </w:r>
      <w:r w:rsidR="00A65807">
        <w:t xml:space="preserve">Poe </w:t>
      </w:r>
      <w:r w:rsidR="00CB7F0A">
        <w:t>constructs</w:t>
      </w:r>
      <w:r w:rsidR="00A65807">
        <w:t xml:space="preserve"> a wall in his cellar and decides to wall up his now dead wife to hide her body.</w:t>
      </w:r>
      <w:r w:rsidR="006D2AC4">
        <w:t xml:space="preserve"> </w:t>
      </w:r>
      <w:r w:rsidR="00DD2F05">
        <w:t>B</w:t>
      </w:r>
      <w:r w:rsidR="003C5D58">
        <w:t>onaparte’s interprets this as</w:t>
      </w:r>
      <w:r w:rsidR="00DD2F05">
        <w:t xml:space="preserve"> ‘In other words, translated into terms of the unconscious: </w:t>
      </w:r>
      <w:r w:rsidR="00DD2F05">
        <w:rPr>
          <w:i/>
        </w:rPr>
        <w:t xml:space="preserve">At last the woman, that </w:t>
      </w:r>
      <w:r w:rsidR="00922B36">
        <w:rPr>
          <w:i/>
        </w:rPr>
        <w:t>castrated</w:t>
      </w:r>
      <w:r w:rsidR="00DD2F05">
        <w:rPr>
          <w:i/>
        </w:rPr>
        <w:t xml:space="preserve"> monster, will never reappear</w:t>
      </w:r>
      <w:r w:rsidR="006C3C93">
        <w:rPr>
          <w:i/>
        </w:rPr>
        <w:t>. The castration-fear is walled up forever.’</w:t>
      </w:r>
      <w:r w:rsidR="006C3C93">
        <w:rPr>
          <w:rStyle w:val="FootnoteReference"/>
          <w:i/>
        </w:rPr>
        <w:footnoteReference w:id="14"/>
      </w:r>
      <w:r w:rsidR="00922B36">
        <w:rPr>
          <w:i/>
        </w:rPr>
        <w:t xml:space="preserve"> </w:t>
      </w:r>
      <w:r w:rsidR="00F07379">
        <w:t xml:space="preserve">Poe at this point feels his fear </w:t>
      </w:r>
      <w:r w:rsidR="00885859">
        <w:t xml:space="preserve">of castration </w:t>
      </w:r>
      <w:r w:rsidR="00F07379">
        <w:t xml:space="preserve">has </w:t>
      </w:r>
      <w:r w:rsidR="00123FDA">
        <w:t xml:space="preserve">now been </w:t>
      </w:r>
      <w:r w:rsidR="00F07379">
        <w:t>diminished</w:t>
      </w:r>
      <w:r w:rsidR="003C5D58">
        <w:t>,</w:t>
      </w:r>
      <w:r w:rsidR="009D5AD2">
        <w:t xml:space="preserve"> and his lack of empathy</w:t>
      </w:r>
      <w:r w:rsidR="00C24566">
        <w:t xml:space="preserve"> for his wife is an indicator</w:t>
      </w:r>
      <w:r w:rsidR="00664066">
        <w:t xml:space="preserve"> that he is a sado</w:t>
      </w:r>
      <w:r w:rsidR="00A84A28">
        <w:t>-</w:t>
      </w:r>
      <w:r w:rsidR="00664066">
        <w:t>necrophiliac</w:t>
      </w:r>
      <w:r w:rsidR="00B8722E">
        <w:t>,</w:t>
      </w:r>
      <w:r w:rsidR="00664066">
        <w:t xml:space="preserve"> </w:t>
      </w:r>
      <w:r w:rsidR="00C2217A">
        <w:t xml:space="preserve">but also he has now satisfied his ego </w:t>
      </w:r>
      <w:r w:rsidR="00D638D4">
        <w:t>from his abandonment</w:t>
      </w:r>
      <w:r w:rsidR="009936E7">
        <w:t xml:space="preserve"> </w:t>
      </w:r>
      <w:r w:rsidR="001D2558">
        <w:t>as a child</w:t>
      </w:r>
      <w:r w:rsidR="009936E7">
        <w:t xml:space="preserve">. </w:t>
      </w:r>
      <w:r w:rsidR="009A15F6">
        <w:t xml:space="preserve">Bonaparte’s </w:t>
      </w:r>
      <w:r w:rsidR="00561ED0">
        <w:t xml:space="preserve">psychoanalytic </w:t>
      </w:r>
      <w:r w:rsidR="009A15F6">
        <w:t xml:space="preserve">interpretation of </w:t>
      </w:r>
      <w:r w:rsidR="009A15F6">
        <w:rPr>
          <w:i/>
        </w:rPr>
        <w:t xml:space="preserve">The Black Cat </w:t>
      </w:r>
      <w:r w:rsidR="00561ED0">
        <w:t>is interesting and unique</w:t>
      </w:r>
      <w:r w:rsidR="003C5D58">
        <w:t>,</w:t>
      </w:r>
      <w:r w:rsidR="00561ED0">
        <w:t xml:space="preserve"> </w:t>
      </w:r>
      <w:r w:rsidR="00413406">
        <w:t>but it does have some problems</w:t>
      </w:r>
      <w:r w:rsidR="00BF721A">
        <w:t xml:space="preserve"> as Praz says</w:t>
      </w:r>
      <w:r w:rsidR="00413406">
        <w:t xml:space="preserve"> </w:t>
      </w:r>
      <w:r w:rsidR="00A80365">
        <w:t>‘</w:t>
      </w:r>
      <w:r w:rsidR="001913E3">
        <w:t>Freud has pointed out the analogy between the dream and the creative work of the writer,</w:t>
      </w:r>
      <w:r w:rsidR="00413406">
        <w:t xml:space="preserve"> </w:t>
      </w:r>
      <w:r w:rsidR="001913E3">
        <w:t>in which the deepest infantile, age-old and unconscious desires of</w:t>
      </w:r>
      <w:r w:rsidR="000D4BAE">
        <w:t xml:space="preserve"> </w:t>
      </w:r>
      <w:r w:rsidR="001913E3">
        <w:t>the artist find a vicarious satisfaction more</w:t>
      </w:r>
      <w:r w:rsidR="00A80365">
        <w:t xml:space="preserve"> or less in disguise</w:t>
      </w:r>
      <w:r w:rsidR="00BF721A">
        <w:t>.</w:t>
      </w:r>
      <w:r w:rsidR="00A80365">
        <w:t>’</w:t>
      </w:r>
      <w:r w:rsidR="00BF4504">
        <w:rPr>
          <w:rStyle w:val="FootnoteReference"/>
        </w:rPr>
        <w:footnoteReference w:id="15"/>
      </w:r>
      <w:r w:rsidR="00BF721A">
        <w:t xml:space="preserve"> This is problematic as Bonaparte puts forward that this is the actual </w:t>
      </w:r>
      <w:r w:rsidR="00AC421D">
        <w:t xml:space="preserve">way that Poe thought and </w:t>
      </w:r>
      <w:r w:rsidR="00CC3FCA">
        <w:t>insists that it is the right interpretation</w:t>
      </w:r>
      <w:r w:rsidR="002C3CF6">
        <w:t xml:space="preserve">. It can potentially be seen that Bonaparte was so heavily involved in the </w:t>
      </w:r>
      <w:r w:rsidR="002C3CF6">
        <w:lastRenderedPageBreak/>
        <w:t xml:space="preserve">psychoanalysis of Poe that she could </w:t>
      </w:r>
      <w:r w:rsidR="003C5D58">
        <w:t xml:space="preserve">have got </w:t>
      </w:r>
      <w:r w:rsidR="000B67C1">
        <w:t xml:space="preserve">herself </w:t>
      </w:r>
      <w:r w:rsidR="009A373D">
        <w:t xml:space="preserve">lost in the transference. This could </w:t>
      </w:r>
      <w:r w:rsidR="00305483">
        <w:t>be a problem in relation to</w:t>
      </w:r>
      <w:r w:rsidR="009A373D">
        <w:t xml:space="preserve"> identifying if a text contains hidden meaning.</w:t>
      </w:r>
      <w:r w:rsidR="00805300">
        <w:t xml:space="preserve"> </w:t>
      </w:r>
      <w:r w:rsidR="00861803">
        <w:t xml:space="preserve">However, there does appear to be an underlying meaning in the text of the black cat, and that is </w:t>
      </w:r>
      <w:r w:rsidR="00EE2062">
        <w:t>not only through the psycho</w:t>
      </w:r>
      <w:r w:rsidR="00F42AB3">
        <w:t>-</w:t>
      </w:r>
      <w:r w:rsidR="00EE2062">
        <w:t>biographical interpretation</w:t>
      </w:r>
      <w:r w:rsidR="003C5D58">
        <w:t>.</w:t>
      </w:r>
    </w:p>
    <w:p w14:paraId="3D0DCAB0" w14:textId="79F738D0" w:rsidR="00050E3D" w:rsidRDefault="00312535" w:rsidP="00A35E8E">
      <w:pPr>
        <w:spacing w:line="360" w:lineRule="auto"/>
        <w:jc w:val="both"/>
      </w:pPr>
      <w:r>
        <w:tab/>
      </w:r>
      <w:r w:rsidR="00A260CB">
        <w:t xml:space="preserve">E.T.A. Hoffmann’s </w:t>
      </w:r>
      <w:r w:rsidR="00A260CB">
        <w:rPr>
          <w:i/>
        </w:rPr>
        <w:t xml:space="preserve">The Sandman </w:t>
      </w:r>
      <w:r w:rsidR="0006417F">
        <w:t xml:space="preserve">is interpreted as a tale of </w:t>
      </w:r>
      <w:r w:rsidR="00446B7C">
        <w:t xml:space="preserve">uncertainty in respect to its </w:t>
      </w:r>
      <w:r w:rsidR="00CA1347">
        <w:t xml:space="preserve">structure and plot. </w:t>
      </w:r>
      <w:r w:rsidR="008B3160">
        <w:t>The tale follows Nathaniel in a series of letters</w:t>
      </w:r>
      <w:r w:rsidR="00B220E0">
        <w:t xml:space="preserve"> to his fiancée</w:t>
      </w:r>
      <w:r w:rsidR="009746C9">
        <w:t>’s</w:t>
      </w:r>
      <w:r w:rsidR="008B3160">
        <w:t xml:space="preserve"> brother</w:t>
      </w:r>
      <w:r w:rsidR="00347FF5">
        <w:t xml:space="preserve"> Lothaire </w:t>
      </w:r>
      <w:r w:rsidR="00867147">
        <w:t xml:space="preserve">as he describes the </w:t>
      </w:r>
      <w:r w:rsidR="00A21696">
        <w:t xml:space="preserve">ambiguous </w:t>
      </w:r>
      <w:r w:rsidR="00A83125">
        <w:t>Sandman</w:t>
      </w:r>
      <w:r w:rsidR="00212625">
        <w:t>,</w:t>
      </w:r>
      <w:r w:rsidR="00A83125">
        <w:t xml:space="preserve"> who he believes</w:t>
      </w:r>
      <w:r w:rsidR="00C064D4">
        <w:t xml:space="preserve"> has been</w:t>
      </w:r>
      <w:r w:rsidR="00A83125">
        <w:t xml:space="preserve"> pursuing </w:t>
      </w:r>
      <w:r w:rsidR="00C44D26">
        <w:t xml:space="preserve">him </w:t>
      </w:r>
      <w:r w:rsidR="00C064D4">
        <w:t>from his childhood.</w:t>
      </w:r>
      <w:r w:rsidR="002D05AD">
        <w:t xml:space="preserve"> </w:t>
      </w:r>
      <w:r w:rsidR="0008050A">
        <w:t>Nathaniel</w:t>
      </w:r>
      <w:r w:rsidR="00B538EB">
        <w:t>,</w:t>
      </w:r>
      <w:r w:rsidR="0008050A">
        <w:t xml:space="preserve"> through </w:t>
      </w:r>
      <w:r w:rsidR="00923A25">
        <w:t>the letters</w:t>
      </w:r>
      <w:r w:rsidR="00B538EB">
        <w:t>,</w:t>
      </w:r>
      <w:r w:rsidR="00923A25">
        <w:t xml:space="preserve"> always appears to be</w:t>
      </w:r>
      <w:r w:rsidR="0008050A">
        <w:t xml:space="preserve"> anxious about the Sandman from when his mother first tells </w:t>
      </w:r>
      <w:r w:rsidR="0092400D">
        <w:t>him</w:t>
      </w:r>
      <w:r w:rsidR="00923A25">
        <w:t xml:space="preserve"> </w:t>
      </w:r>
      <w:r w:rsidR="00B538EB">
        <w:t xml:space="preserve">about </w:t>
      </w:r>
      <w:r w:rsidR="00923A25">
        <w:t>the tale</w:t>
      </w:r>
      <w:r w:rsidR="0092400D">
        <w:t xml:space="preserve">. Freud describes a theme of a double in his essay </w:t>
      </w:r>
      <w:r w:rsidR="0092400D">
        <w:rPr>
          <w:i/>
        </w:rPr>
        <w:t xml:space="preserve">The Uncanny </w:t>
      </w:r>
      <w:r w:rsidR="0092400D">
        <w:t xml:space="preserve">and says </w:t>
      </w:r>
      <w:r w:rsidR="00D46BB4">
        <w:t xml:space="preserve">‘And finally </w:t>
      </w:r>
      <w:r w:rsidR="00EF6286">
        <w:t>there is the constant recurrence of the same thing – the</w:t>
      </w:r>
      <w:r w:rsidR="00CC5A28">
        <w:t xml:space="preserve"> repetition of the same features or character-traits or vicissitudes, of the same crimes, or even the same names through several consecutive generations.’</w:t>
      </w:r>
      <w:r w:rsidR="00CC5A28">
        <w:rPr>
          <w:rStyle w:val="FootnoteReference"/>
        </w:rPr>
        <w:footnoteReference w:id="16"/>
      </w:r>
      <w:r w:rsidR="00A21696">
        <w:t xml:space="preserve"> </w:t>
      </w:r>
      <w:r w:rsidR="00705C7B">
        <w:t>This is called the repetition-</w:t>
      </w:r>
      <w:r w:rsidR="00112273">
        <w:t>comp</w:t>
      </w:r>
      <w:r w:rsidR="0057676F">
        <w:t>ulsion as Nathaniel is always in a stage of anxiety about the</w:t>
      </w:r>
      <w:r w:rsidR="00EB52EB">
        <w:t xml:space="preserve"> Sandman</w:t>
      </w:r>
      <w:r w:rsidR="003C5D58">
        <w:t>,</w:t>
      </w:r>
      <w:r w:rsidR="00EB52EB">
        <w:t xml:space="preserve"> as the Sandman or what Nathaniel believe</w:t>
      </w:r>
      <w:r w:rsidR="006004B1">
        <w:t>s</w:t>
      </w:r>
      <w:r w:rsidR="00EB52EB">
        <w:t xml:space="preserve"> to be the Sandman, is a reoccurring figure in his life. </w:t>
      </w:r>
      <w:r w:rsidR="00050E3D">
        <w:t>Freud says ‘The child’s ambivalence toward his father splits that character into two figures, a loving father who is killed off and the threatening Coppelius who can be blamed for this violence, [...].’</w:t>
      </w:r>
      <w:r w:rsidR="00BA70BA">
        <w:rPr>
          <w:rStyle w:val="FootnoteReference"/>
        </w:rPr>
        <w:footnoteReference w:id="17"/>
      </w:r>
      <w:r w:rsidR="00050E3D">
        <w:t xml:space="preserve"> It could be interpreted that Nathaniel’s </w:t>
      </w:r>
      <w:r w:rsidR="00D75093">
        <w:t xml:space="preserve">early </w:t>
      </w:r>
      <w:r w:rsidR="00230503">
        <w:t>loss of his father c</w:t>
      </w:r>
      <w:r w:rsidR="00050E3D">
        <w:t xml:space="preserve">reated the </w:t>
      </w:r>
      <w:r w:rsidR="00D75093">
        <w:t>S</w:t>
      </w:r>
      <w:r w:rsidR="00050E3D">
        <w:t>andman himself through his unconscious</w:t>
      </w:r>
      <w:r w:rsidR="000C78D3">
        <w:t xml:space="preserve"> and his repressed memories are manifesting through his own mind</w:t>
      </w:r>
      <w:r w:rsidR="00050E3D">
        <w:t xml:space="preserve">. </w:t>
      </w:r>
    </w:p>
    <w:p w14:paraId="531C4B0A" w14:textId="7732172D" w:rsidR="00050E3D" w:rsidRPr="001829B0" w:rsidRDefault="00050E3D" w:rsidP="001829B0">
      <w:pPr>
        <w:spacing w:line="360" w:lineRule="auto"/>
        <w:ind w:firstLine="720"/>
        <w:jc w:val="both"/>
        <w:rPr>
          <w:b/>
        </w:rPr>
      </w:pPr>
      <w:r>
        <w:t xml:space="preserve">Nathaniel’s first encounter is when he is </w:t>
      </w:r>
      <w:r w:rsidR="00230503">
        <w:t xml:space="preserve">a </w:t>
      </w:r>
      <w:r>
        <w:t>child and sneaks into his father</w:t>
      </w:r>
      <w:r w:rsidR="00230503">
        <w:t>’</w:t>
      </w:r>
      <w:r>
        <w:t>s room where he always hears the Sandman enter. Nathaniel’s curiosity gets him caught by Coppelius the lawyer</w:t>
      </w:r>
      <w:r w:rsidR="00C8016D">
        <w:t>,</w:t>
      </w:r>
      <w:r>
        <w:t xml:space="preserve"> who he believes to be the Sandman and he threatens to take his eyes. The concept of losing eyes is repeated a lot in </w:t>
      </w:r>
      <w:r>
        <w:rPr>
          <w:i/>
        </w:rPr>
        <w:t>The Sandman</w:t>
      </w:r>
      <w:r>
        <w:t>. I</w:t>
      </w:r>
      <w:r w:rsidR="00BB5727">
        <w:t>t can be interpreted</w:t>
      </w:r>
      <w:r>
        <w:t xml:space="preserve"> to represent the fear of castration </w:t>
      </w:r>
      <w:r w:rsidR="000A6FEF">
        <w:t xml:space="preserve">from a psychoanalysis point of view </w:t>
      </w:r>
      <w:r>
        <w:t xml:space="preserve">as Nathaniel </w:t>
      </w:r>
      <w:r w:rsidR="00845F19">
        <w:t>experiences</w:t>
      </w:r>
      <w:r>
        <w:t xml:space="preserve"> anxiety </w:t>
      </w:r>
      <w:r w:rsidR="00A51A51">
        <w:t xml:space="preserve">repeatedly as an adult through this repressed memory. </w:t>
      </w:r>
      <w:r w:rsidR="00E17550">
        <w:t>We can see this when Coppola appears and says “There – there spectacles on the nose, those are my eyes – pretty eyes!”</w:t>
      </w:r>
      <w:r w:rsidR="00EE79EF">
        <w:rPr>
          <w:rStyle w:val="FootnoteReference"/>
        </w:rPr>
        <w:footnoteReference w:id="18"/>
      </w:r>
      <w:r w:rsidR="00EE2BAD">
        <w:t xml:space="preserve"> </w:t>
      </w:r>
      <w:r w:rsidR="00C42283">
        <w:t>And ‘Nathaniel stood paralyse</w:t>
      </w:r>
      <w:r w:rsidR="00496748">
        <w:t xml:space="preserve">d; he had seen but too plainly that Olympia’s waxen, deadly pale countenance had no eyes, but black holes instead </w:t>
      </w:r>
      <w:r w:rsidR="00472934">
        <w:t>–</w:t>
      </w:r>
      <w:r w:rsidR="00496748">
        <w:t xml:space="preserve"> </w:t>
      </w:r>
      <w:r w:rsidR="00472934">
        <w:t>she was, indeed, a lifeless doll.’</w:t>
      </w:r>
      <w:r w:rsidR="00472934">
        <w:rPr>
          <w:rStyle w:val="FootnoteReference"/>
        </w:rPr>
        <w:footnoteReference w:id="19"/>
      </w:r>
      <w:r w:rsidR="0030452E">
        <w:t xml:space="preserve"> The repetition of eyes can be interpreted as the fear of castration by Nathaniel, but it can also be interpreted </w:t>
      </w:r>
      <w:r w:rsidR="00917073">
        <w:t xml:space="preserve">as Nathaniel being blind to his own </w:t>
      </w:r>
      <w:r w:rsidR="000617A7">
        <w:t xml:space="preserve">unconsciousness. The hidden subtext creates </w:t>
      </w:r>
      <w:r w:rsidR="00393D02">
        <w:t xml:space="preserve">an ironic repetition not only when Coppola is seen to be the </w:t>
      </w:r>
      <w:r w:rsidR="00C8016D">
        <w:t>S</w:t>
      </w:r>
      <w:r w:rsidR="00393D02">
        <w:t xml:space="preserve">andman returned to Nathaniel life as a different person, but that Coppola </w:t>
      </w:r>
      <w:r w:rsidR="007F054A">
        <w:t>tries to sell him specta</w:t>
      </w:r>
      <w:r w:rsidR="00AD1B28">
        <w:t xml:space="preserve">cles which </w:t>
      </w:r>
      <w:r w:rsidR="00AD1B28">
        <w:lastRenderedPageBreak/>
        <w:t xml:space="preserve">are for his eyes. </w:t>
      </w:r>
      <w:r w:rsidR="00DE2AD2">
        <w:t xml:space="preserve">Blindness can be seen as </w:t>
      </w:r>
      <w:r w:rsidR="00C8016D">
        <w:t xml:space="preserve">a </w:t>
      </w:r>
      <w:r w:rsidR="00DE2AD2">
        <w:t>theme in my interpretation</w:t>
      </w:r>
      <w:r w:rsidR="00C8016D">
        <w:t>,</w:t>
      </w:r>
      <w:r w:rsidR="00051707">
        <w:t xml:space="preserve"> and this is revealed through what the text does not say to us and how it is revealed through the eyes of Nathaniel, who </w:t>
      </w:r>
      <w:r w:rsidR="001B490E">
        <w:t>can be interpreted</w:t>
      </w:r>
      <w:r w:rsidR="00051707">
        <w:t xml:space="preserve"> </w:t>
      </w:r>
      <w:r w:rsidR="001B490E">
        <w:t xml:space="preserve">to be very unfortunate as the </w:t>
      </w:r>
      <w:r w:rsidR="00C8016D">
        <w:t>S</w:t>
      </w:r>
      <w:r w:rsidR="001B490E">
        <w:t>andman</w:t>
      </w:r>
      <w:r w:rsidR="00603BA3">
        <w:t xml:space="preserve"> torments his life</w:t>
      </w:r>
      <w:r w:rsidR="001B490E">
        <w:t xml:space="preserve"> </w:t>
      </w:r>
      <w:r w:rsidR="00603BA3">
        <w:t xml:space="preserve">and makes him </w:t>
      </w:r>
      <w:r w:rsidR="001B490E">
        <w:t xml:space="preserve">mentally </w:t>
      </w:r>
      <w:r w:rsidR="00CC1B43">
        <w:t xml:space="preserve">unstable. The uncertainty in </w:t>
      </w:r>
      <w:r w:rsidR="004F0AA4">
        <w:t xml:space="preserve">the </w:t>
      </w:r>
      <w:r w:rsidR="00CC1B43">
        <w:t>story leaves the reader always wondering and never actually finding out the truth, whether i</w:t>
      </w:r>
      <w:r w:rsidR="00891FEA">
        <w:t>t is deliberate on the author</w:t>
      </w:r>
      <w:r w:rsidR="004F0AA4">
        <w:t>’</w:t>
      </w:r>
      <w:r w:rsidR="00891FEA">
        <w:t xml:space="preserve">s part or not, the unconscious is the unknown and is </w:t>
      </w:r>
      <w:r w:rsidR="00C10E76">
        <w:t xml:space="preserve">revealed </w:t>
      </w:r>
      <w:r w:rsidR="00AC18CB">
        <w:t xml:space="preserve">if the text is looked into deep enough. </w:t>
      </w:r>
    </w:p>
    <w:p w14:paraId="310DE024" w14:textId="7B5651E6" w:rsidR="00F20262" w:rsidRDefault="00A36D84" w:rsidP="001829B0">
      <w:pPr>
        <w:spacing w:line="360" w:lineRule="auto"/>
        <w:ind w:firstLine="720"/>
        <w:jc w:val="both"/>
      </w:pPr>
      <w:r>
        <w:t xml:space="preserve">In terms of the structure of </w:t>
      </w:r>
      <w:r>
        <w:rPr>
          <w:i/>
        </w:rPr>
        <w:t>The Sandman</w:t>
      </w:r>
      <w:r>
        <w:t>,</w:t>
      </w:r>
      <w:r w:rsidR="00753CB6">
        <w:t xml:space="preserve"> </w:t>
      </w:r>
      <w:r w:rsidR="003A7A2C">
        <w:t xml:space="preserve">we can see that the narrator claims to be someone who </w:t>
      </w:r>
      <w:r w:rsidR="00347FF5">
        <w:t>knows Lothaire</w:t>
      </w:r>
      <w:r w:rsidR="00271E38">
        <w:t xml:space="preserve"> and adds to the dimension of the unknown and</w:t>
      </w:r>
      <w:r w:rsidR="00AA7672">
        <w:t xml:space="preserve"> uncerta</w:t>
      </w:r>
      <w:r w:rsidR="009E5F7D">
        <w:t>inty, which may or may not be H</w:t>
      </w:r>
      <w:r w:rsidR="00AA7672">
        <w:t>offman</w:t>
      </w:r>
      <w:r w:rsidR="009E5F7D">
        <w:t>’</w:t>
      </w:r>
      <w:r w:rsidR="00AA7672">
        <w:t xml:space="preserve">s intention. </w:t>
      </w:r>
      <w:r w:rsidR="00FC51F8">
        <w:t xml:space="preserve"> Most of the letters are from Nathaniel as he describes </w:t>
      </w:r>
      <w:r w:rsidR="00A211FB">
        <w:t xml:space="preserve">his encounters with the </w:t>
      </w:r>
      <w:r w:rsidR="009E5F7D">
        <w:t>S</w:t>
      </w:r>
      <w:r w:rsidR="00A211FB">
        <w:t>andman</w:t>
      </w:r>
      <w:r w:rsidR="00271E38">
        <w:t>.</w:t>
      </w:r>
      <w:r w:rsidR="00FC51F8">
        <w:t xml:space="preserve"> </w:t>
      </w:r>
      <w:r w:rsidR="00154723">
        <w:t xml:space="preserve">The focaliser </w:t>
      </w:r>
      <w:r w:rsidR="00A27C5B">
        <w:t xml:space="preserve">is mostly Nathaniel as we </w:t>
      </w:r>
      <w:r w:rsidR="000A20CB">
        <w:t>see everything from his perspective</w:t>
      </w:r>
      <w:r w:rsidR="009E5F7D">
        <w:t>,</w:t>
      </w:r>
      <w:r w:rsidR="00EA2CA6">
        <w:t xml:space="preserve"> apart from the letter from Clara his fiancée</w:t>
      </w:r>
      <w:r w:rsidR="009E5F7D">
        <w:t>,</w:t>
      </w:r>
      <w:r w:rsidR="00EA2CA6">
        <w:t xml:space="preserve"> and the unknown na</w:t>
      </w:r>
      <w:r w:rsidR="002E7FDB">
        <w:t>rrator at times</w:t>
      </w:r>
      <w:r w:rsidR="00466D2D">
        <w:t>.</w:t>
      </w:r>
      <w:r w:rsidR="00C5786F">
        <w:t xml:space="preserve"> </w:t>
      </w:r>
      <w:r w:rsidR="006526B1">
        <w:t>In t</w:t>
      </w:r>
      <w:r w:rsidR="00C5786F">
        <w:t>he letter from Clara</w:t>
      </w:r>
      <w:r w:rsidR="00DA0090">
        <w:t xml:space="preserve">, there is feeling of realism </w:t>
      </w:r>
      <w:r w:rsidR="007F03C7">
        <w:t>as she says</w:t>
      </w:r>
      <w:r w:rsidR="00F20262">
        <w:t>:</w:t>
      </w:r>
      <w:r w:rsidR="007F03C7">
        <w:t xml:space="preserve"> </w:t>
      </w:r>
    </w:p>
    <w:p w14:paraId="6371AF13" w14:textId="77777777" w:rsidR="00F20262" w:rsidRDefault="00F20262" w:rsidP="00A35E8E">
      <w:pPr>
        <w:spacing w:line="360" w:lineRule="auto"/>
        <w:jc w:val="both"/>
      </w:pPr>
    </w:p>
    <w:p w14:paraId="56F78891" w14:textId="085A323C" w:rsidR="00AA7672" w:rsidRDefault="00386607" w:rsidP="00F20262">
      <w:pPr>
        <w:spacing w:line="360" w:lineRule="auto"/>
        <w:ind w:left="1440"/>
        <w:jc w:val="both"/>
      </w:pPr>
      <w:r w:rsidRPr="00F20262">
        <w:rPr>
          <w:sz w:val="18"/>
          <w:szCs w:val="18"/>
        </w:rPr>
        <w:t>“</w:t>
      </w:r>
      <w:r w:rsidR="00B77193" w:rsidRPr="00F20262">
        <w:rPr>
          <w:sz w:val="18"/>
          <w:szCs w:val="18"/>
        </w:rPr>
        <w:t>Yes, Nathaniel, you are right. Coppeliu</w:t>
      </w:r>
      <w:r w:rsidR="00A50594" w:rsidRPr="00F20262">
        <w:rPr>
          <w:sz w:val="18"/>
          <w:szCs w:val="18"/>
        </w:rPr>
        <w:t>s is an evil, hostile principle; he can produce terrible effects, like a diabolical power that has come invisibly into life; but only then, when you will not banish him from your mind and thoughts. So long as you believe in him he really exists, and exerts his influence;</w:t>
      </w:r>
      <w:r w:rsidR="00B44563" w:rsidRPr="00F20262">
        <w:rPr>
          <w:sz w:val="18"/>
          <w:szCs w:val="18"/>
        </w:rPr>
        <w:t xml:space="preserve"> only your belief is the power.”</w:t>
      </w:r>
      <w:r w:rsidR="00F20262">
        <w:rPr>
          <w:rStyle w:val="FootnoteReference"/>
          <w:sz w:val="18"/>
          <w:szCs w:val="18"/>
        </w:rPr>
        <w:footnoteReference w:id="20"/>
      </w:r>
      <w:r w:rsidR="00707A82" w:rsidRPr="00F20262">
        <w:rPr>
          <w:sz w:val="18"/>
          <w:szCs w:val="18"/>
        </w:rPr>
        <w:t xml:space="preserve"> </w:t>
      </w:r>
    </w:p>
    <w:p w14:paraId="0094F08F" w14:textId="26E1EF58" w:rsidR="00AA7672" w:rsidRDefault="00AA7672" w:rsidP="00A35E8E">
      <w:pPr>
        <w:spacing w:line="360" w:lineRule="auto"/>
        <w:jc w:val="both"/>
      </w:pPr>
    </w:p>
    <w:p w14:paraId="0B45C3FB" w14:textId="15B25F65" w:rsidR="004725D5" w:rsidRDefault="00562229" w:rsidP="00522124">
      <w:pPr>
        <w:spacing w:line="360" w:lineRule="auto"/>
        <w:jc w:val="both"/>
      </w:pPr>
      <w:r>
        <w:t xml:space="preserve">Clara raises the </w:t>
      </w:r>
      <w:r w:rsidR="001B53E8">
        <w:t>idea that</w:t>
      </w:r>
      <w:r w:rsidR="00BC0F63">
        <w:t xml:space="preserve"> Coppelius</w:t>
      </w:r>
      <w:r>
        <w:t>,</w:t>
      </w:r>
      <w:r w:rsidR="00BC0F63">
        <w:t xml:space="preserve"> who Nathaniel thinks is the </w:t>
      </w:r>
      <w:r>
        <w:t>Sa</w:t>
      </w:r>
      <w:r w:rsidR="00BC0F63">
        <w:t>ndman</w:t>
      </w:r>
      <w:r w:rsidR="00AB5B2F">
        <w:t>,</w:t>
      </w:r>
      <w:r w:rsidR="00BC0F63">
        <w:t xml:space="preserve"> is all in Nathaniel</w:t>
      </w:r>
      <w:r w:rsidR="004D52DD">
        <w:t>’s</w:t>
      </w:r>
      <w:r w:rsidR="00BC0F63">
        <w:t xml:space="preserve"> </w:t>
      </w:r>
      <w:r w:rsidR="004D52DD">
        <w:t>mind. Clara thinks that Coppel</w:t>
      </w:r>
      <w:r w:rsidR="002740A1">
        <w:t>ius is a</w:t>
      </w:r>
      <w:r w:rsidR="00AB5B2F">
        <w:t>n</w:t>
      </w:r>
      <w:r w:rsidR="002740A1">
        <w:t xml:space="preserve"> </w:t>
      </w:r>
      <w:r w:rsidR="00E1679B">
        <w:t xml:space="preserve">imaginary </w:t>
      </w:r>
      <w:r w:rsidR="002740A1">
        <w:t xml:space="preserve">fantasy </w:t>
      </w:r>
      <w:r w:rsidR="00E1679B">
        <w:t>of Nathaniel</w:t>
      </w:r>
      <w:r w:rsidR="00745EE1">
        <w:t xml:space="preserve"> and tries to make him see reality. </w:t>
      </w:r>
      <w:r w:rsidR="002364CA">
        <w:t>T</w:t>
      </w:r>
      <w:r w:rsidR="00A90A62">
        <w:t xml:space="preserve">o the implied reader, it leaves a feeling of uncertainty as we can see that Nathaniel’s experiences are uncanny, giving belief </w:t>
      </w:r>
      <w:r w:rsidR="008A483D">
        <w:t xml:space="preserve">to the thought that it is all in his head, but </w:t>
      </w:r>
      <w:r w:rsidR="006408D0">
        <w:t>at the same time we never really know if it is all in his head or this experience is really happening to him.</w:t>
      </w:r>
      <w:r w:rsidR="000970CE">
        <w:rPr>
          <w:rStyle w:val="FootnoteReference"/>
        </w:rPr>
        <w:footnoteReference w:id="21"/>
      </w:r>
      <w:r w:rsidR="007914E9">
        <w:t xml:space="preserve"> </w:t>
      </w:r>
      <w:r w:rsidR="00C121E3">
        <w:t xml:space="preserve">It can also be </w:t>
      </w:r>
      <w:r w:rsidR="007E2EFB">
        <w:t xml:space="preserve">potentially </w:t>
      </w:r>
      <w:r w:rsidR="00C121E3">
        <w:t>seen that Nathaniel i</w:t>
      </w:r>
      <w:r w:rsidR="007C4EF9">
        <w:t>s uncon</w:t>
      </w:r>
      <w:r w:rsidR="007E2EFB">
        <w:t>sciousl</w:t>
      </w:r>
      <w:r w:rsidR="00FC05ED">
        <w:t>y</w:t>
      </w:r>
      <w:r w:rsidR="007C4EF9">
        <w:t xml:space="preserve"> transferring his </w:t>
      </w:r>
      <w:r w:rsidR="007E2EFB">
        <w:t>unconsciousness to the reader</w:t>
      </w:r>
      <w:r w:rsidR="00FC05ED">
        <w:t xml:space="preserve"> and we are the li</w:t>
      </w:r>
      <w:r w:rsidR="00AB5B2F">
        <w:t>stener to his tale, unknowingly</w:t>
      </w:r>
      <w:r w:rsidR="00FC05ED">
        <w:t xml:space="preserve"> </w:t>
      </w:r>
      <w:r w:rsidR="00AB5B2F">
        <w:t xml:space="preserve">we do not know </w:t>
      </w:r>
      <w:r w:rsidR="00FC05ED">
        <w:t>this is deli</w:t>
      </w:r>
      <w:r w:rsidR="0066412C">
        <w:t>b</w:t>
      </w:r>
      <w:r w:rsidR="00FC05ED">
        <w:t xml:space="preserve">erate by Hoffman or not. </w:t>
      </w:r>
      <w:r w:rsidR="00E50258">
        <w:t>The whole text itself raises an unconsciousness through the repetitiveness and uncanny ev</w:t>
      </w:r>
      <w:r w:rsidR="0066412C">
        <w:t>ents that arise through the perspective</w:t>
      </w:r>
      <w:r w:rsidR="00E50258">
        <w:t xml:space="preserve"> of Nathaniel. </w:t>
      </w:r>
      <w:r w:rsidR="00593601">
        <w:t xml:space="preserve">Another part in the story is Nathaniel’s fascination with Olympia who at the beginning the reader </w:t>
      </w:r>
      <w:r w:rsidR="003313D1">
        <w:t>thinks is a real person</w:t>
      </w:r>
      <w:r w:rsidR="00AB5B2F">
        <w:t>,</w:t>
      </w:r>
      <w:r w:rsidR="003313D1">
        <w:t xml:space="preserve"> but turns out to be an automata that Professor Spalanzani built. </w:t>
      </w:r>
      <w:r w:rsidR="002430BF">
        <w:t>T</w:t>
      </w:r>
      <w:r w:rsidR="0058683A">
        <w:t>he surface narrative would have us believe that she was a real girl, even though the cl</w:t>
      </w:r>
      <w:r w:rsidR="00151691">
        <w:t xml:space="preserve">ues in text where available </w:t>
      </w:r>
      <w:r w:rsidR="0058683A">
        <w:t>says ‘</w:t>
      </w:r>
      <w:r w:rsidR="00701807">
        <w:t>the stiff Olympia’</w:t>
      </w:r>
      <w:r w:rsidR="00701807">
        <w:rPr>
          <w:rStyle w:val="FootnoteReference"/>
        </w:rPr>
        <w:footnoteReference w:id="22"/>
      </w:r>
      <w:r w:rsidR="00701807">
        <w:t xml:space="preserve"> and </w:t>
      </w:r>
      <w:r w:rsidR="00331A9C">
        <w:t>‘the some</w:t>
      </w:r>
      <w:r w:rsidR="00D3102C">
        <w:t xml:space="preserve">what strange bend of her </w:t>
      </w:r>
      <w:r w:rsidR="00D3102C">
        <w:lastRenderedPageBreak/>
        <w:t xml:space="preserve">back inwards, the wasp-like thinness of </w:t>
      </w:r>
      <w:r w:rsidR="00F8785C">
        <w:t>her waist, seemed to be produced by too tight lacing.’</w:t>
      </w:r>
      <w:r w:rsidR="00F8785C">
        <w:rPr>
          <w:rStyle w:val="FootnoteReference"/>
        </w:rPr>
        <w:footnoteReference w:id="23"/>
      </w:r>
      <w:r w:rsidR="00F8785C">
        <w:t xml:space="preserve"> </w:t>
      </w:r>
      <w:r w:rsidR="004725D5">
        <w:t>The text itself does not share this information with the reader, only the uncanniness of the events, However, what it does not say on the surface can reveal its meaning as it says:</w:t>
      </w:r>
    </w:p>
    <w:p w14:paraId="52B633A6" w14:textId="77777777" w:rsidR="008C6A00" w:rsidRDefault="008C6A00" w:rsidP="00522124">
      <w:pPr>
        <w:spacing w:line="360" w:lineRule="auto"/>
        <w:jc w:val="both"/>
      </w:pPr>
    </w:p>
    <w:p w14:paraId="0E7C3620" w14:textId="77777777" w:rsidR="004725D5" w:rsidRPr="00930C1A" w:rsidRDefault="004725D5" w:rsidP="00522124">
      <w:pPr>
        <w:spacing w:line="360" w:lineRule="auto"/>
        <w:ind w:left="1440"/>
        <w:jc w:val="both"/>
        <w:rPr>
          <w:sz w:val="18"/>
          <w:szCs w:val="18"/>
        </w:rPr>
      </w:pPr>
      <w:r w:rsidRPr="00930C1A">
        <w:rPr>
          <w:sz w:val="18"/>
          <w:szCs w:val="18"/>
        </w:rPr>
        <w:t xml:space="preserve">Deconstruction must, Derrida continues, “through a double gesture, a double science, a double writing, put into practice a </w:t>
      </w:r>
      <w:r w:rsidRPr="00930C1A">
        <w:rPr>
          <w:i/>
          <w:sz w:val="18"/>
          <w:szCs w:val="18"/>
        </w:rPr>
        <w:t>reversal</w:t>
      </w:r>
      <w:r w:rsidRPr="00930C1A">
        <w:rPr>
          <w:sz w:val="18"/>
          <w:szCs w:val="18"/>
        </w:rPr>
        <w:t xml:space="preserve"> of the classical opposition </w:t>
      </w:r>
      <w:r w:rsidRPr="00930C1A">
        <w:rPr>
          <w:i/>
          <w:sz w:val="18"/>
          <w:szCs w:val="18"/>
        </w:rPr>
        <w:t>and</w:t>
      </w:r>
      <w:r w:rsidRPr="00930C1A">
        <w:rPr>
          <w:sz w:val="18"/>
          <w:szCs w:val="18"/>
        </w:rPr>
        <w:t xml:space="preserve"> a general </w:t>
      </w:r>
      <w:r w:rsidRPr="00930C1A">
        <w:rPr>
          <w:i/>
          <w:sz w:val="18"/>
          <w:szCs w:val="18"/>
        </w:rPr>
        <w:t xml:space="preserve">displacement </w:t>
      </w:r>
      <w:r w:rsidRPr="00930C1A">
        <w:rPr>
          <w:sz w:val="18"/>
          <w:szCs w:val="18"/>
        </w:rPr>
        <w:t xml:space="preserve">of the system. It is on that condition alone that deconstruction will provide the means of </w:t>
      </w:r>
      <w:r w:rsidRPr="00930C1A">
        <w:rPr>
          <w:i/>
          <w:sz w:val="18"/>
          <w:szCs w:val="18"/>
        </w:rPr>
        <w:t>intervening</w:t>
      </w:r>
      <w:r w:rsidRPr="00930C1A">
        <w:rPr>
          <w:sz w:val="18"/>
          <w:szCs w:val="18"/>
        </w:rPr>
        <w:t xml:space="preserve"> in the field of oppositions it criticizes and which is also a field of non-discursive forces” (</w:t>
      </w:r>
      <w:r w:rsidRPr="00930C1A">
        <w:rPr>
          <w:i/>
          <w:sz w:val="18"/>
          <w:szCs w:val="18"/>
        </w:rPr>
        <w:t xml:space="preserve">Marges, </w:t>
      </w:r>
      <w:r w:rsidRPr="00930C1A">
        <w:rPr>
          <w:sz w:val="18"/>
          <w:szCs w:val="18"/>
        </w:rPr>
        <w:t>p.392/SEC, p.195).</w:t>
      </w:r>
      <w:r w:rsidRPr="00930C1A">
        <w:rPr>
          <w:rStyle w:val="FootnoteReference"/>
          <w:sz w:val="18"/>
          <w:szCs w:val="18"/>
        </w:rPr>
        <w:footnoteReference w:id="24"/>
      </w:r>
      <w:r w:rsidRPr="00930C1A">
        <w:rPr>
          <w:sz w:val="18"/>
          <w:szCs w:val="18"/>
        </w:rPr>
        <w:t xml:space="preserve"> </w:t>
      </w:r>
    </w:p>
    <w:p w14:paraId="4E35171B" w14:textId="77777777" w:rsidR="004725D5" w:rsidRDefault="004725D5" w:rsidP="00522124">
      <w:pPr>
        <w:spacing w:line="360" w:lineRule="auto"/>
        <w:jc w:val="both"/>
        <w:rPr>
          <w:b/>
        </w:rPr>
      </w:pPr>
    </w:p>
    <w:p w14:paraId="00F4F60F" w14:textId="3BDCE93B" w:rsidR="00F93B6D" w:rsidRDefault="004725D5" w:rsidP="00A35E8E">
      <w:pPr>
        <w:spacing w:line="360" w:lineRule="auto"/>
        <w:jc w:val="both"/>
      </w:pPr>
      <w:r>
        <w:tab/>
        <w:t>Olympia’s only response to Nathaniel always is the same,</w:t>
      </w:r>
      <w:r w:rsidR="0065707C">
        <w:t xml:space="preserve"> “Ah-ah!”</w:t>
      </w:r>
      <w:r w:rsidR="0065707C">
        <w:rPr>
          <w:rStyle w:val="FootnoteReference"/>
        </w:rPr>
        <w:footnoteReference w:id="25"/>
      </w:r>
      <w:r w:rsidR="005A539D">
        <w:t xml:space="preserve"> A</w:t>
      </w:r>
      <w:r w:rsidR="00081721">
        <w:t xml:space="preserve"> deeper</w:t>
      </w:r>
      <w:r w:rsidR="001C2616">
        <w:t xml:space="preserve"> understanding of subtext is revealed when Olympia is shown to be a mechanical doll but </w:t>
      </w:r>
      <w:r w:rsidR="0017648D">
        <w:t xml:space="preserve">in </w:t>
      </w:r>
      <w:r w:rsidR="001C2616">
        <w:t>understanding th</w:t>
      </w:r>
      <w:r w:rsidR="00B51373">
        <w:t>e blindness of the text</w:t>
      </w:r>
      <w:r w:rsidR="0017648D">
        <w:t>,</w:t>
      </w:r>
      <w:r w:rsidR="00B51373">
        <w:t xml:space="preserve"> </w:t>
      </w:r>
      <w:r w:rsidR="0017648D">
        <w:t>it shows an internal contradiction</w:t>
      </w:r>
      <w:r w:rsidR="001C2616">
        <w:t xml:space="preserve">. </w:t>
      </w:r>
      <w:r w:rsidR="00FD34E5">
        <w:t>Hoffman</w:t>
      </w:r>
      <w:r w:rsidR="00913A97">
        <w:t>’</w:t>
      </w:r>
      <w:r w:rsidR="00FD34E5">
        <w:t>s portrayal of Olympia</w:t>
      </w:r>
      <w:r w:rsidR="00B825AB">
        <w:t>,</w:t>
      </w:r>
      <w:r w:rsidR="00FD34E5">
        <w:t xml:space="preserve"> through Nathaniel</w:t>
      </w:r>
      <w:r w:rsidR="00F414A5">
        <w:t>’s</w:t>
      </w:r>
      <w:r w:rsidR="00FD34E5">
        <w:t xml:space="preserve"> perspective reveals Nathaniel‘s state of mind in the story, that his unconscious has projected a lifeless doll into something he falls in love with</w:t>
      </w:r>
      <w:r w:rsidR="009D3E3B">
        <w:t xml:space="preserve"> and believes is a real person</w:t>
      </w:r>
      <w:r w:rsidR="00A67E9B">
        <w:t>.</w:t>
      </w:r>
      <w:r w:rsidR="00081721">
        <w:t xml:space="preserve"> </w:t>
      </w:r>
    </w:p>
    <w:p w14:paraId="2EF78DF1" w14:textId="3DB9E49A" w:rsidR="0057679D" w:rsidRDefault="00B52FDD" w:rsidP="00A35E8E">
      <w:pPr>
        <w:spacing w:line="360" w:lineRule="auto"/>
        <w:jc w:val="both"/>
      </w:pPr>
      <w:r>
        <w:tab/>
        <w:t>The statement by Eagleton</w:t>
      </w:r>
      <w:r w:rsidR="006A3087">
        <w:t>,</w:t>
      </w:r>
      <w:r>
        <w:t xml:space="preserve"> through my analysis of these two texts</w:t>
      </w:r>
      <w:r w:rsidR="006A3087">
        <w:t>,</w:t>
      </w:r>
      <w:r>
        <w:t xml:space="preserve"> have revealed </w:t>
      </w:r>
      <w:r w:rsidR="006A3087">
        <w:t xml:space="preserve">to me and others </w:t>
      </w:r>
      <w:r w:rsidR="009667EA">
        <w:t xml:space="preserve">the possibility of the unconscious mind hiding amongst </w:t>
      </w:r>
      <w:r w:rsidR="00295F79">
        <w:t xml:space="preserve">a text. A first reading of the texts reveal the surface narrative </w:t>
      </w:r>
      <w:r w:rsidR="00D301E2">
        <w:t>with a story that can be followed by all</w:t>
      </w:r>
      <w:r w:rsidR="00483014">
        <w:t>,</w:t>
      </w:r>
      <w:r w:rsidR="00D301E2">
        <w:t xml:space="preserve"> but when re-reading the texts using psychoanalysis and in terms of </w:t>
      </w:r>
      <w:r w:rsidR="00483014">
        <w:t>S</w:t>
      </w:r>
      <w:r w:rsidR="00D301E2">
        <w:t>tructuralism</w:t>
      </w:r>
      <w:r w:rsidR="007E7BE5">
        <w:t xml:space="preserve">, can be interpreted to reveal a deeper understanding. </w:t>
      </w:r>
      <w:r w:rsidR="00CB2E0F">
        <w:t xml:space="preserve">I would agree with the statement </w:t>
      </w:r>
      <w:r w:rsidR="0046775B">
        <w:t>to the extent that there can be subtext to a certain degree</w:t>
      </w:r>
      <w:r w:rsidR="00483014">
        <w:t>,</w:t>
      </w:r>
      <w:r w:rsidR="0046775B">
        <w:t xml:space="preserve"> but it is in how we would analyse the text in the first place that reveals its meanings.</w:t>
      </w:r>
      <w:r w:rsidR="007130C7">
        <w:t xml:space="preserve"> In Bonaparte’s reading of </w:t>
      </w:r>
      <w:r w:rsidR="007130C7">
        <w:rPr>
          <w:i/>
        </w:rPr>
        <w:t>The Bla</w:t>
      </w:r>
      <w:r w:rsidR="00612E8F">
        <w:rPr>
          <w:i/>
        </w:rPr>
        <w:t xml:space="preserve">ck </w:t>
      </w:r>
      <w:r w:rsidR="00483014">
        <w:rPr>
          <w:i/>
        </w:rPr>
        <w:t>C</w:t>
      </w:r>
      <w:r w:rsidR="00612E8F">
        <w:rPr>
          <w:i/>
        </w:rPr>
        <w:t xml:space="preserve">at, </w:t>
      </w:r>
      <w:r w:rsidR="00612E8F">
        <w:t>she insists that her psychoanalysis is the right interpretation of Poe and his thought process which is a problem</w:t>
      </w:r>
      <w:r w:rsidR="003E4E6F">
        <w:t xml:space="preserve"> because how can she possibly know this. </w:t>
      </w:r>
      <w:r w:rsidR="006A1C78">
        <w:rPr>
          <w:i/>
        </w:rPr>
        <w:t xml:space="preserve">The Sandman’s </w:t>
      </w:r>
      <w:r w:rsidR="00634461">
        <w:t>deftly</w:t>
      </w:r>
      <w:r w:rsidR="00D93A1F">
        <w:t xml:space="preserve"> constructed world, still uncertain</w:t>
      </w:r>
      <w:r w:rsidR="0010620A">
        <w:t xml:space="preserve"> if fantasy or not</w:t>
      </w:r>
      <w:r w:rsidR="00483014">
        <w:t>,</w:t>
      </w:r>
      <w:r w:rsidR="0010620A">
        <w:t xml:space="preserve"> is an interesting way to view how text can reveal hidden meaning and through </w:t>
      </w:r>
      <w:r w:rsidR="00483014">
        <w:t>P</w:t>
      </w:r>
      <w:r w:rsidR="0010620A">
        <w:t xml:space="preserve">ost </w:t>
      </w:r>
      <w:r w:rsidR="00483014">
        <w:t>S</w:t>
      </w:r>
      <w:r w:rsidR="0010620A">
        <w:t xml:space="preserve">tructuralism, we can see potential interpretations. </w:t>
      </w:r>
      <w:r w:rsidR="00D93A1F">
        <w:t xml:space="preserve"> </w:t>
      </w:r>
      <w:r w:rsidR="000771BD">
        <w:t>Psychoanalysis is not really done this way any more</w:t>
      </w:r>
      <w:r w:rsidR="005A4B3B">
        <w:t>,</w:t>
      </w:r>
      <w:r w:rsidR="000771BD">
        <w:t xml:space="preserve"> but it would be interesting to use this type of analysis on a modern day story</w:t>
      </w:r>
      <w:r w:rsidR="005A4B3B">
        <w:t>,</w:t>
      </w:r>
      <w:r w:rsidR="00D77AF0">
        <w:t xml:space="preserve"> especially in terms of semiotics because </w:t>
      </w:r>
      <w:r w:rsidR="007971B1">
        <w:t>of the</w:t>
      </w:r>
      <w:r w:rsidR="00D77AF0">
        <w:t xml:space="preserve"> various different ways of interpreting texts. </w:t>
      </w:r>
    </w:p>
    <w:p w14:paraId="483A951C" w14:textId="177E21A3" w:rsidR="003D0E3E" w:rsidRDefault="003D0E3E" w:rsidP="00A35E8E">
      <w:pPr>
        <w:spacing w:line="360" w:lineRule="auto"/>
        <w:jc w:val="both"/>
      </w:pPr>
    </w:p>
    <w:p w14:paraId="41648688" w14:textId="77777777" w:rsidR="004D126A" w:rsidRDefault="004D126A" w:rsidP="00A35E8E">
      <w:pPr>
        <w:spacing w:line="360" w:lineRule="auto"/>
        <w:jc w:val="both"/>
      </w:pPr>
    </w:p>
    <w:p w14:paraId="5D152284" w14:textId="77777777" w:rsidR="005A4B3B" w:rsidRDefault="005A4B3B" w:rsidP="00A35E8E">
      <w:pPr>
        <w:spacing w:line="360" w:lineRule="auto"/>
        <w:jc w:val="both"/>
        <w:rPr>
          <w:b/>
        </w:rPr>
      </w:pPr>
    </w:p>
    <w:p w14:paraId="682D3506" w14:textId="77777777" w:rsidR="005A4B3B" w:rsidRDefault="005A4B3B" w:rsidP="00A35E8E">
      <w:pPr>
        <w:spacing w:line="360" w:lineRule="auto"/>
        <w:jc w:val="both"/>
        <w:rPr>
          <w:b/>
        </w:rPr>
      </w:pPr>
    </w:p>
    <w:p w14:paraId="48D2169B" w14:textId="77777777" w:rsidR="005A4B3B" w:rsidRDefault="005A4B3B" w:rsidP="00A35E8E">
      <w:pPr>
        <w:spacing w:line="360" w:lineRule="auto"/>
        <w:jc w:val="both"/>
        <w:rPr>
          <w:b/>
        </w:rPr>
      </w:pPr>
    </w:p>
    <w:p w14:paraId="276A879A" w14:textId="51E13C45" w:rsidR="003D0E3E" w:rsidRDefault="003D0E3E" w:rsidP="00A35E8E">
      <w:pPr>
        <w:spacing w:line="360" w:lineRule="auto"/>
        <w:jc w:val="both"/>
        <w:rPr>
          <w:b/>
        </w:rPr>
      </w:pPr>
      <w:r>
        <w:rPr>
          <w:b/>
        </w:rPr>
        <w:lastRenderedPageBreak/>
        <w:t>Bibliography</w:t>
      </w:r>
    </w:p>
    <w:p w14:paraId="13841366" w14:textId="470E6949" w:rsidR="003D0E3E" w:rsidRDefault="003D0E3E" w:rsidP="00A35E8E">
      <w:pPr>
        <w:spacing w:line="360" w:lineRule="auto"/>
        <w:jc w:val="both"/>
        <w:rPr>
          <w:b/>
        </w:rPr>
      </w:pPr>
    </w:p>
    <w:p w14:paraId="5BC52374" w14:textId="77777777" w:rsidR="00435681" w:rsidRPr="00435681" w:rsidRDefault="00435681" w:rsidP="00FF1B9C">
      <w:pPr>
        <w:rPr>
          <w:rFonts w:eastAsia="Times New Roman" w:cs="Times New Roman"/>
        </w:rPr>
      </w:pPr>
      <w:r w:rsidRPr="00435681">
        <w:rPr>
          <w:rFonts w:eastAsia="Times New Roman" w:cs="Times New Roman"/>
          <w:color w:val="000000"/>
        </w:rPr>
        <w:t>Bonaparte, Marie, </w:t>
      </w:r>
      <w:r w:rsidRPr="00435681">
        <w:rPr>
          <w:rFonts w:eastAsia="Times New Roman" w:cs="Times New Roman"/>
          <w:i/>
          <w:iCs/>
          <w:color w:val="000000"/>
        </w:rPr>
        <w:t>The Life and Works of Edgar Allan Poe: A Psycho-Analytic Interpretation</w:t>
      </w:r>
      <w:r w:rsidRPr="00435681">
        <w:rPr>
          <w:rFonts w:eastAsia="Times New Roman" w:cs="Times New Roman"/>
          <w:color w:val="000000"/>
        </w:rPr>
        <w:t xml:space="preserve">, Ch. XXXVII ‘The Black Cat’ (London: Imago, 1949) </w:t>
      </w:r>
    </w:p>
    <w:p w14:paraId="36E853A2" w14:textId="1BCC58F6" w:rsidR="00AA323C" w:rsidRPr="00435681" w:rsidRDefault="00AA323C" w:rsidP="00FF1B9C">
      <w:pPr>
        <w:pStyle w:val="FootnoteText"/>
        <w:rPr>
          <w:sz w:val="22"/>
          <w:szCs w:val="22"/>
        </w:rPr>
      </w:pPr>
    </w:p>
    <w:p w14:paraId="0088D804" w14:textId="01D56097" w:rsidR="00AA323C" w:rsidRPr="00435681" w:rsidRDefault="00AA323C" w:rsidP="00FF1B9C">
      <w:pPr>
        <w:rPr>
          <w:rFonts w:eastAsia="Times New Roman"/>
        </w:rPr>
      </w:pPr>
      <w:r w:rsidRPr="00435681">
        <w:rPr>
          <w:rFonts w:eastAsia="Times New Roman" w:cs="Arial"/>
          <w:color w:val="333333"/>
          <w:shd w:val="clear" w:color="auto" w:fill="FFFFFF"/>
        </w:rPr>
        <w:t>Freud, Sigmund, et al. “Fiction and Its Phantoms: A Reading of Freud's Das Unheimliche (The ‘Uncanny’).”</w:t>
      </w:r>
      <w:r w:rsidRPr="00435681">
        <w:rPr>
          <w:rStyle w:val="apple-converted-space"/>
          <w:rFonts w:eastAsia="Times New Roman" w:cs="Arial"/>
          <w:color w:val="333333"/>
          <w:shd w:val="clear" w:color="auto" w:fill="FFFFFF"/>
        </w:rPr>
        <w:t> </w:t>
      </w:r>
      <w:r w:rsidRPr="00435681">
        <w:rPr>
          <w:rFonts w:eastAsia="Times New Roman" w:cs="Arial"/>
          <w:i/>
          <w:iCs/>
          <w:color w:val="333333"/>
        </w:rPr>
        <w:t>New Literary History</w:t>
      </w:r>
      <w:r w:rsidRPr="00435681">
        <w:rPr>
          <w:rFonts w:eastAsia="Times New Roman" w:cs="Arial"/>
          <w:color w:val="333333"/>
          <w:shd w:val="clear" w:color="auto" w:fill="FFFFFF"/>
        </w:rPr>
        <w:t>, vol. 7, no. 3, 1976, pp. 525–645.</w:t>
      </w:r>
      <w:r w:rsidRPr="00435681">
        <w:rPr>
          <w:rStyle w:val="apple-converted-space"/>
          <w:rFonts w:eastAsia="Times New Roman" w:cs="Arial"/>
          <w:color w:val="333333"/>
          <w:shd w:val="clear" w:color="auto" w:fill="FFFFFF"/>
        </w:rPr>
        <w:t> </w:t>
      </w:r>
      <w:r w:rsidRPr="00435681">
        <w:rPr>
          <w:rFonts w:eastAsia="Times New Roman" w:cs="Arial"/>
          <w:iCs/>
          <w:color w:val="333333"/>
        </w:rPr>
        <w:t>JSTOR</w:t>
      </w:r>
      <w:r w:rsidR="005E1643">
        <w:rPr>
          <w:rFonts w:eastAsia="Times New Roman" w:cs="Arial"/>
          <w:color w:val="333333"/>
          <w:shd w:val="clear" w:color="auto" w:fill="FFFFFF"/>
        </w:rPr>
        <w:t xml:space="preserve">, </w:t>
      </w:r>
      <w:r w:rsidR="00435681">
        <w:rPr>
          <w:rFonts w:eastAsia="Times New Roman" w:cs="Arial"/>
          <w:color w:val="333333"/>
          <w:shd w:val="clear" w:color="auto" w:fill="FFFFFF"/>
        </w:rPr>
        <w:t>&lt;</w:t>
      </w:r>
      <w:hyperlink r:id="rId7" w:history="1">
        <w:r w:rsidR="00435681" w:rsidRPr="002D0182">
          <w:rPr>
            <w:rStyle w:val="Hyperlink"/>
            <w:rFonts w:eastAsia="Times New Roman" w:cs="Arial"/>
            <w:shd w:val="clear" w:color="auto" w:fill="FFFFFF"/>
          </w:rPr>
          <w:t>www.jstor.org/stable/468561</w:t>
        </w:r>
      </w:hyperlink>
      <w:r w:rsidR="00435681">
        <w:rPr>
          <w:rFonts w:eastAsia="Times New Roman" w:cs="Arial"/>
          <w:color w:val="333333"/>
          <w:shd w:val="clear" w:color="auto" w:fill="FFFFFF"/>
        </w:rPr>
        <w:t xml:space="preserve">&gt; </w:t>
      </w:r>
      <w:r w:rsidR="00C53310">
        <w:rPr>
          <w:rFonts w:eastAsia="Times New Roman" w:cs="Arial"/>
          <w:color w:val="333333"/>
          <w:shd w:val="clear" w:color="auto" w:fill="FFFFFF"/>
        </w:rPr>
        <w:t>[Accessed on 25</w:t>
      </w:r>
      <w:r w:rsidR="005E1643" w:rsidRPr="005E1643">
        <w:rPr>
          <w:rFonts w:eastAsia="Times New Roman" w:cs="Arial"/>
          <w:color w:val="333333"/>
          <w:shd w:val="clear" w:color="auto" w:fill="FFFFFF"/>
          <w:vertAlign w:val="superscript"/>
        </w:rPr>
        <w:t>th</w:t>
      </w:r>
      <w:r w:rsidR="00C53310">
        <w:rPr>
          <w:rFonts w:eastAsia="Times New Roman" w:cs="Arial"/>
          <w:color w:val="333333"/>
          <w:shd w:val="clear" w:color="auto" w:fill="FFFFFF"/>
        </w:rPr>
        <w:t xml:space="preserve"> November 2017]</w:t>
      </w:r>
    </w:p>
    <w:p w14:paraId="69D96F4C" w14:textId="0167A800" w:rsidR="00AA323C" w:rsidRPr="00435681" w:rsidRDefault="00AA323C" w:rsidP="00FF1B9C">
      <w:pPr>
        <w:pStyle w:val="FootnoteText"/>
        <w:rPr>
          <w:sz w:val="22"/>
          <w:szCs w:val="22"/>
        </w:rPr>
      </w:pPr>
    </w:p>
    <w:p w14:paraId="3CE7A0CB" w14:textId="688D5AEC" w:rsidR="00C37436" w:rsidRDefault="00AA323C" w:rsidP="00435681">
      <w:pPr>
        <w:pStyle w:val="FootnoteText"/>
        <w:rPr>
          <w:sz w:val="22"/>
          <w:szCs w:val="22"/>
        </w:rPr>
      </w:pPr>
      <w:r w:rsidRPr="00435681">
        <w:rPr>
          <w:sz w:val="22"/>
          <w:szCs w:val="22"/>
        </w:rPr>
        <w:t xml:space="preserve">Freud, Sigmund,  ‘The Uncanny’, in </w:t>
      </w:r>
      <w:r w:rsidRPr="00435681">
        <w:rPr>
          <w:i/>
          <w:sz w:val="22"/>
          <w:szCs w:val="22"/>
        </w:rPr>
        <w:t>The Standard Edition of the Complete Psychological Works of Sigmund Freud</w:t>
      </w:r>
      <w:r w:rsidRPr="00435681">
        <w:rPr>
          <w:sz w:val="22"/>
          <w:szCs w:val="22"/>
        </w:rPr>
        <w:t>, Vol XVII, translated by</w:t>
      </w:r>
      <w:r w:rsidR="00435681">
        <w:rPr>
          <w:sz w:val="22"/>
          <w:szCs w:val="22"/>
        </w:rPr>
        <w:t xml:space="preserve"> </w:t>
      </w:r>
      <w:r w:rsidR="00C37436" w:rsidRPr="00435681">
        <w:rPr>
          <w:sz w:val="22"/>
          <w:szCs w:val="22"/>
        </w:rPr>
        <w:t>James Strachey, (London: Hogarth Press, 1917)</w:t>
      </w:r>
    </w:p>
    <w:p w14:paraId="11E5F2F2" w14:textId="77777777" w:rsidR="00435681" w:rsidRPr="00435681" w:rsidRDefault="00435681" w:rsidP="00435681">
      <w:pPr>
        <w:pStyle w:val="FootnoteText"/>
        <w:rPr>
          <w:sz w:val="22"/>
          <w:szCs w:val="22"/>
        </w:rPr>
      </w:pPr>
    </w:p>
    <w:p w14:paraId="6ACC4786" w14:textId="38F321B3" w:rsidR="00AA323C" w:rsidRPr="00435681" w:rsidRDefault="00AB53BC" w:rsidP="00435681">
      <w:pPr>
        <w:spacing w:line="360" w:lineRule="auto"/>
        <w:jc w:val="both"/>
        <w:rPr>
          <w:rFonts w:eastAsia="Times New Roman" w:cs="Times New Roman"/>
          <w:color w:val="000000"/>
        </w:rPr>
      </w:pPr>
      <w:r w:rsidRPr="00435681">
        <w:rPr>
          <w:rFonts w:eastAsia="Times New Roman" w:cs="Times New Roman"/>
          <w:color w:val="000000"/>
        </w:rPr>
        <w:t>Hawkes, Terence, </w:t>
      </w:r>
      <w:r w:rsidRPr="00435681">
        <w:rPr>
          <w:rFonts w:eastAsia="Times New Roman" w:cs="Times New Roman"/>
          <w:i/>
          <w:iCs/>
          <w:color w:val="000000"/>
        </w:rPr>
        <w:t>Structuralism and Semiotics</w:t>
      </w:r>
      <w:r w:rsidRPr="00435681">
        <w:rPr>
          <w:rFonts w:eastAsia="Times New Roman" w:cs="Times New Roman"/>
          <w:i/>
          <w:color w:val="000000"/>
        </w:rPr>
        <w:t> </w:t>
      </w:r>
      <w:r w:rsidRPr="00435681">
        <w:rPr>
          <w:rFonts w:eastAsia="Times New Roman" w:cs="Times New Roman"/>
          <w:color w:val="000000"/>
        </w:rPr>
        <w:t xml:space="preserve">(London: Methuen, 1977) </w:t>
      </w:r>
    </w:p>
    <w:p w14:paraId="55695F9B" w14:textId="77777777" w:rsidR="00AB53BC" w:rsidRPr="00435681" w:rsidRDefault="00AB53BC" w:rsidP="00FF1B9C">
      <w:pPr>
        <w:pStyle w:val="FootnoteText"/>
        <w:rPr>
          <w:sz w:val="22"/>
          <w:szCs w:val="22"/>
        </w:rPr>
      </w:pPr>
    </w:p>
    <w:p w14:paraId="02865243" w14:textId="77777777" w:rsidR="009F511A" w:rsidRPr="00435681" w:rsidRDefault="009F511A" w:rsidP="00FF1B9C">
      <w:pPr>
        <w:rPr>
          <w:rFonts w:eastAsia="Times New Roman" w:cs="Times New Roman"/>
        </w:rPr>
      </w:pPr>
      <w:r w:rsidRPr="00435681">
        <w:rPr>
          <w:rFonts w:eastAsia="Times New Roman" w:cs="Times New Roman"/>
          <w:color w:val="000000"/>
        </w:rPr>
        <w:t>Hertz, Neil, ‘Freud and the Sandman’, in </w:t>
      </w:r>
      <w:r w:rsidRPr="00435681">
        <w:rPr>
          <w:rFonts w:eastAsia="Times New Roman" w:cs="Times New Roman"/>
          <w:i/>
          <w:iCs/>
          <w:color w:val="000000"/>
        </w:rPr>
        <w:t>Textual Strategies: Perspectives in Post-Structuralist Criticism</w:t>
      </w:r>
      <w:r w:rsidRPr="00435681">
        <w:rPr>
          <w:rFonts w:eastAsia="Times New Roman" w:cs="Times New Roman"/>
          <w:i/>
          <w:color w:val="000000"/>
        </w:rPr>
        <w:t>,</w:t>
      </w:r>
      <w:r w:rsidRPr="00435681">
        <w:rPr>
          <w:rFonts w:eastAsia="Times New Roman" w:cs="Times New Roman"/>
          <w:color w:val="000000"/>
        </w:rPr>
        <w:t xml:space="preserve"> ed. by Josué Harari (London: Methuen, 1980)</w:t>
      </w:r>
    </w:p>
    <w:p w14:paraId="6D9294DC" w14:textId="77777777" w:rsidR="00AB53BC" w:rsidRPr="00435681" w:rsidRDefault="00AB53BC" w:rsidP="00FF1B9C">
      <w:pPr>
        <w:pStyle w:val="FootnoteText"/>
        <w:rPr>
          <w:rFonts w:eastAsia="Times New Roman" w:cs="Times New Roman"/>
          <w:color w:val="000000"/>
          <w:sz w:val="22"/>
          <w:szCs w:val="22"/>
        </w:rPr>
      </w:pPr>
    </w:p>
    <w:p w14:paraId="490C963F" w14:textId="7890FEF9" w:rsidR="009F511A" w:rsidRPr="00435681" w:rsidRDefault="009F511A" w:rsidP="00FF1B9C">
      <w:pPr>
        <w:pStyle w:val="FootnoteText"/>
        <w:rPr>
          <w:sz w:val="22"/>
          <w:szCs w:val="22"/>
        </w:rPr>
      </w:pPr>
      <w:r w:rsidRPr="00435681">
        <w:rPr>
          <w:rFonts w:eastAsia="Times New Roman" w:cs="Times New Roman"/>
          <w:color w:val="000000"/>
          <w:sz w:val="22"/>
          <w:szCs w:val="22"/>
        </w:rPr>
        <w:t>Hoffman, E.T.A., </w:t>
      </w:r>
      <w:r w:rsidRPr="00435681">
        <w:rPr>
          <w:rFonts w:eastAsia="Times New Roman" w:cs="Times New Roman"/>
          <w:i/>
          <w:iCs/>
          <w:color w:val="000000"/>
          <w:sz w:val="22"/>
          <w:szCs w:val="22"/>
        </w:rPr>
        <w:t>The Sandman, The Elementary Spirit (Two Mysterious Tales)</w:t>
      </w:r>
      <w:r w:rsidRPr="00435681">
        <w:rPr>
          <w:rFonts w:eastAsia="Times New Roman" w:cs="Times New Roman"/>
          <w:color w:val="000000"/>
          <w:sz w:val="22"/>
          <w:szCs w:val="22"/>
        </w:rPr>
        <w:t>, translated by John Oxenford, German Classics series (New York: Mondial, 2008)</w:t>
      </w:r>
    </w:p>
    <w:p w14:paraId="10D952D9" w14:textId="77777777" w:rsidR="00AB53BC" w:rsidRPr="00435681" w:rsidRDefault="00AB53BC" w:rsidP="00FF1B9C">
      <w:pPr>
        <w:spacing w:line="360" w:lineRule="auto"/>
        <w:jc w:val="both"/>
      </w:pPr>
    </w:p>
    <w:p w14:paraId="4A436830" w14:textId="1DC10494" w:rsidR="00AB53BC" w:rsidRPr="00435681" w:rsidRDefault="00AB53BC" w:rsidP="00FF1B9C">
      <w:pPr>
        <w:spacing w:line="360" w:lineRule="auto"/>
        <w:jc w:val="both"/>
      </w:pPr>
      <w:r w:rsidRPr="00435681">
        <w:t xml:space="preserve">Jonathan, Culler, </w:t>
      </w:r>
      <w:r w:rsidRPr="00435681">
        <w:rPr>
          <w:i/>
        </w:rPr>
        <w:t>On Deconstruction: Theory and Criticism after Structuralism</w:t>
      </w:r>
      <w:r w:rsidRPr="00435681">
        <w:t xml:space="preserve"> (London, Routeledge, reprinted several times)</w:t>
      </w:r>
    </w:p>
    <w:p w14:paraId="35A662E7" w14:textId="77777777" w:rsidR="005E1643" w:rsidRDefault="005E1643" w:rsidP="00FF1B9C">
      <w:pPr>
        <w:rPr>
          <w:rFonts w:eastAsia="Times New Roman" w:cs="Arial"/>
          <w:color w:val="333333"/>
          <w:shd w:val="clear" w:color="auto" w:fill="FFFFFF"/>
        </w:rPr>
      </w:pPr>
    </w:p>
    <w:p w14:paraId="14179CB2" w14:textId="301FAAA6" w:rsidR="005E1643" w:rsidRPr="00435681" w:rsidRDefault="00435681" w:rsidP="00FF1B9C">
      <w:pPr>
        <w:rPr>
          <w:rFonts w:eastAsia="Times New Roman"/>
        </w:rPr>
      </w:pPr>
      <w:r w:rsidRPr="00435681">
        <w:rPr>
          <w:rFonts w:eastAsia="Times New Roman" w:cs="Arial"/>
          <w:color w:val="333333"/>
          <w:shd w:val="clear" w:color="auto" w:fill="FFFFFF"/>
        </w:rPr>
        <w:t>Laplanche, Jean, et al. “The Unconscious: A Psychoanalytic Study.” </w:t>
      </w:r>
      <w:r w:rsidRPr="00435681">
        <w:rPr>
          <w:rFonts w:eastAsia="Times New Roman" w:cs="Arial"/>
          <w:i/>
          <w:iCs/>
          <w:color w:val="333333"/>
        </w:rPr>
        <w:t>Yale French Studies</w:t>
      </w:r>
      <w:r w:rsidRPr="00435681">
        <w:rPr>
          <w:rFonts w:eastAsia="Times New Roman" w:cs="Arial"/>
          <w:color w:val="333333"/>
          <w:shd w:val="clear" w:color="auto" w:fill="FFFFFF"/>
        </w:rPr>
        <w:t>, no. 48, 1972, pp. 118–175. </w:t>
      </w:r>
      <w:r w:rsidRPr="00435681">
        <w:rPr>
          <w:rFonts w:eastAsia="Times New Roman" w:cs="Arial"/>
          <w:iCs/>
          <w:color w:val="333333"/>
        </w:rPr>
        <w:t>JSTOR</w:t>
      </w:r>
      <w:r w:rsidR="005E1643">
        <w:rPr>
          <w:rFonts w:eastAsia="Times New Roman" w:cs="Arial"/>
          <w:color w:val="333333"/>
          <w:shd w:val="clear" w:color="auto" w:fill="FFFFFF"/>
        </w:rPr>
        <w:t>, &lt;</w:t>
      </w:r>
      <w:hyperlink r:id="rId8" w:history="1">
        <w:r w:rsidR="005E1643" w:rsidRPr="002D0182">
          <w:rPr>
            <w:rStyle w:val="Hyperlink"/>
            <w:rFonts w:eastAsia="Times New Roman" w:cs="Arial"/>
            <w:shd w:val="clear" w:color="auto" w:fill="FFFFFF"/>
          </w:rPr>
          <w:t>www.jstor.org/stable/2929626</w:t>
        </w:r>
      </w:hyperlink>
      <w:r w:rsidR="005E1643">
        <w:rPr>
          <w:rFonts w:eastAsia="Times New Roman" w:cs="Arial"/>
          <w:color w:val="333333"/>
          <w:shd w:val="clear" w:color="auto" w:fill="FFFFFF"/>
        </w:rPr>
        <w:t>&gt; [Accessed on 23</w:t>
      </w:r>
      <w:r w:rsidR="005E1643" w:rsidRPr="005E1643">
        <w:rPr>
          <w:rFonts w:eastAsia="Times New Roman" w:cs="Arial"/>
          <w:color w:val="333333"/>
          <w:shd w:val="clear" w:color="auto" w:fill="FFFFFF"/>
          <w:vertAlign w:val="superscript"/>
        </w:rPr>
        <w:t>rd</w:t>
      </w:r>
      <w:r w:rsidR="005E1643">
        <w:rPr>
          <w:rFonts w:eastAsia="Times New Roman" w:cs="Arial"/>
          <w:color w:val="333333"/>
          <w:shd w:val="clear" w:color="auto" w:fill="FFFFFF"/>
        </w:rPr>
        <w:t xml:space="preserve"> November 2017]</w:t>
      </w:r>
    </w:p>
    <w:p w14:paraId="02ECCC2D" w14:textId="0B4FCEC1" w:rsidR="009F511A" w:rsidRPr="00435681" w:rsidRDefault="009F511A" w:rsidP="00FF1B9C">
      <w:pPr>
        <w:spacing w:line="360" w:lineRule="auto"/>
        <w:jc w:val="both"/>
      </w:pPr>
    </w:p>
    <w:p w14:paraId="760E9586" w14:textId="573530DB" w:rsidR="009F511A" w:rsidRPr="00435681" w:rsidRDefault="00435681" w:rsidP="00435681">
      <w:pPr>
        <w:pStyle w:val="FootnoteText"/>
        <w:rPr>
          <w:sz w:val="22"/>
          <w:szCs w:val="22"/>
        </w:rPr>
      </w:pPr>
      <w:r w:rsidRPr="00435681">
        <w:rPr>
          <w:sz w:val="22"/>
          <w:szCs w:val="22"/>
        </w:rPr>
        <w:t>M.A.R, Habib,</w:t>
      </w:r>
      <w:r w:rsidRPr="00435681">
        <w:rPr>
          <w:i/>
          <w:sz w:val="22"/>
          <w:szCs w:val="22"/>
        </w:rPr>
        <w:t xml:space="preserve"> A History Of Literary Criticism</w:t>
      </w:r>
      <w:r w:rsidRPr="00435681">
        <w:rPr>
          <w:sz w:val="22"/>
          <w:szCs w:val="22"/>
        </w:rPr>
        <w:t xml:space="preserve"> (Oxford: Blackwell, 2005) </w:t>
      </w:r>
    </w:p>
    <w:p w14:paraId="34E4F51D" w14:textId="77777777" w:rsidR="009F511A" w:rsidRPr="00435681" w:rsidRDefault="009F511A" w:rsidP="00FF1B9C">
      <w:pPr>
        <w:pStyle w:val="FootnoteText"/>
        <w:rPr>
          <w:sz w:val="22"/>
          <w:szCs w:val="22"/>
        </w:rPr>
      </w:pPr>
    </w:p>
    <w:p w14:paraId="4FE5AA88" w14:textId="613B510D" w:rsidR="00D21A0A" w:rsidRPr="00435681" w:rsidRDefault="001C7993" w:rsidP="00FF1B9C">
      <w:pPr>
        <w:pStyle w:val="FootnoteText"/>
        <w:rPr>
          <w:sz w:val="22"/>
          <w:szCs w:val="22"/>
        </w:rPr>
      </w:pPr>
      <w:r w:rsidRPr="00435681">
        <w:rPr>
          <w:sz w:val="22"/>
          <w:szCs w:val="22"/>
        </w:rPr>
        <w:t xml:space="preserve">Terry, Eagleton, </w:t>
      </w:r>
      <w:r w:rsidRPr="00435681">
        <w:rPr>
          <w:i/>
          <w:sz w:val="22"/>
          <w:szCs w:val="22"/>
        </w:rPr>
        <w:t>Literary Theory: An Introduction</w:t>
      </w:r>
      <w:r w:rsidRPr="00435681">
        <w:rPr>
          <w:sz w:val="22"/>
          <w:szCs w:val="22"/>
        </w:rPr>
        <w:t xml:space="preserve"> (Oxford: Blackwell, 1983; reprinted several times) </w:t>
      </w:r>
    </w:p>
    <w:p w14:paraId="786149EA" w14:textId="77777777" w:rsidR="00D21A0A" w:rsidRPr="00435681" w:rsidRDefault="00D21A0A" w:rsidP="00FF1B9C">
      <w:pPr>
        <w:rPr>
          <w:rFonts w:eastAsia="Times New Roman" w:cs="Arial"/>
          <w:color w:val="333333"/>
          <w:shd w:val="clear" w:color="auto" w:fill="FFFFFF"/>
        </w:rPr>
      </w:pPr>
    </w:p>
    <w:p w14:paraId="4A4A712D" w14:textId="77777777" w:rsidR="00435681" w:rsidRPr="00435681" w:rsidRDefault="00435681" w:rsidP="00FF1B9C">
      <w:pPr>
        <w:pStyle w:val="FootnoteText"/>
        <w:rPr>
          <w:sz w:val="22"/>
          <w:szCs w:val="22"/>
        </w:rPr>
      </w:pPr>
      <w:r w:rsidRPr="00435681">
        <w:rPr>
          <w:sz w:val="22"/>
          <w:szCs w:val="22"/>
        </w:rPr>
        <w:t xml:space="preserve">Poe, Edgar Allen, ‘The Black Cat’ in </w:t>
      </w:r>
      <w:r w:rsidRPr="00435681">
        <w:rPr>
          <w:i/>
          <w:sz w:val="22"/>
          <w:szCs w:val="22"/>
        </w:rPr>
        <w:t>The Fall of the House of Usher and other Writings</w:t>
      </w:r>
      <w:r w:rsidRPr="00435681">
        <w:rPr>
          <w:sz w:val="22"/>
          <w:szCs w:val="22"/>
        </w:rPr>
        <w:t>, ed. D. Galloway (Harmondsworth: Penguin, 2003)</w:t>
      </w:r>
    </w:p>
    <w:p w14:paraId="6AEA7C78" w14:textId="77777777" w:rsidR="00435681" w:rsidRPr="00435681" w:rsidRDefault="00435681" w:rsidP="00FF1B9C">
      <w:pPr>
        <w:rPr>
          <w:rFonts w:eastAsia="Times New Roman" w:cs="Arial"/>
          <w:color w:val="333333"/>
          <w:shd w:val="clear" w:color="auto" w:fill="FFFFFF"/>
        </w:rPr>
      </w:pPr>
    </w:p>
    <w:p w14:paraId="65905F87" w14:textId="5DAEBCAE" w:rsidR="005E1643" w:rsidRPr="00435681" w:rsidRDefault="00435681" w:rsidP="00FF1B9C">
      <w:pPr>
        <w:rPr>
          <w:rFonts w:eastAsia="Times New Roman"/>
        </w:rPr>
      </w:pPr>
      <w:r w:rsidRPr="00435681">
        <w:rPr>
          <w:rFonts w:eastAsia="Times New Roman" w:cs="Arial"/>
          <w:color w:val="333333"/>
          <w:shd w:val="clear" w:color="auto" w:fill="FFFFFF"/>
        </w:rPr>
        <w:t>Praz, Mario. “Poe and Psychoanalysis (1933).”</w:t>
      </w:r>
      <w:r w:rsidRPr="00435681">
        <w:rPr>
          <w:rStyle w:val="apple-converted-space"/>
          <w:rFonts w:eastAsia="Times New Roman" w:cs="Arial"/>
          <w:color w:val="333333"/>
          <w:shd w:val="clear" w:color="auto" w:fill="FFFFFF"/>
        </w:rPr>
        <w:t> </w:t>
      </w:r>
      <w:r w:rsidRPr="00435681">
        <w:rPr>
          <w:rFonts w:eastAsia="Times New Roman" w:cs="Arial"/>
          <w:i/>
          <w:iCs/>
          <w:color w:val="333333"/>
        </w:rPr>
        <w:t>The Sewanee Review</w:t>
      </w:r>
      <w:r w:rsidRPr="00435681">
        <w:rPr>
          <w:rFonts w:eastAsia="Times New Roman" w:cs="Arial"/>
          <w:color w:val="333333"/>
          <w:shd w:val="clear" w:color="auto" w:fill="FFFFFF"/>
        </w:rPr>
        <w:t>, vol. 68, no. 3, 1960, pp. 375–389.</w:t>
      </w:r>
      <w:r w:rsidRPr="00435681">
        <w:rPr>
          <w:rStyle w:val="apple-converted-space"/>
          <w:rFonts w:eastAsia="Times New Roman" w:cs="Arial"/>
          <w:color w:val="333333"/>
          <w:shd w:val="clear" w:color="auto" w:fill="FFFFFF"/>
        </w:rPr>
        <w:t> </w:t>
      </w:r>
      <w:r w:rsidRPr="00435681">
        <w:rPr>
          <w:rFonts w:eastAsia="Times New Roman" w:cs="Arial"/>
          <w:iCs/>
          <w:color w:val="333333"/>
        </w:rPr>
        <w:t>JSTOR</w:t>
      </w:r>
      <w:r w:rsidR="005E1643">
        <w:rPr>
          <w:rFonts w:eastAsia="Times New Roman" w:cs="Arial"/>
          <w:color w:val="333333"/>
          <w:shd w:val="clear" w:color="auto" w:fill="FFFFFF"/>
        </w:rPr>
        <w:t>, &lt;</w:t>
      </w:r>
      <w:hyperlink r:id="rId9" w:history="1">
        <w:r w:rsidR="005E1643" w:rsidRPr="002D0182">
          <w:rPr>
            <w:rStyle w:val="Hyperlink"/>
            <w:rFonts w:eastAsia="Times New Roman" w:cs="Arial"/>
            <w:shd w:val="clear" w:color="auto" w:fill="FFFFFF"/>
          </w:rPr>
          <w:t>www.jstor.org/stable/27540594</w:t>
        </w:r>
      </w:hyperlink>
      <w:r w:rsidR="005E1643">
        <w:rPr>
          <w:rFonts w:eastAsia="Times New Roman" w:cs="Arial"/>
          <w:color w:val="333333"/>
          <w:shd w:val="clear" w:color="auto" w:fill="FFFFFF"/>
        </w:rPr>
        <w:t>&gt; [Accessed on 23</w:t>
      </w:r>
      <w:r w:rsidR="005E1643" w:rsidRPr="005E1643">
        <w:rPr>
          <w:rFonts w:eastAsia="Times New Roman" w:cs="Arial"/>
          <w:color w:val="333333"/>
          <w:shd w:val="clear" w:color="auto" w:fill="FFFFFF"/>
          <w:vertAlign w:val="superscript"/>
        </w:rPr>
        <w:t>rd</w:t>
      </w:r>
      <w:r w:rsidR="005E1643">
        <w:rPr>
          <w:rFonts w:eastAsia="Times New Roman" w:cs="Arial"/>
          <w:color w:val="333333"/>
          <w:shd w:val="clear" w:color="auto" w:fill="FFFFFF"/>
        </w:rPr>
        <w:t xml:space="preserve"> November 2017]</w:t>
      </w:r>
    </w:p>
    <w:p w14:paraId="6F83EC85" w14:textId="09C5C02F" w:rsidR="00435681" w:rsidRPr="00435681" w:rsidRDefault="00435681" w:rsidP="00FF1B9C">
      <w:pPr>
        <w:rPr>
          <w:rFonts w:eastAsia="Times New Roman"/>
        </w:rPr>
      </w:pPr>
    </w:p>
    <w:p w14:paraId="5A4A69D1" w14:textId="40A80B32" w:rsidR="00D21A0A" w:rsidRPr="00435681" w:rsidRDefault="00D21A0A" w:rsidP="00A35E8E">
      <w:pPr>
        <w:spacing w:line="360" w:lineRule="auto"/>
        <w:jc w:val="both"/>
        <w:rPr>
          <w:rFonts w:eastAsia="Times New Roman" w:cs="Times New Roman"/>
          <w:color w:val="000000"/>
        </w:rPr>
      </w:pPr>
    </w:p>
    <w:p w14:paraId="121DE51C" w14:textId="59812044" w:rsidR="005E1643" w:rsidRPr="00435681" w:rsidRDefault="00232692" w:rsidP="00FF1B9C">
      <w:pPr>
        <w:rPr>
          <w:rFonts w:eastAsia="Times New Roman"/>
        </w:rPr>
      </w:pPr>
      <w:r w:rsidRPr="00435681">
        <w:rPr>
          <w:rFonts w:eastAsia="Times New Roman" w:cs="Arial"/>
          <w:color w:val="333333"/>
          <w:shd w:val="clear" w:color="auto" w:fill="FFFFFF"/>
        </w:rPr>
        <w:t>Shulman, Robert. “Poe and the Powers of the Mind.”</w:t>
      </w:r>
      <w:r w:rsidRPr="00435681">
        <w:rPr>
          <w:rStyle w:val="apple-converted-space"/>
          <w:rFonts w:eastAsia="Times New Roman" w:cs="Arial"/>
          <w:color w:val="333333"/>
          <w:shd w:val="clear" w:color="auto" w:fill="FFFFFF"/>
        </w:rPr>
        <w:t> </w:t>
      </w:r>
      <w:r w:rsidRPr="00435681">
        <w:rPr>
          <w:rFonts w:eastAsia="Times New Roman" w:cs="Arial"/>
          <w:i/>
          <w:iCs/>
          <w:color w:val="333333"/>
        </w:rPr>
        <w:t>ELH</w:t>
      </w:r>
      <w:r w:rsidRPr="00435681">
        <w:rPr>
          <w:rFonts w:eastAsia="Times New Roman" w:cs="Arial"/>
          <w:color w:val="333333"/>
          <w:shd w:val="clear" w:color="auto" w:fill="FFFFFF"/>
        </w:rPr>
        <w:t>, vol. 37, no. 2, 1970, pp. 245–262.</w:t>
      </w:r>
      <w:r w:rsidRPr="00435681">
        <w:rPr>
          <w:rStyle w:val="apple-converted-space"/>
          <w:rFonts w:eastAsia="Times New Roman" w:cs="Arial"/>
          <w:color w:val="333333"/>
          <w:shd w:val="clear" w:color="auto" w:fill="FFFFFF"/>
        </w:rPr>
        <w:t> </w:t>
      </w:r>
      <w:r w:rsidRPr="00435681">
        <w:rPr>
          <w:rFonts w:eastAsia="Times New Roman" w:cs="Arial"/>
          <w:iCs/>
          <w:color w:val="333333"/>
        </w:rPr>
        <w:t>JSTOR</w:t>
      </w:r>
      <w:r w:rsidR="005E1643">
        <w:rPr>
          <w:rFonts w:eastAsia="Times New Roman" w:cs="Arial"/>
          <w:color w:val="333333"/>
          <w:shd w:val="clear" w:color="auto" w:fill="FFFFFF"/>
        </w:rPr>
        <w:t>, &lt;</w:t>
      </w:r>
      <w:hyperlink r:id="rId10" w:history="1">
        <w:r w:rsidR="005E1643" w:rsidRPr="002D0182">
          <w:rPr>
            <w:rStyle w:val="Hyperlink"/>
            <w:rFonts w:eastAsia="Times New Roman" w:cs="Arial"/>
            <w:shd w:val="clear" w:color="auto" w:fill="FFFFFF"/>
          </w:rPr>
          <w:t>www.jstor.org/stable/2872400</w:t>
        </w:r>
      </w:hyperlink>
      <w:r w:rsidR="005E1643">
        <w:rPr>
          <w:rFonts w:eastAsia="Times New Roman" w:cs="Arial"/>
          <w:color w:val="333333"/>
          <w:shd w:val="clear" w:color="auto" w:fill="FFFFFF"/>
        </w:rPr>
        <w:t>&gt; [Accessed on 23</w:t>
      </w:r>
      <w:r w:rsidR="005E1643" w:rsidRPr="005E1643">
        <w:rPr>
          <w:rFonts w:eastAsia="Times New Roman" w:cs="Arial"/>
          <w:color w:val="333333"/>
          <w:shd w:val="clear" w:color="auto" w:fill="FFFFFF"/>
          <w:vertAlign w:val="superscript"/>
        </w:rPr>
        <w:t>rd</w:t>
      </w:r>
      <w:r w:rsidR="005E1643">
        <w:rPr>
          <w:rFonts w:eastAsia="Times New Roman" w:cs="Arial"/>
          <w:color w:val="333333"/>
          <w:shd w:val="clear" w:color="auto" w:fill="FFFFFF"/>
        </w:rPr>
        <w:t xml:space="preserve"> November 2017]</w:t>
      </w:r>
    </w:p>
    <w:p w14:paraId="768EE80F" w14:textId="5C086180" w:rsidR="00232692" w:rsidRPr="00435681" w:rsidRDefault="00232692" w:rsidP="00FF1B9C">
      <w:pPr>
        <w:rPr>
          <w:rFonts w:eastAsia="Times New Roman"/>
        </w:rPr>
      </w:pPr>
    </w:p>
    <w:p w14:paraId="63698C85" w14:textId="77777777" w:rsidR="00232692" w:rsidRPr="00435681" w:rsidRDefault="00232692" w:rsidP="00FF1B9C">
      <w:pPr>
        <w:pStyle w:val="FootnoteText"/>
        <w:rPr>
          <w:sz w:val="22"/>
          <w:szCs w:val="22"/>
          <w:lang w:val="en-US"/>
        </w:rPr>
      </w:pPr>
    </w:p>
    <w:p w14:paraId="323CB70B" w14:textId="201C13D1" w:rsidR="00232692" w:rsidRPr="00435681" w:rsidRDefault="00232692" w:rsidP="00FF1B9C">
      <w:pPr>
        <w:pStyle w:val="FootnoteText"/>
        <w:rPr>
          <w:sz w:val="22"/>
          <w:szCs w:val="22"/>
        </w:rPr>
      </w:pPr>
      <w:r w:rsidRPr="00435681">
        <w:rPr>
          <w:sz w:val="22"/>
          <w:szCs w:val="22"/>
        </w:rPr>
        <w:t xml:space="preserve">Wright, Elizabeth, </w:t>
      </w:r>
      <w:r w:rsidRPr="00435681">
        <w:rPr>
          <w:i/>
          <w:sz w:val="22"/>
          <w:szCs w:val="22"/>
        </w:rPr>
        <w:t xml:space="preserve">Psychoanalytic Criticism: Theory In Practice </w:t>
      </w:r>
      <w:r w:rsidRPr="00435681">
        <w:rPr>
          <w:sz w:val="22"/>
          <w:szCs w:val="22"/>
        </w:rPr>
        <w:t>(London;</w:t>
      </w:r>
      <w:r w:rsidR="00DE2E28" w:rsidRPr="00435681">
        <w:rPr>
          <w:sz w:val="22"/>
          <w:szCs w:val="22"/>
        </w:rPr>
        <w:t xml:space="preserve"> New York; Methuen, 1984) </w:t>
      </w:r>
    </w:p>
    <w:p w14:paraId="5BC7791B" w14:textId="1A02D929" w:rsidR="00D21A0A" w:rsidRPr="00435681" w:rsidRDefault="00232692" w:rsidP="00FF1B9C">
      <w:pPr>
        <w:pStyle w:val="FootnoteText"/>
        <w:rPr>
          <w:sz w:val="22"/>
          <w:szCs w:val="22"/>
        </w:rPr>
      </w:pPr>
      <w:r w:rsidRPr="00435681">
        <w:rPr>
          <w:sz w:val="22"/>
          <w:szCs w:val="22"/>
        </w:rPr>
        <w:t xml:space="preserve"> </w:t>
      </w:r>
    </w:p>
    <w:p w14:paraId="6199942B" w14:textId="77777777" w:rsidR="00232692" w:rsidRPr="00435681" w:rsidRDefault="00232692" w:rsidP="00A35E8E">
      <w:pPr>
        <w:spacing w:line="360" w:lineRule="auto"/>
        <w:jc w:val="both"/>
        <w:rPr>
          <w:b/>
        </w:rPr>
      </w:pPr>
    </w:p>
    <w:p w14:paraId="0B816355" w14:textId="18BC6E44" w:rsidR="004007CA" w:rsidRDefault="004007CA" w:rsidP="00A35E8E">
      <w:pPr>
        <w:spacing w:line="360" w:lineRule="auto"/>
        <w:jc w:val="both"/>
      </w:pPr>
    </w:p>
    <w:p w14:paraId="3D461D5A" w14:textId="1F7E3329" w:rsidR="00B90D31" w:rsidRDefault="00933EE5" w:rsidP="00A35E8E">
      <w:pPr>
        <w:spacing w:line="360" w:lineRule="auto"/>
        <w:jc w:val="both"/>
      </w:pPr>
      <w:r>
        <w:t xml:space="preserve"> </w:t>
      </w:r>
    </w:p>
    <w:p w14:paraId="7AD69FB0" w14:textId="77777777" w:rsidR="00B90D31" w:rsidRDefault="00B90D31" w:rsidP="00A35E8E">
      <w:pPr>
        <w:spacing w:line="360" w:lineRule="auto"/>
        <w:jc w:val="both"/>
      </w:pPr>
    </w:p>
    <w:sectPr w:rsidR="00B90D31">
      <w:headerReference w:type="default" r:id="rId11"/>
      <w:footerReference w:type="even"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6F24D" w14:textId="77777777" w:rsidR="00A07FD6" w:rsidRDefault="00A07FD6" w:rsidP="007135B3">
      <w:r>
        <w:separator/>
      </w:r>
    </w:p>
  </w:endnote>
  <w:endnote w:type="continuationSeparator" w:id="0">
    <w:p w14:paraId="5A508B71" w14:textId="77777777" w:rsidR="00A07FD6" w:rsidRDefault="00A07FD6" w:rsidP="00713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7595042"/>
      <w:docPartObj>
        <w:docPartGallery w:val="Page Numbers (Bottom of Page)"/>
        <w:docPartUnique/>
      </w:docPartObj>
    </w:sdtPr>
    <w:sdtEndPr>
      <w:rPr>
        <w:rStyle w:val="PageNumber"/>
      </w:rPr>
    </w:sdtEndPr>
    <w:sdtContent>
      <w:p w14:paraId="5493527B" w14:textId="77777777" w:rsidR="00B35213" w:rsidRDefault="00B35213" w:rsidP="00360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D02136" w14:textId="77777777" w:rsidR="00B35213" w:rsidRDefault="00B35213" w:rsidP="00B352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4704562"/>
      <w:docPartObj>
        <w:docPartGallery w:val="Page Numbers (Bottom of Page)"/>
        <w:docPartUnique/>
      </w:docPartObj>
    </w:sdtPr>
    <w:sdtEndPr>
      <w:rPr>
        <w:rStyle w:val="PageNumber"/>
      </w:rPr>
    </w:sdtEndPr>
    <w:sdtContent>
      <w:p w14:paraId="36C318A8" w14:textId="1BA78166" w:rsidR="00B35213" w:rsidRDefault="00B35213" w:rsidP="00360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06BDD">
          <w:rPr>
            <w:rStyle w:val="PageNumber"/>
            <w:noProof/>
          </w:rPr>
          <w:t>1</w:t>
        </w:r>
        <w:r>
          <w:rPr>
            <w:rStyle w:val="PageNumber"/>
          </w:rPr>
          <w:fldChar w:fldCharType="end"/>
        </w:r>
      </w:p>
    </w:sdtContent>
  </w:sdt>
  <w:p w14:paraId="7595B008" w14:textId="77777777" w:rsidR="00B35213" w:rsidRDefault="00B35213" w:rsidP="00B352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DAD4F" w14:textId="77777777" w:rsidR="00A07FD6" w:rsidRDefault="00A07FD6" w:rsidP="007135B3">
      <w:r>
        <w:separator/>
      </w:r>
    </w:p>
  </w:footnote>
  <w:footnote w:type="continuationSeparator" w:id="0">
    <w:p w14:paraId="2934735D" w14:textId="77777777" w:rsidR="00A07FD6" w:rsidRDefault="00A07FD6" w:rsidP="007135B3">
      <w:r>
        <w:continuationSeparator/>
      </w:r>
    </w:p>
  </w:footnote>
  <w:footnote w:id="1">
    <w:p w14:paraId="57FF25CF" w14:textId="2647C1C4" w:rsidR="00073E70" w:rsidRPr="00B35213" w:rsidRDefault="00073E70">
      <w:pPr>
        <w:pStyle w:val="FootnoteText"/>
        <w:rPr>
          <w:sz w:val="16"/>
          <w:szCs w:val="16"/>
        </w:rPr>
      </w:pPr>
      <w:r w:rsidRPr="00B35213">
        <w:rPr>
          <w:rStyle w:val="FootnoteReference"/>
          <w:sz w:val="16"/>
          <w:szCs w:val="16"/>
        </w:rPr>
        <w:footnoteRef/>
      </w:r>
      <w:r w:rsidRPr="00B35213">
        <w:rPr>
          <w:sz w:val="16"/>
          <w:szCs w:val="16"/>
        </w:rPr>
        <w:t xml:space="preserve"> </w:t>
      </w:r>
      <w:r w:rsidR="00AB581B" w:rsidRPr="00B35213">
        <w:rPr>
          <w:sz w:val="16"/>
          <w:szCs w:val="16"/>
        </w:rPr>
        <w:t xml:space="preserve">Terry, Eagleton, </w:t>
      </w:r>
      <w:r w:rsidR="00AB581B" w:rsidRPr="00320E47">
        <w:rPr>
          <w:i/>
          <w:sz w:val="16"/>
          <w:szCs w:val="16"/>
        </w:rPr>
        <w:t>Literary Theory: An Introduction</w:t>
      </w:r>
      <w:r w:rsidR="00AB581B" w:rsidRPr="00B35213">
        <w:rPr>
          <w:sz w:val="16"/>
          <w:szCs w:val="16"/>
        </w:rPr>
        <w:t xml:space="preserve"> (Oxford: Blackwell, 1</w:t>
      </w:r>
      <w:r w:rsidR="00E11004">
        <w:rPr>
          <w:sz w:val="16"/>
          <w:szCs w:val="16"/>
        </w:rPr>
        <w:t>983; reprinted several times)</w:t>
      </w:r>
      <w:r w:rsidR="0068343E">
        <w:rPr>
          <w:sz w:val="16"/>
          <w:szCs w:val="16"/>
        </w:rPr>
        <w:t>,</w:t>
      </w:r>
      <w:r w:rsidR="00E11004">
        <w:rPr>
          <w:sz w:val="16"/>
          <w:szCs w:val="16"/>
        </w:rPr>
        <w:t xml:space="preserve"> p.</w:t>
      </w:r>
      <w:r w:rsidR="00AB581B" w:rsidRPr="00B35213">
        <w:rPr>
          <w:sz w:val="16"/>
          <w:szCs w:val="16"/>
        </w:rPr>
        <w:t>136</w:t>
      </w:r>
    </w:p>
  </w:footnote>
  <w:footnote w:id="2">
    <w:p w14:paraId="725A48B1" w14:textId="009C269C" w:rsidR="008B3EDA" w:rsidRPr="00B35213" w:rsidRDefault="008B3EDA">
      <w:pPr>
        <w:pStyle w:val="FootnoteText"/>
        <w:rPr>
          <w:sz w:val="16"/>
          <w:szCs w:val="16"/>
        </w:rPr>
      </w:pPr>
      <w:r w:rsidRPr="00B35213">
        <w:rPr>
          <w:rStyle w:val="FootnoteReference"/>
          <w:sz w:val="16"/>
          <w:szCs w:val="16"/>
        </w:rPr>
        <w:footnoteRef/>
      </w:r>
      <w:r w:rsidRPr="00B35213">
        <w:rPr>
          <w:sz w:val="16"/>
          <w:szCs w:val="16"/>
        </w:rPr>
        <w:t xml:space="preserve"> M.A.R, Habib,</w:t>
      </w:r>
      <w:r w:rsidRPr="00320E47">
        <w:rPr>
          <w:i/>
          <w:sz w:val="16"/>
          <w:szCs w:val="16"/>
        </w:rPr>
        <w:t xml:space="preserve"> A History Of Literary Criticism</w:t>
      </w:r>
      <w:r w:rsidR="0068343E">
        <w:rPr>
          <w:sz w:val="16"/>
          <w:szCs w:val="16"/>
        </w:rPr>
        <w:t xml:space="preserve"> (Oxford: Blackwell, 2005), p.</w:t>
      </w:r>
      <w:r w:rsidRPr="00B35213">
        <w:rPr>
          <w:sz w:val="16"/>
          <w:szCs w:val="16"/>
        </w:rPr>
        <w:t>576</w:t>
      </w:r>
    </w:p>
  </w:footnote>
  <w:footnote w:id="3">
    <w:p w14:paraId="2E6B5388" w14:textId="21C15718" w:rsidR="0074464C" w:rsidRDefault="0074464C">
      <w:pPr>
        <w:pStyle w:val="FootnoteText"/>
      </w:pPr>
      <w:r>
        <w:rPr>
          <w:rStyle w:val="FootnoteReference"/>
        </w:rPr>
        <w:footnoteRef/>
      </w:r>
      <w:r>
        <w:t xml:space="preserve"> </w:t>
      </w:r>
      <w:r w:rsidRPr="00B35213">
        <w:rPr>
          <w:sz w:val="16"/>
          <w:szCs w:val="16"/>
        </w:rPr>
        <w:t xml:space="preserve">Terry, Eagleton, </w:t>
      </w:r>
      <w:r w:rsidRPr="00320E47">
        <w:rPr>
          <w:i/>
          <w:sz w:val="16"/>
          <w:szCs w:val="16"/>
        </w:rPr>
        <w:t>Literary Theory: An Introduction</w:t>
      </w:r>
      <w:r w:rsidRPr="00B35213">
        <w:rPr>
          <w:sz w:val="16"/>
          <w:szCs w:val="16"/>
        </w:rPr>
        <w:t xml:space="preserve"> (Oxford: Blackwell, 1</w:t>
      </w:r>
      <w:r w:rsidR="00E11004">
        <w:rPr>
          <w:sz w:val="16"/>
          <w:szCs w:val="16"/>
        </w:rPr>
        <w:t>983; reprinted several times)</w:t>
      </w:r>
      <w:r w:rsidR="0068343E">
        <w:rPr>
          <w:sz w:val="16"/>
          <w:szCs w:val="16"/>
        </w:rPr>
        <w:t>,</w:t>
      </w:r>
      <w:r w:rsidR="00E11004">
        <w:rPr>
          <w:sz w:val="16"/>
          <w:szCs w:val="16"/>
        </w:rPr>
        <w:t xml:space="preserve"> p.</w:t>
      </w:r>
      <w:r w:rsidRPr="00B35213">
        <w:rPr>
          <w:sz w:val="16"/>
          <w:szCs w:val="16"/>
        </w:rPr>
        <w:t>136</w:t>
      </w:r>
    </w:p>
  </w:footnote>
  <w:footnote w:id="4">
    <w:p w14:paraId="7E563D70" w14:textId="509BC6E2" w:rsidR="00055804" w:rsidRPr="00B35213" w:rsidRDefault="00055804">
      <w:pPr>
        <w:pStyle w:val="FootnoteText"/>
        <w:rPr>
          <w:sz w:val="16"/>
          <w:szCs w:val="16"/>
        </w:rPr>
      </w:pPr>
      <w:r w:rsidRPr="00B35213">
        <w:rPr>
          <w:rStyle w:val="FootnoteReference"/>
          <w:sz w:val="16"/>
          <w:szCs w:val="16"/>
        </w:rPr>
        <w:footnoteRef/>
      </w:r>
      <w:r w:rsidRPr="00B35213">
        <w:rPr>
          <w:sz w:val="16"/>
          <w:szCs w:val="16"/>
        </w:rPr>
        <w:t xml:space="preserve"> Terry, Eagleton, </w:t>
      </w:r>
      <w:r w:rsidRPr="00504539">
        <w:rPr>
          <w:i/>
          <w:sz w:val="16"/>
          <w:szCs w:val="16"/>
        </w:rPr>
        <w:t xml:space="preserve">Literary Theory: An Introduction </w:t>
      </w:r>
      <w:r w:rsidRPr="00B35213">
        <w:rPr>
          <w:sz w:val="16"/>
          <w:szCs w:val="16"/>
        </w:rPr>
        <w:t>(Oxford: Blackwell, 1</w:t>
      </w:r>
      <w:r w:rsidR="00E11004">
        <w:rPr>
          <w:sz w:val="16"/>
          <w:szCs w:val="16"/>
        </w:rPr>
        <w:t>983; reprinted several times)</w:t>
      </w:r>
      <w:r w:rsidR="0068343E">
        <w:rPr>
          <w:sz w:val="16"/>
          <w:szCs w:val="16"/>
        </w:rPr>
        <w:t>,</w:t>
      </w:r>
      <w:r w:rsidR="00E11004">
        <w:rPr>
          <w:sz w:val="16"/>
          <w:szCs w:val="16"/>
        </w:rPr>
        <w:t xml:space="preserve"> p.</w:t>
      </w:r>
      <w:r w:rsidRPr="00B35213">
        <w:rPr>
          <w:sz w:val="16"/>
          <w:szCs w:val="16"/>
        </w:rPr>
        <w:t>136</w:t>
      </w:r>
    </w:p>
  </w:footnote>
  <w:footnote w:id="5">
    <w:p w14:paraId="4D7FE7ED" w14:textId="57D25DFD" w:rsidR="00A05ECB" w:rsidRDefault="00A05ECB">
      <w:pPr>
        <w:pStyle w:val="FootnoteText"/>
      </w:pPr>
      <w:r>
        <w:rPr>
          <w:rStyle w:val="FootnoteReference"/>
        </w:rPr>
        <w:footnoteRef/>
      </w:r>
      <w:r>
        <w:t xml:space="preserve"> </w:t>
      </w:r>
      <w:r w:rsidR="006F6150" w:rsidRPr="00B35213">
        <w:rPr>
          <w:sz w:val="16"/>
          <w:szCs w:val="16"/>
        </w:rPr>
        <w:t xml:space="preserve">Terry, Eagleton, </w:t>
      </w:r>
      <w:r w:rsidR="006F6150" w:rsidRPr="00320E47">
        <w:rPr>
          <w:i/>
          <w:sz w:val="16"/>
          <w:szCs w:val="16"/>
        </w:rPr>
        <w:t>Literary Theory: An Introduction</w:t>
      </w:r>
      <w:r w:rsidR="006F6150" w:rsidRPr="00B35213">
        <w:rPr>
          <w:sz w:val="16"/>
          <w:szCs w:val="16"/>
        </w:rPr>
        <w:t xml:space="preserve"> (Oxford: Blackwell, 1983; reprinted several times)</w:t>
      </w:r>
      <w:r w:rsidR="0068343E">
        <w:rPr>
          <w:sz w:val="16"/>
          <w:szCs w:val="16"/>
        </w:rPr>
        <w:t>, p.</w:t>
      </w:r>
      <w:r w:rsidR="006F6150" w:rsidRPr="00B35213">
        <w:rPr>
          <w:sz w:val="16"/>
          <w:szCs w:val="16"/>
        </w:rPr>
        <w:t>1</w:t>
      </w:r>
      <w:r w:rsidR="006F6150">
        <w:rPr>
          <w:sz w:val="16"/>
          <w:szCs w:val="16"/>
        </w:rPr>
        <w:t>48</w:t>
      </w:r>
    </w:p>
  </w:footnote>
  <w:footnote w:id="6">
    <w:p w14:paraId="63C2EA4A" w14:textId="6EC23BED" w:rsidR="00EC4D09" w:rsidRDefault="00EC4D09">
      <w:pPr>
        <w:pStyle w:val="FootnoteText"/>
      </w:pPr>
      <w:r>
        <w:rPr>
          <w:rStyle w:val="FootnoteReference"/>
        </w:rPr>
        <w:footnoteRef/>
      </w:r>
      <w:r>
        <w:t xml:space="preserve"> </w:t>
      </w:r>
      <w:r w:rsidRPr="00867B57">
        <w:rPr>
          <w:rFonts w:eastAsia="Times New Roman" w:cs="Times New Roman"/>
          <w:color w:val="000000"/>
          <w:sz w:val="16"/>
          <w:szCs w:val="16"/>
        </w:rPr>
        <w:t>Hawkes, Terence, </w:t>
      </w:r>
      <w:r w:rsidRPr="006551F8">
        <w:rPr>
          <w:rFonts w:eastAsia="Times New Roman" w:cs="Times New Roman"/>
          <w:i/>
          <w:iCs/>
          <w:color w:val="000000"/>
          <w:sz w:val="16"/>
          <w:szCs w:val="16"/>
        </w:rPr>
        <w:t>Structuralism and Semiotics</w:t>
      </w:r>
      <w:r w:rsidRPr="006551F8">
        <w:rPr>
          <w:rFonts w:eastAsia="Times New Roman" w:cs="Times New Roman"/>
          <w:i/>
          <w:color w:val="000000"/>
          <w:sz w:val="16"/>
          <w:szCs w:val="16"/>
        </w:rPr>
        <w:t> </w:t>
      </w:r>
      <w:r w:rsidRPr="00867B57">
        <w:rPr>
          <w:rFonts w:eastAsia="Times New Roman" w:cs="Times New Roman"/>
          <w:color w:val="000000"/>
          <w:sz w:val="16"/>
          <w:szCs w:val="16"/>
        </w:rPr>
        <w:t>(London: Methuen, 1977)</w:t>
      </w:r>
      <w:r w:rsidR="0068343E">
        <w:rPr>
          <w:rFonts w:eastAsia="Times New Roman" w:cs="Times New Roman"/>
          <w:color w:val="000000"/>
          <w:sz w:val="16"/>
          <w:szCs w:val="16"/>
        </w:rPr>
        <w:t>, p.</w:t>
      </w:r>
      <w:r>
        <w:rPr>
          <w:rFonts w:eastAsia="Times New Roman" w:cs="Times New Roman"/>
          <w:color w:val="000000"/>
          <w:sz w:val="16"/>
          <w:szCs w:val="16"/>
        </w:rPr>
        <w:t>83</w:t>
      </w:r>
    </w:p>
  </w:footnote>
  <w:footnote w:id="7">
    <w:p w14:paraId="694F227A" w14:textId="057171FA" w:rsidR="0012018D" w:rsidRPr="00E44D98" w:rsidRDefault="0012018D" w:rsidP="00867B57">
      <w:pPr>
        <w:divId w:val="885724853"/>
        <w:rPr>
          <w:rFonts w:eastAsia="Times New Roman" w:cs="Times New Roman"/>
          <w:color w:val="000000"/>
          <w:sz w:val="16"/>
          <w:szCs w:val="16"/>
        </w:rPr>
      </w:pPr>
      <w:r>
        <w:rPr>
          <w:rStyle w:val="FootnoteReference"/>
        </w:rPr>
        <w:footnoteRef/>
      </w:r>
      <w:r>
        <w:t xml:space="preserve"> </w:t>
      </w:r>
      <w:r w:rsidRPr="00867B57">
        <w:rPr>
          <w:rFonts w:eastAsia="Times New Roman" w:cs="Times New Roman"/>
          <w:color w:val="000000"/>
          <w:sz w:val="16"/>
          <w:szCs w:val="16"/>
        </w:rPr>
        <w:t>Hawkes, Terence, </w:t>
      </w:r>
      <w:r w:rsidRPr="006551F8">
        <w:rPr>
          <w:rFonts w:eastAsia="Times New Roman" w:cs="Times New Roman"/>
          <w:i/>
          <w:iCs/>
          <w:color w:val="000000"/>
          <w:sz w:val="16"/>
          <w:szCs w:val="16"/>
        </w:rPr>
        <w:t>Structuralism and Semiotics</w:t>
      </w:r>
      <w:r w:rsidRPr="006551F8">
        <w:rPr>
          <w:rFonts w:eastAsia="Times New Roman" w:cs="Times New Roman"/>
          <w:i/>
          <w:color w:val="000000"/>
          <w:sz w:val="16"/>
          <w:szCs w:val="16"/>
        </w:rPr>
        <w:t> </w:t>
      </w:r>
      <w:r w:rsidRPr="00867B57">
        <w:rPr>
          <w:rFonts w:eastAsia="Times New Roman" w:cs="Times New Roman"/>
          <w:color w:val="000000"/>
          <w:sz w:val="16"/>
          <w:szCs w:val="16"/>
        </w:rPr>
        <w:t>(London: Methuen, 1977)</w:t>
      </w:r>
      <w:r w:rsidR="0068343E">
        <w:rPr>
          <w:rFonts w:eastAsia="Times New Roman" w:cs="Times New Roman"/>
          <w:color w:val="000000"/>
          <w:sz w:val="16"/>
          <w:szCs w:val="16"/>
        </w:rPr>
        <w:t>, pp.</w:t>
      </w:r>
      <w:r>
        <w:rPr>
          <w:rFonts w:eastAsia="Times New Roman" w:cs="Times New Roman"/>
          <w:color w:val="000000"/>
          <w:sz w:val="16"/>
          <w:szCs w:val="16"/>
        </w:rPr>
        <w:t>130-131</w:t>
      </w:r>
    </w:p>
  </w:footnote>
  <w:footnote w:id="8">
    <w:p w14:paraId="3EF13ADA" w14:textId="75F8FBD0" w:rsidR="00F35A02" w:rsidRPr="00B35213" w:rsidRDefault="00F35A02" w:rsidP="00B35213">
      <w:pPr>
        <w:divId w:val="1686907146"/>
        <w:rPr>
          <w:rFonts w:eastAsia="Times New Roman" w:cs="Times New Roman"/>
          <w:sz w:val="16"/>
          <w:szCs w:val="16"/>
        </w:rPr>
      </w:pPr>
      <w:r w:rsidRPr="00B35213">
        <w:rPr>
          <w:rStyle w:val="FootnoteReference"/>
          <w:sz w:val="16"/>
          <w:szCs w:val="16"/>
        </w:rPr>
        <w:footnoteRef/>
      </w:r>
      <w:r w:rsidRPr="00B35213">
        <w:rPr>
          <w:sz w:val="16"/>
          <w:szCs w:val="16"/>
        </w:rPr>
        <w:t xml:space="preserve"> </w:t>
      </w:r>
      <w:r w:rsidR="001E36D9">
        <w:rPr>
          <w:sz w:val="16"/>
          <w:szCs w:val="16"/>
        </w:rPr>
        <w:t xml:space="preserve"> </w:t>
      </w:r>
      <w:r w:rsidRPr="00B35213">
        <w:rPr>
          <w:rFonts w:eastAsia="Times New Roman" w:cs="Arial"/>
          <w:color w:val="333333"/>
          <w:sz w:val="16"/>
          <w:szCs w:val="16"/>
          <w:shd w:val="clear" w:color="auto" w:fill="FFFFFF"/>
        </w:rPr>
        <w:t>Laplanche, Jean, et al. “The Unconscious: A Psychoanalytic Study.” </w:t>
      </w:r>
      <w:r w:rsidRPr="00320E47">
        <w:rPr>
          <w:rFonts w:eastAsia="Times New Roman" w:cs="Arial"/>
          <w:i/>
          <w:iCs/>
          <w:color w:val="333333"/>
          <w:sz w:val="16"/>
          <w:szCs w:val="16"/>
        </w:rPr>
        <w:t>Yale French Studies</w:t>
      </w:r>
      <w:r w:rsidRPr="00B35213">
        <w:rPr>
          <w:rFonts w:eastAsia="Times New Roman" w:cs="Arial"/>
          <w:color w:val="333333"/>
          <w:sz w:val="16"/>
          <w:szCs w:val="16"/>
          <w:shd w:val="clear" w:color="auto" w:fill="FFFFFF"/>
        </w:rPr>
        <w:t>, no. 48, 1972, pp. 118–175. </w:t>
      </w:r>
      <w:r w:rsidRPr="00B35213">
        <w:rPr>
          <w:rFonts w:eastAsia="Times New Roman" w:cs="Arial"/>
          <w:iCs/>
          <w:color w:val="333333"/>
          <w:sz w:val="16"/>
          <w:szCs w:val="16"/>
        </w:rPr>
        <w:t>JSTOR</w:t>
      </w:r>
      <w:r w:rsidR="00587182">
        <w:rPr>
          <w:rFonts w:eastAsia="Times New Roman" w:cs="Arial"/>
          <w:color w:val="333333"/>
          <w:sz w:val="16"/>
          <w:szCs w:val="16"/>
          <w:shd w:val="clear" w:color="auto" w:fill="FFFFFF"/>
        </w:rPr>
        <w:t>.</w:t>
      </w:r>
    </w:p>
  </w:footnote>
  <w:footnote w:id="9">
    <w:p w14:paraId="491715E4" w14:textId="0409788D" w:rsidR="00F16F96" w:rsidRDefault="00F16F96">
      <w:pPr>
        <w:pStyle w:val="FootnoteText"/>
      </w:pPr>
      <w:r>
        <w:rPr>
          <w:rStyle w:val="FootnoteReference"/>
        </w:rPr>
        <w:footnoteRef/>
      </w:r>
      <w:r>
        <w:t xml:space="preserve"> </w:t>
      </w:r>
      <w:r w:rsidRPr="00867B57">
        <w:rPr>
          <w:rFonts w:eastAsia="Times New Roman" w:cs="Times New Roman"/>
          <w:color w:val="000000"/>
          <w:sz w:val="16"/>
          <w:szCs w:val="16"/>
        </w:rPr>
        <w:t>Hawkes, Terence, </w:t>
      </w:r>
      <w:r w:rsidRPr="006551F8">
        <w:rPr>
          <w:rFonts w:eastAsia="Times New Roman" w:cs="Times New Roman"/>
          <w:i/>
          <w:iCs/>
          <w:color w:val="000000"/>
          <w:sz w:val="16"/>
          <w:szCs w:val="16"/>
        </w:rPr>
        <w:t>Structuralism and Semiotics</w:t>
      </w:r>
      <w:r w:rsidRPr="006551F8">
        <w:rPr>
          <w:rFonts w:eastAsia="Times New Roman" w:cs="Times New Roman"/>
          <w:i/>
          <w:color w:val="000000"/>
          <w:sz w:val="16"/>
          <w:szCs w:val="16"/>
        </w:rPr>
        <w:t> </w:t>
      </w:r>
      <w:r w:rsidRPr="00867B57">
        <w:rPr>
          <w:rFonts w:eastAsia="Times New Roman" w:cs="Times New Roman"/>
          <w:color w:val="000000"/>
          <w:sz w:val="16"/>
          <w:szCs w:val="16"/>
        </w:rPr>
        <w:t>(London: Methuen, 1977)</w:t>
      </w:r>
      <w:r w:rsidR="0068343E">
        <w:rPr>
          <w:rFonts w:eastAsia="Times New Roman" w:cs="Times New Roman"/>
          <w:color w:val="000000"/>
          <w:sz w:val="16"/>
          <w:szCs w:val="16"/>
        </w:rPr>
        <w:t>, p.</w:t>
      </w:r>
      <w:r w:rsidR="006949FC">
        <w:rPr>
          <w:rFonts w:eastAsia="Times New Roman" w:cs="Times New Roman"/>
          <w:color w:val="000000"/>
          <w:sz w:val="16"/>
          <w:szCs w:val="16"/>
        </w:rPr>
        <w:t>20</w:t>
      </w:r>
    </w:p>
  </w:footnote>
  <w:footnote w:id="10">
    <w:p w14:paraId="4F8B4143" w14:textId="224A003F" w:rsidR="00F149D6" w:rsidRPr="001E36D9" w:rsidRDefault="00F149D6" w:rsidP="001E36D9">
      <w:pPr>
        <w:divId w:val="1502694305"/>
        <w:rPr>
          <w:rFonts w:eastAsia="Times New Roman"/>
          <w:sz w:val="16"/>
          <w:szCs w:val="16"/>
        </w:rPr>
      </w:pPr>
      <w:r>
        <w:rPr>
          <w:rStyle w:val="FootnoteReference"/>
        </w:rPr>
        <w:footnoteRef/>
      </w:r>
      <w:r>
        <w:t xml:space="preserve"> </w:t>
      </w:r>
      <w:r w:rsidR="003058DF" w:rsidRPr="00F915FD">
        <w:rPr>
          <w:rFonts w:eastAsia="Times New Roman" w:cs="Arial"/>
          <w:color w:val="333333"/>
          <w:sz w:val="16"/>
          <w:szCs w:val="16"/>
          <w:shd w:val="clear" w:color="auto" w:fill="FFFFFF"/>
        </w:rPr>
        <w:t>Shulman, Robert. “Poe and the Powers of the Mind.”</w:t>
      </w:r>
      <w:r w:rsidR="003058DF" w:rsidRPr="00F915FD">
        <w:rPr>
          <w:rStyle w:val="apple-converted-space"/>
          <w:rFonts w:eastAsia="Times New Roman" w:cs="Arial"/>
          <w:color w:val="333333"/>
          <w:sz w:val="16"/>
          <w:szCs w:val="16"/>
          <w:shd w:val="clear" w:color="auto" w:fill="FFFFFF"/>
        </w:rPr>
        <w:t> </w:t>
      </w:r>
      <w:r w:rsidR="003058DF" w:rsidRPr="00F915FD">
        <w:rPr>
          <w:rFonts w:eastAsia="Times New Roman" w:cs="Arial"/>
          <w:i/>
          <w:iCs/>
          <w:color w:val="333333"/>
          <w:sz w:val="16"/>
          <w:szCs w:val="16"/>
        </w:rPr>
        <w:t>ELH</w:t>
      </w:r>
      <w:r w:rsidR="003058DF" w:rsidRPr="00F915FD">
        <w:rPr>
          <w:rFonts w:eastAsia="Times New Roman" w:cs="Arial"/>
          <w:color w:val="333333"/>
          <w:sz w:val="16"/>
          <w:szCs w:val="16"/>
          <w:shd w:val="clear" w:color="auto" w:fill="FFFFFF"/>
        </w:rPr>
        <w:t>, vol. 37, no. 2, 1970, pp. 245–262.</w:t>
      </w:r>
      <w:r w:rsidR="003058DF" w:rsidRPr="00F915FD">
        <w:rPr>
          <w:rStyle w:val="apple-converted-space"/>
          <w:rFonts w:eastAsia="Times New Roman" w:cs="Arial"/>
          <w:color w:val="333333"/>
          <w:sz w:val="16"/>
          <w:szCs w:val="16"/>
          <w:shd w:val="clear" w:color="auto" w:fill="FFFFFF"/>
        </w:rPr>
        <w:t> </w:t>
      </w:r>
      <w:r w:rsidR="003058DF" w:rsidRPr="00F915FD">
        <w:rPr>
          <w:rFonts w:eastAsia="Times New Roman" w:cs="Arial"/>
          <w:iCs/>
          <w:color w:val="333333"/>
          <w:sz w:val="16"/>
          <w:szCs w:val="16"/>
        </w:rPr>
        <w:t>JSTOR</w:t>
      </w:r>
      <w:r w:rsidR="00587182">
        <w:rPr>
          <w:rFonts w:eastAsia="Times New Roman" w:cs="Arial"/>
          <w:color w:val="333333"/>
          <w:sz w:val="16"/>
          <w:szCs w:val="16"/>
          <w:shd w:val="clear" w:color="auto" w:fill="FFFFFF"/>
        </w:rPr>
        <w:t>.</w:t>
      </w:r>
    </w:p>
  </w:footnote>
  <w:footnote w:id="11">
    <w:p w14:paraId="69C2E766" w14:textId="63FA8CEE" w:rsidR="00F317BC" w:rsidRPr="001E36D9" w:rsidRDefault="00F317BC" w:rsidP="001E36D9">
      <w:pPr>
        <w:divId w:val="1300309392"/>
        <w:rPr>
          <w:rFonts w:eastAsia="Times New Roman" w:cs="Times New Roman"/>
          <w:sz w:val="16"/>
          <w:szCs w:val="16"/>
        </w:rPr>
      </w:pPr>
      <w:r>
        <w:rPr>
          <w:rStyle w:val="FootnoteReference"/>
        </w:rPr>
        <w:footnoteRef/>
      </w:r>
      <w:r>
        <w:t xml:space="preserve"> </w:t>
      </w:r>
      <w:r w:rsidR="00EA35C2" w:rsidRPr="00F915FD">
        <w:rPr>
          <w:rFonts w:eastAsia="Times New Roman" w:cs="Times New Roman"/>
          <w:color w:val="000000"/>
          <w:sz w:val="16"/>
          <w:szCs w:val="16"/>
        </w:rPr>
        <w:t>Bonaparte, Marie, </w:t>
      </w:r>
      <w:r w:rsidR="00EA35C2" w:rsidRPr="00F915FD">
        <w:rPr>
          <w:rFonts w:eastAsia="Times New Roman" w:cs="Times New Roman"/>
          <w:i/>
          <w:iCs/>
          <w:color w:val="000000"/>
          <w:sz w:val="16"/>
          <w:szCs w:val="16"/>
        </w:rPr>
        <w:t>The Life and Works of Edgar Allan Poe: A Psycho-Analytic Interpretation</w:t>
      </w:r>
      <w:r w:rsidR="00EA35C2" w:rsidRPr="00F915FD">
        <w:rPr>
          <w:rFonts w:eastAsia="Times New Roman" w:cs="Times New Roman"/>
          <w:color w:val="000000"/>
          <w:sz w:val="16"/>
          <w:szCs w:val="16"/>
        </w:rPr>
        <w:t>, Ch. XXXVII ‘The Blac</w:t>
      </w:r>
      <w:r w:rsidR="00587182">
        <w:rPr>
          <w:rFonts w:eastAsia="Times New Roman" w:cs="Times New Roman"/>
          <w:color w:val="000000"/>
          <w:sz w:val="16"/>
          <w:szCs w:val="16"/>
        </w:rPr>
        <w:t>k Cat’ (London: Imago, 1949), p.</w:t>
      </w:r>
      <w:r w:rsidR="00EA35C2" w:rsidRPr="00F915FD">
        <w:rPr>
          <w:rFonts w:eastAsia="Times New Roman" w:cs="Times New Roman"/>
          <w:color w:val="000000"/>
          <w:sz w:val="16"/>
          <w:szCs w:val="16"/>
        </w:rPr>
        <w:t>466</w:t>
      </w:r>
    </w:p>
  </w:footnote>
  <w:footnote w:id="12">
    <w:p w14:paraId="53C37FC4" w14:textId="6E5E9C9D" w:rsidR="0029201D" w:rsidRPr="00B35213" w:rsidRDefault="0029201D">
      <w:pPr>
        <w:pStyle w:val="FootnoteText"/>
        <w:rPr>
          <w:sz w:val="16"/>
          <w:szCs w:val="16"/>
        </w:rPr>
      </w:pPr>
      <w:r w:rsidRPr="00B35213">
        <w:rPr>
          <w:rStyle w:val="FootnoteReference"/>
          <w:sz w:val="16"/>
          <w:szCs w:val="16"/>
        </w:rPr>
        <w:footnoteRef/>
      </w:r>
      <w:r w:rsidRPr="00B35213">
        <w:rPr>
          <w:sz w:val="16"/>
          <w:szCs w:val="16"/>
        </w:rPr>
        <w:t xml:space="preserve"> Wright, Elizabeth, </w:t>
      </w:r>
      <w:r w:rsidRPr="00320E47">
        <w:rPr>
          <w:i/>
          <w:sz w:val="16"/>
          <w:szCs w:val="16"/>
        </w:rPr>
        <w:t xml:space="preserve">Psychoanalytic Criticism: Theory In Practice </w:t>
      </w:r>
      <w:r w:rsidRPr="00B35213">
        <w:rPr>
          <w:sz w:val="16"/>
          <w:szCs w:val="16"/>
        </w:rPr>
        <w:t>(London; New York; Methuen, 1984)</w:t>
      </w:r>
      <w:r w:rsidR="00587182">
        <w:rPr>
          <w:sz w:val="16"/>
          <w:szCs w:val="16"/>
        </w:rPr>
        <w:t>, p.</w:t>
      </w:r>
      <w:r w:rsidRPr="00B35213">
        <w:rPr>
          <w:sz w:val="16"/>
          <w:szCs w:val="16"/>
        </w:rPr>
        <w:t>4-5</w:t>
      </w:r>
    </w:p>
  </w:footnote>
  <w:footnote w:id="13">
    <w:p w14:paraId="0F0BD0C4" w14:textId="3352D7E7" w:rsidR="0051453A" w:rsidRPr="00E87640" w:rsidRDefault="0051453A">
      <w:pPr>
        <w:pStyle w:val="FootnoteText"/>
        <w:rPr>
          <w:sz w:val="16"/>
          <w:szCs w:val="16"/>
        </w:rPr>
      </w:pPr>
      <w:r>
        <w:rPr>
          <w:rStyle w:val="FootnoteReference"/>
        </w:rPr>
        <w:footnoteRef/>
      </w:r>
      <w:r>
        <w:t xml:space="preserve"> </w:t>
      </w:r>
      <w:r w:rsidR="00F20803" w:rsidRPr="00E87640">
        <w:rPr>
          <w:sz w:val="16"/>
          <w:szCs w:val="16"/>
        </w:rPr>
        <w:t xml:space="preserve">Poe, Edgar Allen, ‘The Black Cat’ in </w:t>
      </w:r>
      <w:r w:rsidR="00F20803" w:rsidRPr="00E87640">
        <w:rPr>
          <w:i/>
          <w:sz w:val="16"/>
          <w:szCs w:val="16"/>
        </w:rPr>
        <w:t>The Fall of the House of Usher and other Writings</w:t>
      </w:r>
      <w:r w:rsidR="00F20803" w:rsidRPr="00E87640">
        <w:rPr>
          <w:sz w:val="16"/>
          <w:szCs w:val="16"/>
        </w:rPr>
        <w:t>, ed. D. Galloway (Harmondsworth: Penguin, 2003)</w:t>
      </w:r>
      <w:r w:rsidR="00587182">
        <w:rPr>
          <w:sz w:val="16"/>
          <w:szCs w:val="16"/>
        </w:rPr>
        <w:t>, p.</w:t>
      </w:r>
      <w:r w:rsidR="00F20803" w:rsidRPr="00E87640">
        <w:rPr>
          <w:sz w:val="16"/>
          <w:szCs w:val="16"/>
        </w:rPr>
        <w:t>272</w:t>
      </w:r>
    </w:p>
  </w:footnote>
  <w:footnote w:id="14">
    <w:p w14:paraId="3C19D618" w14:textId="5BAFC5FB" w:rsidR="006C3C93" w:rsidRPr="00E87640" w:rsidRDefault="006C3C93">
      <w:pPr>
        <w:pStyle w:val="FootnoteText"/>
        <w:rPr>
          <w:sz w:val="16"/>
          <w:szCs w:val="16"/>
        </w:rPr>
      </w:pPr>
      <w:r>
        <w:rPr>
          <w:rStyle w:val="FootnoteReference"/>
        </w:rPr>
        <w:footnoteRef/>
      </w:r>
      <w:r>
        <w:t xml:space="preserve"> </w:t>
      </w:r>
      <w:r w:rsidR="00922B36" w:rsidRPr="00E87640">
        <w:rPr>
          <w:rFonts w:eastAsia="Times New Roman" w:cs="Times New Roman"/>
          <w:color w:val="000000"/>
          <w:sz w:val="16"/>
          <w:szCs w:val="16"/>
        </w:rPr>
        <w:t>Bonaparte, Marie, </w:t>
      </w:r>
      <w:r w:rsidR="00922B36" w:rsidRPr="00365A51">
        <w:rPr>
          <w:rFonts w:eastAsia="Times New Roman" w:cs="Times New Roman"/>
          <w:i/>
          <w:iCs/>
          <w:color w:val="000000"/>
          <w:sz w:val="16"/>
          <w:szCs w:val="16"/>
        </w:rPr>
        <w:t>The Life and Works of Edgar Allan Poe: A Psycho-Analytic Interpretation</w:t>
      </w:r>
      <w:r w:rsidR="00922B36" w:rsidRPr="00E87640">
        <w:rPr>
          <w:rFonts w:eastAsia="Times New Roman" w:cs="Times New Roman"/>
          <w:color w:val="000000"/>
          <w:sz w:val="16"/>
          <w:szCs w:val="16"/>
        </w:rPr>
        <w:t>, Ch. XXXVII ‘The Black Cat’ (London: Imago, 1949)</w:t>
      </w:r>
      <w:r w:rsidR="00587182">
        <w:rPr>
          <w:rFonts w:eastAsia="Times New Roman" w:cs="Times New Roman"/>
          <w:color w:val="000000"/>
          <w:sz w:val="16"/>
          <w:szCs w:val="16"/>
        </w:rPr>
        <w:t>, p.</w:t>
      </w:r>
      <w:r w:rsidR="00922B36" w:rsidRPr="00E87640">
        <w:rPr>
          <w:rFonts w:eastAsia="Times New Roman" w:cs="Times New Roman"/>
          <w:color w:val="000000"/>
          <w:sz w:val="16"/>
          <w:szCs w:val="16"/>
        </w:rPr>
        <w:t>479</w:t>
      </w:r>
    </w:p>
  </w:footnote>
  <w:footnote w:id="15">
    <w:p w14:paraId="02FB1335" w14:textId="37A0AE15" w:rsidR="00BF4504" w:rsidRPr="001E36D9" w:rsidRDefault="00BF4504" w:rsidP="001E36D9">
      <w:pPr>
        <w:divId w:val="1341784071"/>
        <w:rPr>
          <w:rFonts w:eastAsia="Times New Roman"/>
          <w:sz w:val="24"/>
          <w:szCs w:val="24"/>
        </w:rPr>
      </w:pPr>
      <w:r>
        <w:rPr>
          <w:rStyle w:val="FootnoteReference"/>
        </w:rPr>
        <w:footnoteRef/>
      </w:r>
      <w:r>
        <w:t xml:space="preserve"> </w:t>
      </w:r>
      <w:r w:rsidR="000D4BAE" w:rsidRPr="00365A51">
        <w:rPr>
          <w:rFonts w:eastAsia="Times New Roman" w:cs="Arial"/>
          <w:color w:val="333333"/>
          <w:sz w:val="16"/>
          <w:szCs w:val="16"/>
          <w:shd w:val="clear" w:color="auto" w:fill="FFFFFF"/>
        </w:rPr>
        <w:t>Praz, Mario. “Poe and Psychoanalysis (1933).”</w:t>
      </w:r>
      <w:r w:rsidR="000D4BAE" w:rsidRPr="00365A51">
        <w:rPr>
          <w:rStyle w:val="apple-converted-space"/>
          <w:rFonts w:eastAsia="Times New Roman" w:cs="Arial"/>
          <w:color w:val="333333"/>
          <w:sz w:val="16"/>
          <w:szCs w:val="16"/>
          <w:shd w:val="clear" w:color="auto" w:fill="FFFFFF"/>
        </w:rPr>
        <w:t> </w:t>
      </w:r>
      <w:r w:rsidR="000D4BAE" w:rsidRPr="00365A51">
        <w:rPr>
          <w:rFonts w:eastAsia="Times New Roman" w:cs="Arial"/>
          <w:i/>
          <w:iCs/>
          <w:color w:val="333333"/>
          <w:sz w:val="16"/>
          <w:szCs w:val="16"/>
        </w:rPr>
        <w:t>The Sewanee Review</w:t>
      </w:r>
      <w:r w:rsidR="000D4BAE" w:rsidRPr="00365A51">
        <w:rPr>
          <w:rFonts w:eastAsia="Times New Roman" w:cs="Arial"/>
          <w:color w:val="333333"/>
          <w:sz w:val="16"/>
          <w:szCs w:val="16"/>
          <w:shd w:val="clear" w:color="auto" w:fill="FFFFFF"/>
        </w:rPr>
        <w:t>, vol. 68, no. 3, 1960, pp. 375–389.</w:t>
      </w:r>
      <w:r w:rsidR="000D4BAE" w:rsidRPr="00365A51">
        <w:rPr>
          <w:rStyle w:val="apple-converted-space"/>
          <w:rFonts w:eastAsia="Times New Roman" w:cs="Arial"/>
          <w:color w:val="333333"/>
          <w:sz w:val="16"/>
          <w:szCs w:val="16"/>
          <w:shd w:val="clear" w:color="auto" w:fill="FFFFFF"/>
        </w:rPr>
        <w:t> </w:t>
      </w:r>
      <w:r w:rsidR="000D4BAE" w:rsidRPr="00365A51">
        <w:rPr>
          <w:rFonts w:eastAsia="Times New Roman" w:cs="Arial"/>
          <w:iCs/>
          <w:color w:val="333333"/>
          <w:sz w:val="16"/>
          <w:szCs w:val="16"/>
        </w:rPr>
        <w:t>JSTOR</w:t>
      </w:r>
      <w:r w:rsidR="00587182">
        <w:rPr>
          <w:rFonts w:eastAsia="Times New Roman" w:cs="Arial"/>
          <w:color w:val="333333"/>
          <w:sz w:val="16"/>
          <w:szCs w:val="16"/>
          <w:shd w:val="clear" w:color="auto" w:fill="FFFFFF"/>
        </w:rPr>
        <w:t>.</w:t>
      </w:r>
    </w:p>
  </w:footnote>
  <w:footnote w:id="16">
    <w:p w14:paraId="167E7E37" w14:textId="75F03AAA" w:rsidR="00CC5A28" w:rsidRPr="00934766" w:rsidRDefault="00CC5A28">
      <w:pPr>
        <w:pStyle w:val="FootnoteText"/>
        <w:rPr>
          <w:sz w:val="16"/>
          <w:szCs w:val="16"/>
        </w:rPr>
      </w:pPr>
      <w:r>
        <w:rPr>
          <w:rStyle w:val="FootnoteReference"/>
        </w:rPr>
        <w:footnoteRef/>
      </w:r>
      <w:r>
        <w:t xml:space="preserve"> </w:t>
      </w:r>
      <w:r w:rsidR="00D70969" w:rsidRPr="00934766">
        <w:rPr>
          <w:sz w:val="16"/>
          <w:szCs w:val="16"/>
        </w:rPr>
        <w:t>Freud, Sigmund</w:t>
      </w:r>
      <w:r w:rsidR="0054108C" w:rsidRPr="00934766">
        <w:rPr>
          <w:sz w:val="16"/>
          <w:szCs w:val="16"/>
        </w:rPr>
        <w:t xml:space="preserve">,  </w:t>
      </w:r>
      <w:r w:rsidR="00D70969" w:rsidRPr="00934766">
        <w:rPr>
          <w:sz w:val="16"/>
          <w:szCs w:val="16"/>
        </w:rPr>
        <w:t>‘The U</w:t>
      </w:r>
      <w:r w:rsidR="0054108C" w:rsidRPr="00934766">
        <w:rPr>
          <w:sz w:val="16"/>
          <w:szCs w:val="16"/>
        </w:rPr>
        <w:t>ncanny</w:t>
      </w:r>
      <w:r w:rsidR="00D70969" w:rsidRPr="00934766">
        <w:rPr>
          <w:sz w:val="16"/>
          <w:szCs w:val="16"/>
        </w:rPr>
        <w:t>’,</w:t>
      </w:r>
      <w:r w:rsidR="0054108C" w:rsidRPr="00934766">
        <w:rPr>
          <w:sz w:val="16"/>
          <w:szCs w:val="16"/>
        </w:rPr>
        <w:t xml:space="preserve"> </w:t>
      </w:r>
      <w:r w:rsidR="00D70969" w:rsidRPr="00934766">
        <w:rPr>
          <w:sz w:val="16"/>
          <w:szCs w:val="16"/>
        </w:rPr>
        <w:t xml:space="preserve">in </w:t>
      </w:r>
      <w:r w:rsidR="00D70969" w:rsidRPr="00934766">
        <w:rPr>
          <w:i/>
          <w:sz w:val="16"/>
          <w:szCs w:val="16"/>
        </w:rPr>
        <w:t>The Standard E</w:t>
      </w:r>
      <w:r w:rsidR="00F33157" w:rsidRPr="00934766">
        <w:rPr>
          <w:i/>
          <w:sz w:val="16"/>
          <w:szCs w:val="16"/>
        </w:rPr>
        <w:t xml:space="preserve">dition of the </w:t>
      </w:r>
      <w:r w:rsidR="00D70969" w:rsidRPr="00934766">
        <w:rPr>
          <w:i/>
          <w:sz w:val="16"/>
          <w:szCs w:val="16"/>
        </w:rPr>
        <w:t>C</w:t>
      </w:r>
      <w:r w:rsidR="00F33157" w:rsidRPr="00934766">
        <w:rPr>
          <w:i/>
          <w:sz w:val="16"/>
          <w:szCs w:val="16"/>
        </w:rPr>
        <w:t xml:space="preserve">omplete </w:t>
      </w:r>
      <w:r w:rsidR="00D70969" w:rsidRPr="00934766">
        <w:rPr>
          <w:i/>
          <w:sz w:val="16"/>
          <w:szCs w:val="16"/>
        </w:rPr>
        <w:t>P</w:t>
      </w:r>
      <w:r w:rsidR="00BE410D" w:rsidRPr="00934766">
        <w:rPr>
          <w:i/>
          <w:sz w:val="16"/>
          <w:szCs w:val="16"/>
        </w:rPr>
        <w:t xml:space="preserve">sychological </w:t>
      </w:r>
      <w:r w:rsidR="00D70969" w:rsidRPr="00934766">
        <w:rPr>
          <w:i/>
          <w:sz w:val="16"/>
          <w:szCs w:val="16"/>
        </w:rPr>
        <w:t>W</w:t>
      </w:r>
      <w:r w:rsidR="00F33157" w:rsidRPr="00934766">
        <w:rPr>
          <w:i/>
          <w:sz w:val="16"/>
          <w:szCs w:val="16"/>
        </w:rPr>
        <w:t>orks of Sigmund Freud</w:t>
      </w:r>
      <w:r w:rsidR="00E860EA" w:rsidRPr="00934766">
        <w:rPr>
          <w:sz w:val="16"/>
          <w:szCs w:val="16"/>
        </w:rPr>
        <w:t>,</w:t>
      </w:r>
      <w:r w:rsidR="00C43C13" w:rsidRPr="00934766">
        <w:rPr>
          <w:sz w:val="16"/>
          <w:szCs w:val="16"/>
        </w:rPr>
        <w:t xml:space="preserve"> Vol XVII,</w:t>
      </w:r>
      <w:r w:rsidR="00E860EA" w:rsidRPr="00934766">
        <w:rPr>
          <w:sz w:val="16"/>
          <w:szCs w:val="16"/>
        </w:rPr>
        <w:t xml:space="preserve"> translated by James Strache</w:t>
      </w:r>
      <w:r w:rsidR="002A4419" w:rsidRPr="00934766">
        <w:rPr>
          <w:sz w:val="16"/>
          <w:szCs w:val="16"/>
        </w:rPr>
        <w:t xml:space="preserve">y, </w:t>
      </w:r>
      <w:r w:rsidR="003A76E8" w:rsidRPr="00934766">
        <w:rPr>
          <w:sz w:val="16"/>
          <w:szCs w:val="16"/>
        </w:rPr>
        <w:t>(London: Hogarth Press,</w:t>
      </w:r>
      <w:r w:rsidR="00930E0E" w:rsidRPr="00934766">
        <w:rPr>
          <w:sz w:val="16"/>
          <w:szCs w:val="16"/>
        </w:rPr>
        <w:t xml:space="preserve"> 1917</w:t>
      </w:r>
      <w:r w:rsidR="009822E1" w:rsidRPr="00934766">
        <w:rPr>
          <w:sz w:val="16"/>
          <w:szCs w:val="16"/>
        </w:rPr>
        <w:t>)</w:t>
      </w:r>
      <w:r w:rsidR="00587182">
        <w:rPr>
          <w:sz w:val="16"/>
          <w:szCs w:val="16"/>
        </w:rPr>
        <w:t>,</w:t>
      </w:r>
      <w:r w:rsidR="00934766">
        <w:rPr>
          <w:sz w:val="16"/>
          <w:szCs w:val="16"/>
        </w:rPr>
        <w:t xml:space="preserve"> p</w:t>
      </w:r>
      <w:r w:rsidR="00587182">
        <w:rPr>
          <w:sz w:val="16"/>
          <w:szCs w:val="16"/>
        </w:rPr>
        <w:t>.</w:t>
      </w:r>
      <w:r w:rsidR="003E2A33">
        <w:rPr>
          <w:sz w:val="16"/>
          <w:szCs w:val="16"/>
        </w:rPr>
        <w:t>3</w:t>
      </w:r>
    </w:p>
  </w:footnote>
  <w:footnote w:id="17">
    <w:p w14:paraId="4C267B93" w14:textId="1BF8D784" w:rsidR="00BA70BA" w:rsidRPr="003632CC" w:rsidRDefault="00BA70BA" w:rsidP="003632CC">
      <w:pPr>
        <w:rPr>
          <w:rFonts w:eastAsia="Times New Roman" w:cs="Times New Roman"/>
          <w:sz w:val="16"/>
          <w:szCs w:val="16"/>
        </w:rPr>
      </w:pPr>
      <w:r w:rsidRPr="00934766">
        <w:rPr>
          <w:rStyle w:val="FootnoteReference"/>
          <w:sz w:val="16"/>
          <w:szCs w:val="16"/>
        </w:rPr>
        <w:footnoteRef/>
      </w:r>
      <w:r w:rsidRPr="00934766">
        <w:rPr>
          <w:sz w:val="16"/>
          <w:szCs w:val="16"/>
        </w:rPr>
        <w:t xml:space="preserve"> </w:t>
      </w:r>
      <w:r w:rsidR="003632CC" w:rsidRPr="00951EB1">
        <w:rPr>
          <w:rFonts w:eastAsia="Times New Roman" w:cs="Times New Roman"/>
          <w:color w:val="000000"/>
          <w:sz w:val="16"/>
          <w:szCs w:val="16"/>
        </w:rPr>
        <w:t>Hertz, Neil, ‘Freud and the Sandman’, in </w:t>
      </w:r>
      <w:r w:rsidR="003632CC" w:rsidRPr="001E1CF5">
        <w:rPr>
          <w:rFonts w:eastAsia="Times New Roman" w:cs="Times New Roman"/>
          <w:i/>
          <w:iCs/>
          <w:color w:val="000000"/>
          <w:sz w:val="16"/>
          <w:szCs w:val="16"/>
        </w:rPr>
        <w:t>Textual Strategies: Perspectives in Post-Structuralist Criticism</w:t>
      </w:r>
      <w:r w:rsidR="003632CC" w:rsidRPr="001E1CF5">
        <w:rPr>
          <w:rFonts w:eastAsia="Times New Roman" w:cs="Times New Roman"/>
          <w:i/>
          <w:color w:val="000000"/>
          <w:sz w:val="16"/>
          <w:szCs w:val="16"/>
        </w:rPr>
        <w:t>,</w:t>
      </w:r>
      <w:r w:rsidR="003632CC" w:rsidRPr="00951EB1">
        <w:rPr>
          <w:rFonts w:eastAsia="Times New Roman" w:cs="Times New Roman"/>
          <w:color w:val="000000"/>
          <w:sz w:val="16"/>
          <w:szCs w:val="16"/>
        </w:rPr>
        <w:t xml:space="preserve"> ed. by Josué Harari (London: Methuen, 1980), p</w:t>
      </w:r>
      <w:r w:rsidR="003632CC">
        <w:rPr>
          <w:rFonts w:eastAsia="Times New Roman" w:cs="Times New Roman"/>
          <w:color w:val="000000"/>
          <w:sz w:val="16"/>
          <w:szCs w:val="16"/>
        </w:rPr>
        <w:t>.303</w:t>
      </w:r>
    </w:p>
  </w:footnote>
  <w:footnote w:id="18">
    <w:p w14:paraId="35BBFDBD" w14:textId="08E88A35" w:rsidR="00EE79EF" w:rsidRPr="00951EB1" w:rsidRDefault="00EE79EF">
      <w:pPr>
        <w:pStyle w:val="FootnoteText"/>
        <w:rPr>
          <w:sz w:val="16"/>
          <w:szCs w:val="16"/>
        </w:rPr>
      </w:pPr>
      <w:r>
        <w:rPr>
          <w:rStyle w:val="FootnoteReference"/>
        </w:rPr>
        <w:footnoteRef/>
      </w:r>
      <w:r>
        <w:t xml:space="preserve"> </w:t>
      </w:r>
      <w:r w:rsidRPr="00951EB1">
        <w:rPr>
          <w:rFonts w:eastAsia="Times New Roman" w:cs="Times New Roman"/>
          <w:color w:val="000000"/>
          <w:sz w:val="16"/>
          <w:szCs w:val="16"/>
        </w:rPr>
        <w:t>Hoffman, E.T.A., </w:t>
      </w:r>
      <w:r w:rsidRPr="00951EB1">
        <w:rPr>
          <w:rFonts w:eastAsia="Times New Roman" w:cs="Times New Roman"/>
          <w:i/>
          <w:iCs/>
          <w:color w:val="000000"/>
          <w:sz w:val="16"/>
          <w:szCs w:val="16"/>
        </w:rPr>
        <w:t>The Sandman, The Elementary Spirit (Two Mysterious Tales)</w:t>
      </w:r>
      <w:r w:rsidRPr="00951EB1">
        <w:rPr>
          <w:rFonts w:eastAsia="Times New Roman" w:cs="Times New Roman"/>
          <w:color w:val="000000"/>
          <w:sz w:val="16"/>
          <w:szCs w:val="16"/>
        </w:rPr>
        <w:t>, translated by John Oxenford, German Classics series (New York: Mondial, 2008)</w:t>
      </w:r>
      <w:r w:rsidR="00587182">
        <w:rPr>
          <w:rFonts w:eastAsia="Times New Roman" w:cs="Times New Roman"/>
          <w:color w:val="000000"/>
          <w:sz w:val="16"/>
          <w:szCs w:val="16"/>
        </w:rPr>
        <w:t>, p.</w:t>
      </w:r>
      <w:r w:rsidRPr="00951EB1">
        <w:rPr>
          <w:rFonts w:eastAsia="Times New Roman" w:cs="Times New Roman"/>
          <w:color w:val="000000"/>
          <w:sz w:val="16"/>
          <w:szCs w:val="16"/>
        </w:rPr>
        <w:t>27</w:t>
      </w:r>
    </w:p>
  </w:footnote>
  <w:footnote w:id="19">
    <w:p w14:paraId="09C25190" w14:textId="14873725" w:rsidR="00472934" w:rsidRPr="00951EB1" w:rsidRDefault="00472934">
      <w:pPr>
        <w:pStyle w:val="FootnoteText"/>
        <w:rPr>
          <w:sz w:val="16"/>
          <w:szCs w:val="16"/>
        </w:rPr>
      </w:pPr>
      <w:r w:rsidRPr="00951EB1">
        <w:rPr>
          <w:rStyle w:val="FootnoteReference"/>
          <w:sz w:val="16"/>
          <w:szCs w:val="16"/>
        </w:rPr>
        <w:footnoteRef/>
      </w:r>
      <w:r w:rsidRPr="00951EB1">
        <w:rPr>
          <w:sz w:val="16"/>
          <w:szCs w:val="16"/>
        </w:rPr>
        <w:t xml:space="preserve"> </w:t>
      </w:r>
      <w:r w:rsidR="0090198A" w:rsidRPr="00951EB1">
        <w:rPr>
          <w:rFonts w:eastAsia="Times New Roman" w:cs="Times New Roman"/>
          <w:color w:val="000000"/>
          <w:sz w:val="16"/>
          <w:szCs w:val="16"/>
        </w:rPr>
        <w:t>Hoffman, E.T.A., </w:t>
      </w:r>
      <w:r w:rsidR="0090198A" w:rsidRPr="00951EB1">
        <w:rPr>
          <w:rFonts w:eastAsia="Times New Roman" w:cs="Times New Roman"/>
          <w:i/>
          <w:iCs/>
          <w:color w:val="000000"/>
          <w:sz w:val="16"/>
          <w:szCs w:val="16"/>
        </w:rPr>
        <w:t>The Sandman, The Elementary Spirit (Two Mysterious Tales)</w:t>
      </w:r>
      <w:r w:rsidR="0090198A" w:rsidRPr="00951EB1">
        <w:rPr>
          <w:rFonts w:eastAsia="Times New Roman" w:cs="Times New Roman"/>
          <w:color w:val="000000"/>
          <w:sz w:val="16"/>
          <w:szCs w:val="16"/>
        </w:rPr>
        <w:t>, translated by John Oxenford, German Classics ser</w:t>
      </w:r>
      <w:r w:rsidR="00587182">
        <w:rPr>
          <w:rFonts w:eastAsia="Times New Roman" w:cs="Times New Roman"/>
          <w:color w:val="000000"/>
          <w:sz w:val="16"/>
          <w:szCs w:val="16"/>
        </w:rPr>
        <w:t>ies (New York: Mondial, 2008), p.</w:t>
      </w:r>
      <w:r w:rsidR="0090198A" w:rsidRPr="00951EB1">
        <w:rPr>
          <w:rFonts w:eastAsia="Times New Roman" w:cs="Times New Roman"/>
          <w:color w:val="000000"/>
          <w:sz w:val="16"/>
          <w:szCs w:val="16"/>
        </w:rPr>
        <w:t>37</w:t>
      </w:r>
    </w:p>
  </w:footnote>
  <w:footnote w:id="20">
    <w:p w14:paraId="0745DB20" w14:textId="17E09DFA" w:rsidR="00F20262" w:rsidRPr="00951EB1" w:rsidRDefault="00F20262" w:rsidP="007D0915">
      <w:pPr>
        <w:divId w:val="512766057"/>
        <w:rPr>
          <w:rFonts w:eastAsia="Times New Roman" w:cs="Times New Roman"/>
          <w:sz w:val="16"/>
          <w:szCs w:val="16"/>
        </w:rPr>
      </w:pPr>
      <w:r>
        <w:rPr>
          <w:rStyle w:val="FootnoteReference"/>
        </w:rPr>
        <w:footnoteRef/>
      </w:r>
      <w:r>
        <w:t xml:space="preserve"> </w:t>
      </w:r>
      <w:r w:rsidR="00D07D9C" w:rsidRPr="00951EB1">
        <w:rPr>
          <w:rFonts w:eastAsia="Times New Roman" w:cs="Times New Roman"/>
          <w:color w:val="000000"/>
          <w:sz w:val="16"/>
          <w:szCs w:val="16"/>
        </w:rPr>
        <w:t>Hoffman, E.T.A., </w:t>
      </w:r>
      <w:r w:rsidR="00D07D9C" w:rsidRPr="00951EB1">
        <w:rPr>
          <w:rFonts w:eastAsia="Times New Roman" w:cs="Times New Roman"/>
          <w:i/>
          <w:iCs/>
          <w:color w:val="000000"/>
          <w:sz w:val="16"/>
          <w:szCs w:val="16"/>
        </w:rPr>
        <w:t>The Sandman, The Elementary Spirit (Two Mysterious Tales)</w:t>
      </w:r>
      <w:r w:rsidR="00D07D9C" w:rsidRPr="00951EB1">
        <w:rPr>
          <w:rFonts w:eastAsia="Times New Roman" w:cs="Times New Roman"/>
          <w:color w:val="000000"/>
          <w:sz w:val="16"/>
          <w:szCs w:val="16"/>
        </w:rPr>
        <w:t>, translated by John Oxenford, German Classics series (New York: Mondial, 2008)</w:t>
      </w:r>
      <w:r w:rsidR="006D5CE3">
        <w:rPr>
          <w:rFonts w:eastAsia="Times New Roman" w:cs="Times New Roman"/>
          <w:color w:val="000000"/>
          <w:sz w:val="16"/>
          <w:szCs w:val="16"/>
        </w:rPr>
        <w:t>, pp.</w:t>
      </w:r>
      <w:r w:rsidR="0029334C" w:rsidRPr="00951EB1">
        <w:rPr>
          <w:rFonts w:eastAsia="Times New Roman" w:cs="Times New Roman"/>
          <w:color w:val="000000"/>
          <w:sz w:val="16"/>
          <w:szCs w:val="16"/>
        </w:rPr>
        <w:t>22</w:t>
      </w:r>
    </w:p>
  </w:footnote>
  <w:footnote w:id="21">
    <w:p w14:paraId="39ED9A5C" w14:textId="4B58D8F2" w:rsidR="000970CE" w:rsidRPr="00951EB1" w:rsidRDefault="000970CE" w:rsidP="007D0915">
      <w:pPr>
        <w:divId w:val="1984433371"/>
        <w:rPr>
          <w:rFonts w:eastAsia="Times New Roman" w:cs="Times New Roman"/>
          <w:sz w:val="16"/>
          <w:szCs w:val="16"/>
        </w:rPr>
      </w:pPr>
      <w:r w:rsidRPr="00951EB1">
        <w:rPr>
          <w:rStyle w:val="FootnoteReference"/>
          <w:sz w:val="16"/>
          <w:szCs w:val="16"/>
        </w:rPr>
        <w:footnoteRef/>
      </w:r>
      <w:r w:rsidRPr="00951EB1">
        <w:rPr>
          <w:sz w:val="16"/>
          <w:szCs w:val="16"/>
        </w:rPr>
        <w:t xml:space="preserve"> </w:t>
      </w:r>
      <w:r w:rsidR="007E225F" w:rsidRPr="00951EB1">
        <w:rPr>
          <w:rFonts w:eastAsia="Times New Roman" w:cs="Times New Roman"/>
          <w:color w:val="000000"/>
          <w:sz w:val="16"/>
          <w:szCs w:val="16"/>
        </w:rPr>
        <w:t>Hertz, Neil, ‘Freud and the Sandman’, in </w:t>
      </w:r>
      <w:r w:rsidR="007E225F" w:rsidRPr="001E1CF5">
        <w:rPr>
          <w:rFonts w:eastAsia="Times New Roman" w:cs="Times New Roman"/>
          <w:i/>
          <w:iCs/>
          <w:color w:val="000000"/>
          <w:sz w:val="16"/>
          <w:szCs w:val="16"/>
        </w:rPr>
        <w:t>Textual Strategies: Perspectives in Post-Structuralist Criticism</w:t>
      </w:r>
      <w:r w:rsidR="007E225F" w:rsidRPr="001E1CF5">
        <w:rPr>
          <w:rFonts w:eastAsia="Times New Roman" w:cs="Times New Roman"/>
          <w:i/>
          <w:color w:val="000000"/>
          <w:sz w:val="16"/>
          <w:szCs w:val="16"/>
        </w:rPr>
        <w:t>,</w:t>
      </w:r>
      <w:r w:rsidR="007E225F" w:rsidRPr="00951EB1">
        <w:rPr>
          <w:rFonts w:eastAsia="Times New Roman" w:cs="Times New Roman"/>
          <w:color w:val="000000"/>
          <w:sz w:val="16"/>
          <w:szCs w:val="16"/>
        </w:rPr>
        <w:t xml:space="preserve"> ed. by Josué Harari (London: Methuen, 1980), p</w:t>
      </w:r>
      <w:r w:rsidR="00E11004">
        <w:rPr>
          <w:rFonts w:eastAsia="Times New Roman" w:cs="Times New Roman"/>
          <w:color w:val="000000"/>
          <w:sz w:val="16"/>
          <w:szCs w:val="16"/>
        </w:rPr>
        <w:t>.</w:t>
      </w:r>
      <w:r w:rsidR="007E225F" w:rsidRPr="00951EB1">
        <w:rPr>
          <w:rFonts w:eastAsia="Times New Roman" w:cs="Times New Roman"/>
          <w:color w:val="000000"/>
          <w:sz w:val="16"/>
          <w:szCs w:val="16"/>
        </w:rPr>
        <w:t>302</w:t>
      </w:r>
    </w:p>
  </w:footnote>
  <w:footnote w:id="22">
    <w:p w14:paraId="141E784D" w14:textId="381A40AF" w:rsidR="00701807" w:rsidRPr="001E1CF5" w:rsidRDefault="00701807">
      <w:pPr>
        <w:pStyle w:val="FootnoteText"/>
        <w:rPr>
          <w:sz w:val="16"/>
          <w:szCs w:val="16"/>
        </w:rPr>
      </w:pPr>
      <w:r>
        <w:rPr>
          <w:rStyle w:val="FootnoteReference"/>
        </w:rPr>
        <w:footnoteRef/>
      </w:r>
      <w:r w:rsidR="0029334C" w:rsidRPr="0029334C">
        <w:rPr>
          <w:rFonts w:ascii="Garamond" w:eastAsia="Times New Roman" w:hAnsi="Garamond" w:cs="Times New Roman"/>
          <w:color w:val="000000"/>
          <w:sz w:val="18"/>
          <w:szCs w:val="18"/>
        </w:rPr>
        <w:t xml:space="preserve"> </w:t>
      </w:r>
      <w:r w:rsidR="0029334C" w:rsidRPr="001E1CF5">
        <w:rPr>
          <w:rFonts w:eastAsia="Times New Roman" w:cs="Times New Roman"/>
          <w:color w:val="000000"/>
          <w:sz w:val="16"/>
          <w:szCs w:val="16"/>
        </w:rPr>
        <w:t>Hoffman, E.T.A., </w:t>
      </w:r>
      <w:r w:rsidR="0029334C" w:rsidRPr="001E1CF5">
        <w:rPr>
          <w:rFonts w:eastAsia="Times New Roman" w:cs="Times New Roman"/>
          <w:i/>
          <w:iCs/>
          <w:color w:val="000000"/>
          <w:sz w:val="16"/>
          <w:szCs w:val="16"/>
        </w:rPr>
        <w:t>The Sandman, The Elementary Spirit (Two Mysterious Tales)</w:t>
      </w:r>
      <w:r w:rsidR="0029334C" w:rsidRPr="001E1CF5">
        <w:rPr>
          <w:rFonts w:eastAsia="Times New Roman" w:cs="Times New Roman"/>
          <w:color w:val="000000"/>
          <w:sz w:val="16"/>
          <w:szCs w:val="16"/>
        </w:rPr>
        <w:t>, translated by John Oxenford, German Classics ser</w:t>
      </w:r>
      <w:r w:rsidR="00E11004">
        <w:rPr>
          <w:rFonts w:eastAsia="Times New Roman" w:cs="Times New Roman"/>
          <w:color w:val="000000"/>
          <w:sz w:val="16"/>
          <w:szCs w:val="16"/>
        </w:rPr>
        <w:t>ies (New York: Mondial, 2008)</w:t>
      </w:r>
      <w:r w:rsidR="004D126A">
        <w:rPr>
          <w:rFonts w:eastAsia="Times New Roman" w:cs="Times New Roman"/>
          <w:color w:val="000000"/>
          <w:sz w:val="16"/>
          <w:szCs w:val="16"/>
        </w:rPr>
        <w:t>,</w:t>
      </w:r>
      <w:r w:rsidR="00E11004">
        <w:rPr>
          <w:rFonts w:eastAsia="Times New Roman" w:cs="Times New Roman"/>
          <w:color w:val="000000"/>
          <w:sz w:val="16"/>
          <w:szCs w:val="16"/>
        </w:rPr>
        <w:t xml:space="preserve"> p.</w:t>
      </w:r>
      <w:r w:rsidRPr="001E1CF5">
        <w:rPr>
          <w:sz w:val="16"/>
          <w:szCs w:val="16"/>
        </w:rPr>
        <w:t>27</w:t>
      </w:r>
    </w:p>
  </w:footnote>
  <w:footnote w:id="23">
    <w:p w14:paraId="00A3A950" w14:textId="493CDC25" w:rsidR="00F8785C" w:rsidRPr="001E1CF5" w:rsidRDefault="00F8785C">
      <w:pPr>
        <w:pStyle w:val="FootnoteText"/>
        <w:rPr>
          <w:sz w:val="16"/>
          <w:szCs w:val="16"/>
        </w:rPr>
      </w:pPr>
      <w:r w:rsidRPr="001E1CF5">
        <w:rPr>
          <w:rStyle w:val="FootnoteReference"/>
          <w:sz w:val="16"/>
          <w:szCs w:val="16"/>
        </w:rPr>
        <w:footnoteRef/>
      </w:r>
      <w:r w:rsidR="004D08F6" w:rsidRPr="001E1CF5">
        <w:rPr>
          <w:sz w:val="16"/>
          <w:szCs w:val="16"/>
        </w:rPr>
        <w:t xml:space="preserve"> </w:t>
      </w:r>
      <w:r w:rsidR="004D08F6" w:rsidRPr="001E1CF5">
        <w:rPr>
          <w:rFonts w:eastAsia="Times New Roman" w:cs="Times New Roman"/>
          <w:color w:val="000000"/>
          <w:sz w:val="16"/>
          <w:szCs w:val="16"/>
        </w:rPr>
        <w:t>Hoffman, E.T.A., </w:t>
      </w:r>
      <w:r w:rsidR="004D08F6" w:rsidRPr="001E1CF5">
        <w:rPr>
          <w:rFonts w:eastAsia="Times New Roman" w:cs="Times New Roman"/>
          <w:i/>
          <w:iCs/>
          <w:color w:val="000000"/>
          <w:sz w:val="16"/>
          <w:szCs w:val="16"/>
        </w:rPr>
        <w:t>The Sandman, The Elementary Spirit (Two Mysterious Tales)</w:t>
      </w:r>
      <w:r w:rsidR="004D08F6" w:rsidRPr="001E1CF5">
        <w:rPr>
          <w:rFonts w:eastAsia="Times New Roman" w:cs="Times New Roman"/>
          <w:color w:val="000000"/>
          <w:sz w:val="16"/>
          <w:szCs w:val="16"/>
        </w:rPr>
        <w:t>, translated by John Oxenford, German Classics ser</w:t>
      </w:r>
      <w:r w:rsidR="00E11004">
        <w:rPr>
          <w:rFonts w:eastAsia="Times New Roman" w:cs="Times New Roman"/>
          <w:color w:val="000000"/>
          <w:sz w:val="16"/>
          <w:szCs w:val="16"/>
        </w:rPr>
        <w:t>ies (New York: Mondial, 2008)</w:t>
      </w:r>
      <w:r w:rsidR="004D126A">
        <w:rPr>
          <w:rFonts w:eastAsia="Times New Roman" w:cs="Times New Roman"/>
          <w:color w:val="000000"/>
          <w:sz w:val="16"/>
          <w:szCs w:val="16"/>
        </w:rPr>
        <w:t>,</w:t>
      </w:r>
      <w:r w:rsidR="00E11004">
        <w:rPr>
          <w:rFonts w:eastAsia="Times New Roman" w:cs="Times New Roman"/>
          <w:color w:val="000000"/>
          <w:sz w:val="16"/>
          <w:szCs w:val="16"/>
        </w:rPr>
        <w:t xml:space="preserve"> p.</w:t>
      </w:r>
      <w:r w:rsidRPr="001E1CF5">
        <w:rPr>
          <w:sz w:val="16"/>
          <w:szCs w:val="16"/>
        </w:rPr>
        <w:t>30</w:t>
      </w:r>
    </w:p>
  </w:footnote>
  <w:footnote w:id="24">
    <w:p w14:paraId="65C44A76" w14:textId="0E4F5EF2" w:rsidR="004725D5" w:rsidRPr="001E1CF5" w:rsidRDefault="004725D5">
      <w:pPr>
        <w:pStyle w:val="FootnoteText"/>
        <w:rPr>
          <w:sz w:val="16"/>
          <w:szCs w:val="16"/>
        </w:rPr>
      </w:pPr>
      <w:r w:rsidRPr="001E1CF5">
        <w:rPr>
          <w:rStyle w:val="FootnoteReference"/>
          <w:sz w:val="16"/>
          <w:szCs w:val="16"/>
        </w:rPr>
        <w:footnoteRef/>
      </w:r>
      <w:r w:rsidRPr="001E1CF5">
        <w:rPr>
          <w:sz w:val="16"/>
          <w:szCs w:val="16"/>
        </w:rPr>
        <w:t xml:space="preserve"> Jonathan, Culler, </w:t>
      </w:r>
      <w:r w:rsidRPr="001E1CF5">
        <w:rPr>
          <w:i/>
          <w:sz w:val="16"/>
          <w:szCs w:val="16"/>
        </w:rPr>
        <w:t>On Deconstruction: Theory and Criticism after Structuralism</w:t>
      </w:r>
      <w:r w:rsidRPr="001E1CF5">
        <w:rPr>
          <w:sz w:val="16"/>
          <w:szCs w:val="16"/>
        </w:rPr>
        <w:t xml:space="preserve"> (London, Routeled</w:t>
      </w:r>
      <w:r w:rsidR="00E11004">
        <w:rPr>
          <w:sz w:val="16"/>
          <w:szCs w:val="16"/>
        </w:rPr>
        <w:t>ge, reprinted several times)</w:t>
      </w:r>
      <w:r w:rsidR="004D126A">
        <w:rPr>
          <w:sz w:val="16"/>
          <w:szCs w:val="16"/>
        </w:rPr>
        <w:t>,</w:t>
      </w:r>
      <w:r w:rsidR="00E11004">
        <w:rPr>
          <w:sz w:val="16"/>
          <w:szCs w:val="16"/>
        </w:rPr>
        <w:t xml:space="preserve"> pp.</w:t>
      </w:r>
      <w:r w:rsidRPr="001E1CF5">
        <w:rPr>
          <w:sz w:val="16"/>
          <w:szCs w:val="16"/>
        </w:rPr>
        <w:t>85-86</w:t>
      </w:r>
    </w:p>
  </w:footnote>
  <w:footnote w:id="25">
    <w:p w14:paraId="68CF7BC7" w14:textId="1C28C016" w:rsidR="0065707C" w:rsidRPr="001E1CF5" w:rsidRDefault="0065707C">
      <w:pPr>
        <w:pStyle w:val="FootnoteText"/>
        <w:rPr>
          <w:sz w:val="16"/>
          <w:szCs w:val="16"/>
        </w:rPr>
      </w:pPr>
      <w:r w:rsidRPr="001E1CF5">
        <w:rPr>
          <w:rStyle w:val="FootnoteReference"/>
          <w:sz w:val="16"/>
          <w:szCs w:val="16"/>
        </w:rPr>
        <w:footnoteRef/>
      </w:r>
      <w:r w:rsidRPr="001E1CF5">
        <w:rPr>
          <w:sz w:val="16"/>
          <w:szCs w:val="16"/>
        </w:rPr>
        <w:t xml:space="preserve"> </w:t>
      </w:r>
      <w:r w:rsidR="007D0915" w:rsidRPr="001E1CF5">
        <w:rPr>
          <w:rFonts w:eastAsia="Times New Roman" w:cs="Times New Roman"/>
          <w:color w:val="000000"/>
          <w:sz w:val="16"/>
          <w:szCs w:val="16"/>
        </w:rPr>
        <w:t>Hoffman, E.T.A., </w:t>
      </w:r>
      <w:r w:rsidR="007D0915" w:rsidRPr="001E1CF5">
        <w:rPr>
          <w:rFonts w:eastAsia="Times New Roman" w:cs="Times New Roman"/>
          <w:i/>
          <w:iCs/>
          <w:color w:val="000000"/>
          <w:sz w:val="16"/>
          <w:szCs w:val="16"/>
        </w:rPr>
        <w:t>The Sandman, The Elementary Spirit (Two Mysterious Tales)</w:t>
      </w:r>
      <w:r w:rsidR="007D0915" w:rsidRPr="001E1CF5">
        <w:rPr>
          <w:rFonts w:eastAsia="Times New Roman" w:cs="Times New Roman"/>
          <w:color w:val="000000"/>
          <w:sz w:val="16"/>
          <w:szCs w:val="16"/>
        </w:rPr>
        <w:t>, translated by John Oxenford, German Classics ser</w:t>
      </w:r>
      <w:r w:rsidR="00E11004">
        <w:rPr>
          <w:rFonts w:eastAsia="Times New Roman" w:cs="Times New Roman"/>
          <w:color w:val="000000"/>
          <w:sz w:val="16"/>
          <w:szCs w:val="16"/>
        </w:rPr>
        <w:t>ies (New York: Mondial, 2008)</w:t>
      </w:r>
      <w:r w:rsidR="004D126A">
        <w:rPr>
          <w:rFonts w:eastAsia="Times New Roman" w:cs="Times New Roman"/>
          <w:color w:val="000000"/>
          <w:sz w:val="16"/>
          <w:szCs w:val="16"/>
        </w:rPr>
        <w:t>,</w:t>
      </w:r>
      <w:r w:rsidR="00E11004">
        <w:rPr>
          <w:rFonts w:eastAsia="Times New Roman" w:cs="Times New Roman"/>
          <w:color w:val="000000"/>
          <w:sz w:val="16"/>
          <w:szCs w:val="16"/>
        </w:rPr>
        <w:t xml:space="preserve"> p.</w:t>
      </w:r>
      <w:r w:rsidRPr="001E1CF5">
        <w:rPr>
          <w:sz w:val="16"/>
          <w:szCs w:val="16"/>
        </w:rPr>
        <w:t>33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C2474" w14:textId="77777777" w:rsidR="007135B3" w:rsidRDefault="007135B3">
    <w:pPr>
      <w:pStyle w:val="Header"/>
    </w:pPr>
    <w:r>
      <w:t>Michael Thomas 0800946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2B5B"/>
    <w:rsid w:val="00003679"/>
    <w:rsid w:val="00004456"/>
    <w:rsid w:val="00012B41"/>
    <w:rsid w:val="00012E67"/>
    <w:rsid w:val="00016406"/>
    <w:rsid w:val="000231B8"/>
    <w:rsid w:val="00027262"/>
    <w:rsid w:val="00034C93"/>
    <w:rsid w:val="0003623C"/>
    <w:rsid w:val="00043229"/>
    <w:rsid w:val="00046D01"/>
    <w:rsid w:val="0004790C"/>
    <w:rsid w:val="00047E95"/>
    <w:rsid w:val="00050E3D"/>
    <w:rsid w:val="00051707"/>
    <w:rsid w:val="00053909"/>
    <w:rsid w:val="00055533"/>
    <w:rsid w:val="00055804"/>
    <w:rsid w:val="0005643D"/>
    <w:rsid w:val="000576D7"/>
    <w:rsid w:val="000617A7"/>
    <w:rsid w:val="00061DBD"/>
    <w:rsid w:val="00062222"/>
    <w:rsid w:val="00062466"/>
    <w:rsid w:val="0006348E"/>
    <w:rsid w:val="0006417F"/>
    <w:rsid w:val="0007038F"/>
    <w:rsid w:val="00073E70"/>
    <w:rsid w:val="000748A2"/>
    <w:rsid w:val="000771BD"/>
    <w:rsid w:val="0008050A"/>
    <w:rsid w:val="00081721"/>
    <w:rsid w:val="00093D04"/>
    <w:rsid w:val="000970CE"/>
    <w:rsid w:val="000A1790"/>
    <w:rsid w:val="000A20CB"/>
    <w:rsid w:val="000A6FEF"/>
    <w:rsid w:val="000B6785"/>
    <w:rsid w:val="000B67C1"/>
    <w:rsid w:val="000C78D3"/>
    <w:rsid w:val="000C7F1F"/>
    <w:rsid w:val="000D2AFC"/>
    <w:rsid w:val="000D4BAE"/>
    <w:rsid w:val="000D559B"/>
    <w:rsid w:val="000D66AB"/>
    <w:rsid w:val="000E3264"/>
    <w:rsid w:val="000E5BCA"/>
    <w:rsid w:val="000F7711"/>
    <w:rsid w:val="00102402"/>
    <w:rsid w:val="001032DE"/>
    <w:rsid w:val="00104481"/>
    <w:rsid w:val="001050A9"/>
    <w:rsid w:val="00106041"/>
    <w:rsid w:val="0010620A"/>
    <w:rsid w:val="00112273"/>
    <w:rsid w:val="00113A91"/>
    <w:rsid w:val="0012018D"/>
    <w:rsid w:val="0012252B"/>
    <w:rsid w:val="00123FDA"/>
    <w:rsid w:val="00146477"/>
    <w:rsid w:val="00151691"/>
    <w:rsid w:val="00154723"/>
    <w:rsid w:val="0017648D"/>
    <w:rsid w:val="001829B0"/>
    <w:rsid w:val="001853E3"/>
    <w:rsid w:val="001913E3"/>
    <w:rsid w:val="0019726A"/>
    <w:rsid w:val="001A21D5"/>
    <w:rsid w:val="001B21AA"/>
    <w:rsid w:val="001B28E5"/>
    <w:rsid w:val="001B42C3"/>
    <w:rsid w:val="001B490E"/>
    <w:rsid w:val="001B53E8"/>
    <w:rsid w:val="001B61DC"/>
    <w:rsid w:val="001B6CBF"/>
    <w:rsid w:val="001C0328"/>
    <w:rsid w:val="001C0F06"/>
    <w:rsid w:val="001C2616"/>
    <w:rsid w:val="001C5E9A"/>
    <w:rsid w:val="001C7993"/>
    <w:rsid w:val="001C7DC5"/>
    <w:rsid w:val="001D2558"/>
    <w:rsid w:val="001D2A5F"/>
    <w:rsid w:val="001E0F0F"/>
    <w:rsid w:val="001E1CF5"/>
    <w:rsid w:val="001E36D9"/>
    <w:rsid w:val="001F716C"/>
    <w:rsid w:val="00212625"/>
    <w:rsid w:val="002157F5"/>
    <w:rsid w:val="00227E33"/>
    <w:rsid w:val="00230503"/>
    <w:rsid w:val="00232692"/>
    <w:rsid w:val="00235808"/>
    <w:rsid w:val="002364CA"/>
    <w:rsid w:val="002430BF"/>
    <w:rsid w:val="00246764"/>
    <w:rsid w:val="002548C2"/>
    <w:rsid w:val="00256FAB"/>
    <w:rsid w:val="00271E38"/>
    <w:rsid w:val="002740A1"/>
    <w:rsid w:val="00274FB7"/>
    <w:rsid w:val="0028085A"/>
    <w:rsid w:val="0029201D"/>
    <w:rsid w:val="0029334C"/>
    <w:rsid w:val="00293859"/>
    <w:rsid w:val="00295F79"/>
    <w:rsid w:val="00297A41"/>
    <w:rsid w:val="002A2835"/>
    <w:rsid w:val="002A4419"/>
    <w:rsid w:val="002A4DE2"/>
    <w:rsid w:val="002C3A21"/>
    <w:rsid w:val="002C3CF6"/>
    <w:rsid w:val="002C7897"/>
    <w:rsid w:val="002C7D85"/>
    <w:rsid w:val="002D05AD"/>
    <w:rsid w:val="002D510E"/>
    <w:rsid w:val="002E05DC"/>
    <w:rsid w:val="002E45D1"/>
    <w:rsid w:val="002E7FDB"/>
    <w:rsid w:val="002F7446"/>
    <w:rsid w:val="00303561"/>
    <w:rsid w:val="0030452E"/>
    <w:rsid w:val="00305483"/>
    <w:rsid w:val="003058DF"/>
    <w:rsid w:val="00305E44"/>
    <w:rsid w:val="00312535"/>
    <w:rsid w:val="00312FCA"/>
    <w:rsid w:val="00320E47"/>
    <w:rsid w:val="003232AD"/>
    <w:rsid w:val="003313D1"/>
    <w:rsid w:val="00331A9C"/>
    <w:rsid w:val="00336666"/>
    <w:rsid w:val="00336C6B"/>
    <w:rsid w:val="00346CCC"/>
    <w:rsid w:val="00347FF5"/>
    <w:rsid w:val="003632CC"/>
    <w:rsid w:val="00365A51"/>
    <w:rsid w:val="003737C0"/>
    <w:rsid w:val="0037626A"/>
    <w:rsid w:val="00380B2E"/>
    <w:rsid w:val="00386607"/>
    <w:rsid w:val="00393D02"/>
    <w:rsid w:val="003A1872"/>
    <w:rsid w:val="003A2F45"/>
    <w:rsid w:val="003A76E8"/>
    <w:rsid w:val="003A7A2C"/>
    <w:rsid w:val="003C0A60"/>
    <w:rsid w:val="003C21EE"/>
    <w:rsid w:val="003C5D58"/>
    <w:rsid w:val="003C70D5"/>
    <w:rsid w:val="003D0E3E"/>
    <w:rsid w:val="003D124B"/>
    <w:rsid w:val="003D3950"/>
    <w:rsid w:val="003E2A33"/>
    <w:rsid w:val="003E4E6F"/>
    <w:rsid w:val="003E7C73"/>
    <w:rsid w:val="004007CA"/>
    <w:rsid w:val="004017A9"/>
    <w:rsid w:val="00403E81"/>
    <w:rsid w:val="0040741B"/>
    <w:rsid w:val="00407E43"/>
    <w:rsid w:val="00413291"/>
    <w:rsid w:val="00413406"/>
    <w:rsid w:val="004203C3"/>
    <w:rsid w:val="00420D1A"/>
    <w:rsid w:val="00427D01"/>
    <w:rsid w:val="00435681"/>
    <w:rsid w:val="00445EEA"/>
    <w:rsid w:val="00446B7C"/>
    <w:rsid w:val="0045137A"/>
    <w:rsid w:val="0045505A"/>
    <w:rsid w:val="00456B1E"/>
    <w:rsid w:val="004579CA"/>
    <w:rsid w:val="0046018B"/>
    <w:rsid w:val="00466D2D"/>
    <w:rsid w:val="0046775B"/>
    <w:rsid w:val="004722E6"/>
    <w:rsid w:val="004725D5"/>
    <w:rsid w:val="00472934"/>
    <w:rsid w:val="004803A9"/>
    <w:rsid w:val="0048063C"/>
    <w:rsid w:val="00483014"/>
    <w:rsid w:val="00483299"/>
    <w:rsid w:val="00486E75"/>
    <w:rsid w:val="00487216"/>
    <w:rsid w:val="00496748"/>
    <w:rsid w:val="004B09E7"/>
    <w:rsid w:val="004B5ACF"/>
    <w:rsid w:val="004D08F6"/>
    <w:rsid w:val="004D126A"/>
    <w:rsid w:val="004D2CF8"/>
    <w:rsid w:val="004D42F3"/>
    <w:rsid w:val="004D52DD"/>
    <w:rsid w:val="004D7E6F"/>
    <w:rsid w:val="004F0AA4"/>
    <w:rsid w:val="004F218E"/>
    <w:rsid w:val="004F46A4"/>
    <w:rsid w:val="004F56B7"/>
    <w:rsid w:val="00504539"/>
    <w:rsid w:val="00512078"/>
    <w:rsid w:val="0051453A"/>
    <w:rsid w:val="005333E6"/>
    <w:rsid w:val="0054108C"/>
    <w:rsid w:val="005414CC"/>
    <w:rsid w:val="00541AB8"/>
    <w:rsid w:val="00541B66"/>
    <w:rsid w:val="00543887"/>
    <w:rsid w:val="00554216"/>
    <w:rsid w:val="00554875"/>
    <w:rsid w:val="00561E24"/>
    <w:rsid w:val="00561ED0"/>
    <w:rsid w:val="00562229"/>
    <w:rsid w:val="00563603"/>
    <w:rsid w:val="0057149F"/>
    <w:rsid w:val="0057676F"/>
    <w:rsid w:val="0057679D"/>
    <w:rsid w:val="00577904"/>
    <w:rsid w:val="00580BF0"/>
    <w:rsid w:val="00581465"/>
    <w:rsid w:val="00581EEF"/>
    <w:rsid w:val="005825E1"/>
    <w:rsid w:val="005865D0"/>
    <w:rsid w:val="0058683A"/>
    <w:rsid w:val="00587182"/>
    <w:rsid w:val="005873D7"/>
    <w:rsid w:val="00593601"/>
    <w:rsid w:val="005938A8"/>
    <w:rsid w:val="00594A07"/>
    <w:rsid w:val="005A1F67"/>
    <w:rsid w:val="005A2006"/>
    <w:rsid w:val="005A32A8"/>
    <w:rsid w:val="005A4B3B"/>
    <w:rsid w:val="005A539D"/>
    <w:rsid w:val="005B41BB"/>
    <w:rsid w:val="005D2678"/>
    <w:rsid w:val="005D2D22"/>
    <w:rsid w:val="005E032E"/>
    <w:rsid w:val="005E073E"/>
    <w:rsid w:val="005E1643"/>
    <w:rsid w:val="005E42AB"/>
    <w:rsid w:val="005E744F"/>
    <w:rsid w:val="005F314B"/>
    <w:rsid w:val="005F4033"/>
    <w:rsid w:val="005F657E"/>
    <w:rsid w:val="005F6BC3"/>
    <w:rsid w:val="006004B1"/>
    <w:rsid w:val="0060175A"/>
    <w:rsid w:val="00603BA3"/>
    <w:rsid w:val="006047E0"/>
    <w:rsid w:val="00604CAF"/>
    <w:rsid w:val="00605D92"/>
    <w:rsid w:val="00606454"/>
    <w:rsid w:val="00606BDD"/>
    <w:rsid w:val="00612E8F"/>
    <w:rsid w:val="00624471"/>
    <w:rsid w:val="00624DFE"/>
    <w:rsid w:val="0062720F"/>
    <w:rsid w:val="0063243D"/>
    <w:rsid w:val="00634461"/>
    <w:rsid w:val="00637C1B"/>
    <w:rsid w:val="006408D0"/>
    <w:rsid w:val="006478F0"/>
    <w:rsid w:val="006526B1"/>
    <w:rsid w:val="006551F8"/>
    <w:rsid w:val="0065707C"/>
    <w:rsid w:val="00661C88"/>
    <w:rsid w:val="00664066"/>
    <w:rsid w:val="0066412C"/>
    <w:rsid w:val="00665715"/>
    <w:rsid w:val="00671F62"/>
    <w:rsid w:val="0068343E"/>
    <w:rsid w:val="00687B13"/>
    <w:rsid w:val="00691BF9"/>
    <w:rsid w:val="00694810"/>
    <w:rsid w:val="006949FC"/>
    <w:rsid w:val="006A1C78"/>
    <w:rsid w:val="006A2563"/>
    <w:rsid w:val="006A3087"/>
    <w:rsid w:val="006A43E1"/>
    <w:rsid w:val="006A4D6C"/>
    <w:rsid w:val="006A7754"/>
    <w:rsid w:val="006C07A3"/>
    <w:rsid w:val="006C3C93"/>
    <w:rsid w:val="006C5006"/>
    <w:rsid w:val="006D2AC4"/>
    <w:rsid w:val="006D3FB5"/>
    <w:rsid w:val="006D5328"/>
    <w:rsid w:val="006D5CE3"/>
    <w:rsid w:val="006E2FD8"/>
    <w:rsid w:val="006E47D9"/>
    <w:rsid w:val="006F0D53"/>
    <w:rsid w:val="006F6150"/>
    <w:rsid w:val="00701807"/>
    <w:rsid w:val="00702842"/>
    <w:rsid w:val="00705C7B"/>
    <w:rsid w:val="00707A82"/>
    <w:rsid w:val="00710F00"/>
    <w:rsid w:val="00712E04"/>
    <w:rsid w:val="007130C7"/>
    <w:rsid w:val="007135B3"/>
    <w:rsid w:val="007179FA"/>
    <w:rsid w:val="00741B93"/>
    <w:rsid w:val="0074464C"/>
    <w:rsid w:val="00745EE1"/>
    <w:rsid w:val="00753CB6"/>
    <w:rsid w:val="00762AA0"/>
    <w:rsid w:val="007631E2"/>
    <w:rsid w:val="0076756B"/>
    <w:rsid w:val="00772A18"/>
    <w:rsid w:val="00773E76"/>
    <w:rsid w:val="00773EFB"/>
    <w:rsid w:val="00782097"/>
    <w:rsid w:val="00786322"/>
    <w:rsid w:val="007875F9"/>
    <w:rsid w:val="007914E9"/>
    <w:rsid w:val="00796A1D"/>
    <w:rsid w:val="007971B1"/>
    <w:rsid w:val="00797ADC"/>
    <w:rsid w:val="007A0B46"/>
    <w:rsid w:val="007A1ABF"/>
    <w:rsid w:val="007A2CA3"/>
    <w:rsid w:val="007A702E"/>
    <w:rsid w:val="007B1A59"/>
    <w:rsid w:val="007C4EF9"/>
    <w:rsid w:val="007C6DEF"/>
    <w:rsid w:val="007D0915"/>
    <w:rsid w:val="007D3472"/>
    <w:rsid w:val="007E225F"/>
    <w:rsid w:val="007E2EFB"/>
    <w:rsid w:val="007E7BE5"/>
    <w:rsid w:val="007F03C7"/>
    <w:rsid w:val="007F054A"/>
    <w:rsid w:val="007F5641"/>
    <w:rsid w:val="007F5F53"/>
    <w:rsid w:val="007F6F56"/>
    <w:rsid w:val="00804B84"/>
    <w:rsid w:val="00805300"/>
    <w:rsid w:val="00810537"/>
    <w:rsid w:val="008118DD"/>
    <w:rsid w:val="008140B9"/>
    <w:rsid w:val="008145D6"/>
    <w:rsid w:val="00826355"/>
    <w:rsid w:val="00827522"/>
    <w:rsid w:val="00835E2C"/>
    <w:rsid w:val="0084420C"/>
    <w:rsid w:val="00845F19"/>
    <w:rsid w:val="00851CD5"/>
    <w:rsid w:val="00861803"/>
    <w:rsid w:val="0086304C"/>
    <w:rsid w:val="00863181"/>
    <w:rsid w:val="008659FC"/>
    <w:rsid w:val="00867147"/>
    <w:rsid w:val="00867B57"/>
    <w:rsid w:val="00871CBE"/>
    <w:rsid w:val="008750C7"/>
    <w:rsid w:val="00885859"/>
    <w:rsid w:val="00891FEA"/>
    <w:rsid w:val="008927A2"/>
    <w:rsid w:val="00893ECD"/>
    <w:rsid w:val="008A36E5"/>
    <w:rsid w:val="008A41D8"/>
    <w:rsid w:val="008A4663"/>
    <w:rsid w:val="008A483D"/>
    <w:rsid w:val="008A5517"/>
    <w:rsid w:val="008B029F"/>
    <w:rsid w:val="008B3160"/>
    <w:rsid w:val="008B3EDA"/>
    <w:rsid w:val="008C2B5B"/>
    <w:rsid w:val="008C30EA"/>
    <w:rsid w:val="008C5EF9"/>
    <w:rsid w:val="008C6A00"/>
    <w:rsid w:val="008D36E3"/>
    <w:rsid w:val="008F2E89"/>
    <w:rsid w:val="008F4FB9"/>
    <w:rsid w:val="0090198A"/>
    <w:rsid w:val="00912DF8"/>
    <w:rsid w:val="00913A97"/>
    <w:rsid w:val="00917073"/>
    <w:rsid w:val="00922B36"/>
    <w:rsid w:val="00922EE5"/>
    <w:rsid w:val="009233E4"/>
    <w:rsid w:val="00923A25"/>
    <w:rsid w:val="0092400D"/>
    <w:rsid w:val="00924B2E"/>
    <w:rsid w:val="00930C1A"/>
    <w:rsid w:val="00930E0E"/>
    <w:rsid w:val="00933EE5"/>
    <w:rsid w:val="00934766"/>
    <w:rsid w:val="00935ACD"/>
    <w:rsid w:val="00951580"/>
    <w:rsid w:val="00951EB1"/>
    <w:rsid w:val="009667D2"/>
    <w:rsid w:val="009667EA"/>
    <w:rsid w:val="009679B0"/>
    <w:rsid w:val="009746C9"/>
    <w:rsid w:val="00975C3A"/>
    <w:rsid w:val="009822E1"/>
    <w:rsid w:val="0099083A"/>
    <w:rsid w:val="009936E7"/>
    <w:rsid w:val="0099792E"/>
    <w:rsid w:val="009A0F23"/>
    <w:rsid w:val="009A15F6"/>
    <w:rsid w:val="009A318F"/>
    <w:rsid w:val="009A373D"/>
    <w:rsid w:val="009B08B5"/>
    <w:rsid w:val="009B4B1E"/>
    <w:rsid w:val="009B6B28"/>
    <w:rsid w:val="009C7F46"/>
    <w:rsid w:val="009D22C5"/>
    <w:rsid w:val="009D3D0F"/>
    <w:rsid w:val="009D3E3B"/>
    <w:rsid w:val="009D5AD2"/>
    <w:rsid w:val="009D70C2"/>
    <w:rsid w:val="009E2F15"/>
    <w:rsid w:val="009E5F7D"/>
    <w:rsid w:val="009F1771"/>
    <w:rsid w:val="009F511A"/>
    <w:rsid w:val="00A01668"/>
    <w:rsid w:val="00A023B8"/>
    <w:rsid w:val="00A02CB4"/>
    <w:rsid w:val="00A05ECB"/>
    <w:rsid w:val="00A07E09"/>
    <w:rsid w:val="00A07FD6"/>
    <w:rsid w:val="00A11AD7"/>
    <w:rsid w:val="00A12564"/>
    <w:rsid w:val="00A14D55"/>
    <w:rsid w:val="00A172B3"/>
    <w:rsid w:val="00A211FB"/>
    <w:rsid w:val="00A21696"/>
    <w:rsid w:val="00A23A70"/>
    <w:rsid w:val="00A240A4"/>
    <w:rsid w:val="00A2448D"/>
    <w:rsid w:val="00A260CB"/>
    <w:rsid w:val="00A27C5B"/>
    <w:rsid w:val="00A35E8E"/>
    <w:rsid w:val="00A36D84"/>
    <w:rsid w:val="00A37DAD"/>
    <w:rsid w:val="00A40E15"/>
    <w:rsid w:val="00A42884"/>
    <w:rsid w:val="00A437E8"/>
    <w:rsid w:val="00A50594"/>
    <w:rsid w:val="00A51A51"/>
    <w:rsid w:val="00A52104"/>
    <w:rsid w:val="00A57B4D"/>
    <w:rsid w:val="00A63E0E"/>
    <w:rsid w:val="00A65807"/>
    <w:rsid w:val="00A67E9B"/>
    <w:rsid w:val="00A71726"/>
    <w:rsid w:val="00A76B18"/>
    <w:rsid w:val="00A80365"/>
    <w:rsid w:val="00A83125"/>
    <w:rsid w:val="00A84A28"/>
    <w:rsid w:val="00A90A62"/>
    <w:rsid w:val="00A92CA2"/>
    <w:rsid w:val="00AA323C"/>
    <w:rsid w:val="00AA41B3"/>
    <w:rsid w:val="00AA529A"/>
    <w:rsid w:val="00AA7672"/>
    <w:rsid w:val="00AB4BE4"/>
    <w:rsid w:val="00AB53BC"/>
    <w:rsid w:val="00AB581B"/>
    <w:rsid w:val="00AB5B2F"/>
    <w:rsid w:val="00AC11DA"/>
    <w:rsid w:val="00AC18CB"/>
    <w:rsid w:val="00AC421D"/>
    <w:rsid w:val="00AC44B5"/>
    <w:rsid w:val="00AC5885"/>
    <w:rsid w:val="00AD177A"/>
    <w:rsid w:val="00AD1B28"/>
    <w:rsid w:val="00AD1FAB"/>
    <w:rsid w:val="00AD60AC"/>
    <w:rsid w:val="00AD7245"/>
    <w:rsid w:val="00AF3041"/>
    <w:rsid w:val="00AF6BD3"/>
    <w:rsid w:val="00B0086A"/>
    <w:rsid w:val="00B01142"/>
    <w:rsid w:val="00B10BB9"/>
    <w:rsid w:val="00B220E0"/>
    <w:rsid w:val="00B22C11"/>
    <w:rsid w:val="00B242D0"/>
    <w:rsid w:val="00B2584F"/>
    <w:rsid w:val="00B278AB"/>
    <w:rsid w:val="00B35213"/>
    <w:rsid w:val="00B44563"/>
    <w:rsid w:val="00B46F04"/>
    <w:rsid w:val="00B5040A"/>
    <w:rsid w:val="00B50B31"/>
    <w:rsid w:val="00B51373"/>
    <w:rsid w:val="00B52FDD"/>
    <w:rsid w:val="00B538EB"/>
    <w:rsid w:val="00B53AF7"/>
    <w:rsid w:val="00B61747"/>
    <w:rsid w:val="00B7184D"/>
    <w:rsid w:val="00B77193"/>
    <w:rsid w:val="00B825AB"/>
    <w:rsid w:val="00B860F6"/>
    <w:rsid w:val="00B8722E"/>
    <w:rsid w:val="00B90D31"/>
    <w:rsid w:val="00B9108E"/>
    <w:rsid w:val="00B96C9F"/>
    <w:rsid w:val="00BA70BA"/>
    <w:rsid w:val="00BB463E"/>
    <w:rsid w:val="00BB5727"/>
    <w:rsid w:val="00BB7075"/>
    <w:rsid w:val="00BC0F63"/>
    <w:rsid w:val="00BD2AAE"/>
    <w:rsid w:val="00BD688D"/>
    <w:rsid w:val="00BE0000"/>
    <w:rsid w:val="00BE21AD"/>
    <w:rsid w:val="00BE410D"/>
    <w:rsid w:val="00BF1633"/>
    <w:rsid w:val="00BF4504"/>
    <w:rsid w:val="00BF721A"/>
    <w:rsid w:val="00C01361"/>
    <w:rsid w:val="00C01927"/>
    <w:rsid w:val="00C0579A"/>
    <w:rsid w:val="00C064D4"/>
    <w:rsid w:val="00C10E76"/>
    <w:rsid w:val="00C121E3"/>
    <w:rsid w:val="00C16FE2"/>
    <w:rsid w:val="00C20712"/>
    <w:rsid w:val="00C21DEE"/>
    <w:rsid w:val="00C2217A"/>
    <w:rsid w:val="00C229ED"/>
    <w:rsid w:val="00C24566"/>
    <w:rsid w:val="00C3069F"/>
    <w:rsid w:val="00C32E89"/>
    <w:rsid w:val="00C33D40"/>
    <w:rsid w:val="00C359B2"/>
    <w:rsid w:val="00C37436"/>
    <w:rsid w:val="00C42283"/>
    <w:rsid w:val="00C4247C"/>
    <w:rsid w:val="00C43C13"/>
    <w:rsid w:val="00C44595"/>
    <w:rsid w:val="00C44D26"/>
    <w:rsid w:val="00C470B1"/>
    <w:rsid w:val="00C52806"/>
    <w:rsid w:val="00C53310"/>
    <w:rsid w:val="00C53BD6"/>
    <w:rsid w:val="00C5786F"/>
    <w:rsid w:val="00C6534F"/>
    <w:rsid w:val="00C745D5"/>
    <w:rsid w:val="00C80041"/>
    <w:rsid w:val="00C8016D"/>
    <w:rsid w:val="00C8298C"/>
    <w:rsid w:val="00C92A7E"/>
    <w:rsid w:val="00C92F9E"/>
    <w:rsid w:val="00C93964"/>
    <w:rsid w:val="00C9550B"/>
    <w:rsid w:val="00C968F1"/>
    <w:rsid w:val="00CA0161"/>
    <w:rsid w:val="00CA0752"/>
    <w:rsid w:val="00CA1347"/>
    <w:rsid w:val="00CA5E2C"/>
    <w:rsid w:val="00CB2E0F"/>
    <w:rsid w:val="00CB7F0A"/>
    <w:rsid w:val="00CC1B43"/>
    <w:rsid w:val="00CC3843"/>
    <w:rsid w:val="00CC3D30"/>
    <w:rsid w:val="00CC3FCA"/>
    <w:rsid w:val="00CC43C8"/>
    <w:rsid w:val="00CC4CDB"/>
    <w:rsid w:val="00CC5A28"/>
    <w:rsid w:val="00CC7CB5"/>
    <w:rsid w:val="00CE13AA"/>
    <w:rsid w:val="00CE3153"/>
    <w:rsid w:val="00CE3C5E"/>
    <w:rsid w:val="00CF663E"/>
    <w:rsid w:val="00D01603"/>
    <w:rsid w:val="00D01A68"/>
    <w:rsid w:val="00D07D9C"/>
    <w:rsid w:val="00D10E7D"/>
    <w:rsid w:val="00D14056"/>
    <w:rsid w:val="00D152B8"/>
    <w:rsid w:val="00D21A0A"/>
    <w:rsid w:val="00D235E0"/>
    <w:rsid w:val="00D25001"/>
    <w:rsid w:val="00D26D34"/>
    <w:rsid w:val="00D301E2"/>
    <w:rsid w:val="00D3102C"/>
    <w:rsid w:val="00D36E91"/>
    <w:rsid w:val="00D46BB4"/>
    <w:rsid w:val="00D504EE"/>
    <w:rsid w:val="00D52408"/>
    <w:rsid w:val="00D638D4"/>
    <w:rsid w:val="00D65E59"/>
    <w:rsid w:val="00D70969"/>
    <w:rsid w:val="00D75093"/>
    <w:rsid w:val="00D77AF0"/>
    <w:rsid w:val="00D823E2"/>
    <w:rsid w:val="00D8377A"/>
    <w:rsid w:val="00D85F7E"/>
    <w:rsid w:val="00D86178"/>
    <w:rsid w:val="00D879B4"/>
    <w:rsid w:val="00D93A1F"/>
    <w:rsid w:val="00D969BB"/>
    <w:rsid w:val="00D9770E"/>
    <w:rsid w:val="00DA0090"/>
    <w:rsid w:val="00DA0925"/>
    <w:rsid w:val="00DA73DC"/>
    <w:rsid w:val="00DB38AB"/>
    <w:rsid w:val="00DC0D06"/>
    <w:rsid w:val="00DD0080"/>
    <w:rsid w:val="00DD060D"/>
    <w:rsid w:val="00DD1351"/>
    <w:rsid w:val="00DD19A4"/>
    <w:rsid w:val="00DD2F05"/>
    <w:rsid w:val="00DD6127"/>
    <w:rsid w:val="00DE1CA4"/>
    <w:rsid w:val="00DE2AD2"/>
    <w:rsid w:val="00DE2E28"/>
    <w:rsid w:val="00DF57AC"/>
    <w:rsid w:val="00E00BE2"/>
    <w:rsid w:val="00E05A6B"/>
    <w:rsid w:val="00E11004"/>
    <w:rsid w:val="00E12FDB"/>
    <w:rsid w:val="00E1679B"/>
    <w:rsid w:val="00E17550"/>
    <w:rsid w:val="00E21B66"/>
    <w:rsid w:val="00E31CE1"/>
    <w:rsid w:val="00E34F1D"/>
    <w:rsid w:val="00E44C9F"/>
    <w:rsid w:val="00E44D98"/>
    <w:rsid w:val="00E44F80"/>
    <w:rsid w:val="00E50258"/>
    <w:rsid w:val="00E52522"/>
    <w:rsid w:val="00E55029"/>
    <w:rsid w:val="00E56656"/>
    <w:rsid w:val="00E6367E"/>
    <w:rsid w:val="00E65BE4"/>
    <w:rsid w:val="00E73AF9"/>
    <w:rsid w:val="00E860EA"/>
    <w:rsid w:val="00E86A1E"/>
    <w:rsid w:val="00E8746C"/>
    <w:rsid w:val="00E87640"/>
    <w:rsid w:val="00EA0CBE"/>
    <w:rsid w:val="00EA2CA6"/>
    <w:rsid w:val="00EA35C2"/>
    <w:rsid w:val="00EA4681"/>
    <w:rsid w:val="00EA4D25"/>
    <w:rsid w:val="00EB060D"/>
    <w:rsid w:val="00EB42EA"/>
    <w:rsid w:val="00EB44D2"/>
    <w:rsid w:val="00EB52EB"/>
    <w:rsid w:val="00EB57B0"/>
    <w:rsid w:val="00EB5BA4"/>
    <w:rsid w:val="00EB5C7D"/>
    <w:rsid w:val="00EB7461"/>
    <w:rsid w:val="00EC3D21"/>
    <w:rsid w:val="00EC4D09"/>
    <w:rsid w:val="00ED3672"/>
    <w:rsid w:val="00EE1187"/>
    <w:rsid w:val="00EE1A60"/>
    <w:rsid w:val="00EE2062"/>
    <w:rsid w:val="00EE2436"/>
    <w:rsid w:val="00EE2BAD"/>
    <w:rsid w:val="00EE6BF9"/>
    <w:rsid w:val="00EE79EF"/>
    <w:rsid w:val="00EF6286"/>
    <w:rsid w:val="00EF7A55"/>
    <w:rsid w:val="00F026F9"/>
    <w:rsid w:val="00F0278C"/>
    <w:rsid w:val="00F0359C"/>
    <w:rsid w:val="00F056C5"/>
    <w:rsid w:val="00F06CF3"/>
    <w:rsid w:val="00F07379"/>
    <w:rsid w:val="00F113DD"/>
    <w:rsid w:val="00F13772"/>
    <w:rsid w:val="00F149D6"/>
    <w:rsid w:val="00F15D32"/>
    <w:rsid w:val="00F16F96"/>
    <w:rsid w:val="00F20262"/>
    <w:rsid w:val="00F20803"/>
    <w:rsid w:val="00F317BC"/>
    <w:rsid w:val="00F33157"/>
    <w:rsid w:val="00F35A02"/>
    <w:rsid w:val="00F414A5"/>
    <w:rsid w:val="00F42726"/>
    <w:rsid w:val="00F42AB3"/>
    <w:rsid w:val="00F465C6"/>
    <w:rsid w:val="00F511E0"/>
    <w:rsid w:val="00F51587"/>
    <w:rsid w:val="00F516B3"/>
    <w:rsid w:val="00F523E1"/>
    <w:rsid w:val="00F63C0F"/>
    <w:rsid w:val="00F74BB3"/>
    <w:rsid w:val="00F82E57"/>
    <w:rsid w:val="00F8785C"/>
    <w:rsid w:val="00F90B21"/>
    <w:rsid w:val="00F915FD"/>
    <w:rsid w:val="00F93B6D"/>
    <w:rsid w:val="00F9710D"/>
    <w:rsid w:val="00FA5DE8"/>
    <w:rsid w:val="00FC05ED"/>
    <w:rsid w:val="00FC2479"/>
    <w:rsid w:val="00FC51F8"/>
    <w:rsid w:val="00FD34E5"/>
    <w:rsid w:val="00FD5A10"/>
    <w:rsid w:val="00FD64EE"/>
    <w:rsid w:val="00FE47A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3487D"/>
  <w15:docId w15:val="{7B522EC2-999A-A24C-9C08-593F24406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C4247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C4247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5">
    <w:name w:val="s5"/>
    <w:basedOn w:val="DefaultParagraphFont"/>
    <w:rsid w:val="008C2B5B"/>
  </w:style>
  <w:style w:type="character" w:customStyle="1" w:styleId="apple-converted-space">
    <w:name w:val="apple-converted-space"/>
    <w:basedOn w:val="DefaultParagraphFont"/>
    <w:rsid w:val="008C2B5B"/>
  </w:style>
  <w:style w:type="character" w:customStyle="1" w:styleId="s6">
    <w:name w:val="s6"/>
    <w:basedOn w:val="DefaultParagraphFont"/>
    <w:rsid w:val="008C2B5B"/>
  </w:style>
  <w:style w:type="character" w:customStyle="1" w:styleId="s9">
    <w:name w:val="s9"/>
    <w:basedOn w:val="DefaultParagraphFont"/>
    <w:rsid w:val="00D14056"/>
  </w:style>
  <w:style w:type="paragraph" w:styleId="Header">
    <w:name w:val="header"/>
    <w:basedOn w:val="Normal"/>
    <w:link w:val="HeaderChar"/>
    <w:uiPriority w:val="99"/>
    <w:unhideWhenUsed/>
    <w:rsid w:val="007135B3"/>
    <w:pPr>
      <w:tabs>
        <w:tab w:val="center" w:pos="4513"/>
        <w:tab w:val="right" w:pos="9026"/>
      </w:tabs>
    </w:pPr>
  </w:style>
  <w:style w:type="character" w:customStyle="1" w:styleId="HeaderChar">
    <w:name w:val="Header Char."/>
    <w:basedOn w:val="DefaultParagraphFont"/>
    <w:link w:val="Header"/>
    <w:uiPriority w:val="99"/>
    <w:rsid w:val="007135B3"/>
  </w:style>
  <w:style w:type="paragraph" w:styleId="Footer">
    <w:name w:val="footer"/>
    <w:basedOn w:val="Normal"/>
    <w:link w:val="FooterChar"/>
    <w:uiPriority w:val="99"/>
    <w:unhideWhenUsed/>
    <w:rsid w:val="007135B3"/>
    <w:pPr>
      <w:tabs>
        <w:tab w:val="center" w:pos="4513"/>
        <w:tab w:val="right" w:pos="9026"/>
      </w:tabs>
    </w:pPr>
  </w:style>
  <w:style w:type="character" w:customStyle="1" w:styleId="FooterChar">
    <w:name w:val="Footer Char."/>
    <w:basedOn w:val="DefaultParagraphFont"/>
    <w:link w:val="Footer"/>
    <w:uiPriority w:val="99"/>
    <w:rsid w:val="007135B3"/>
  </w:style>
  <w:style w:type="paragraph" w:styleId="FootnoteText">
    <w:name w:val="footnote text"/>
    <w:basedOn w:val="Normal"/>
    <w:link w:val="FootnoteTextChar"/>
    <w:uiPriority w:val="99"/>
    <w:unhideWhenUsed/>
    <w:rsid w:val="00B50B31"/>
    <w:rPr>
      <w:sz w:val="20"/>
      <w:szCs w:val="20"/>
    </w:rPr>
  </w:style>
  <w:style w:type="character" w:customStyle="1" w:styleId="FootnoteTextChar">
    <w:name w:val="Footnote Text Char."/>
    <w:basedOn w:val="DefaultParagraphFont"/>
    <w:link w:val="FootnoteText"/>
    <w:uiPriority w:val="99"/>
    <w:rsid w:val="00B50B31"/>
    <w:rPr>
      <w:sz w:val="20"/>
      <w:szCs w:val="20"/>
    </w:rPr>
  </w:style>
  <w:style w:type="character" w:styleId="FootnoteReference">
    <w:name w:val="footnote reference"/>
    <w:basedOn w:val="DefaultParagraphFont"/>
    <w:uiPriority w:val="99"/>
    <w:semiHidden/>
    <w:unhideWhenUsed/>
    <w:rsid w:val="00B50B31"/>
    <w:rPr>
      <w:vertAlign w:val="superscript"/>
    </w:rPr>
  </w:style>
  <w:style w:type="character" w:styleId="CommentReference">
    <w:name w:val="annotation reference"/>
    <w:basedOn w:val="DefaultParagraphFont"/>
    <w:uiPriority w:val="99"/>
    <w:semiHidden/>
    <w:unhideWhenUsed/>
    <w:rsid w:val="00DA0925"/>
    <w:rPr>
      <w:sz w:val="16"/>
      <w:szCs w:val="16"/>
    </w:rPr>
  </w:style>
  <w:style w:type="paragraph" w:styleId="CommentText">
    <w:name w:val="annotation text"/>
    <w:basedOn w:val="Normal"/>
    <w:link w:val="CommentTextChar"/>
    <w:uiPriority w:val="99"/>
    <w:semiHidden/>
    <w:unhideWhenUsed/>
    <w:rsid w:val="00DA0925"/>
    <w:rPr>
      <w:sz w:val="20"/>
      <w:szCs w:val="20"/>
    </w:rPr>
  </w:style>
  <w:style w:type="character" w:customStyle="1" w:styleId="CommentTextChar">
    <w:name w:val="Comment Text Char."/>
    <w:basedOn w:val="DefaultParagraphFont"/>
    <w:link w:val="CommentText"/>
    <w:uiPriority w:val="99"/>
    <w:semiHidden/>
    <w:rsid w:val="00DA0925"/>
    <w:rPr>
      <w:sz w:val="20"/>
      <w:szCs w:val="20"/>
    </w:rPr>
  </w:style>
  <w:style w:type="paragraph" w:styleId="CommentSubject">
    <w:name w:val="annotation subject"/>
    <w:basedOn w:val="CommentText"/>
    <w:next w:val="CommentText"/>
    <w:link w:val="CommentSubjectChar"/>
    <w:uiPriority w:val="99"/>
    <w:semiHidden/>
    <w:unhideWhenUsed/>
    <w:rsid w:val="00DA0925"/>
    <w:rPr>
      <w:b/>
      <w:bCs/>
    </w:rPr>
  </w:style>
  <w:style w:type="character" w:customStyle="1" w:styleId="CommentSubjectChar">
    <w:name w:val="Comment Subject Char."/>
    <w:basedOn w:val="CommentTextChar"/>
    <w:link w:val="CommentSubject"/>
    <w:uiPriority w:val="99"/>
    <w:semiHidden/>
    <w:rsid w:val="00DA0925"/>
    <w:rPr>
      <w:b/>
      <w:bCs/>
      <w:sz w:val="20"/>
      <w:szCs w:val="20"/>
    </w:rPr>
  </w:style>
  <w:style w:type="paragraph" w:styleId="BalloonText">
    <w:name w:val="Balloon Text"/>
    <w:basedOn w:val="Normal"/>
    <w:link w:val="BalloonTextChar"/>
    <w:uiPriority w:val="99"/>
    <w:semiHidden/>
    <w:unhideWhenUsed/>
    <w:rsid w:val="00DA0925"/>
    <w:rPr>
      <w:rFonts w:ascii="Arial" w:hAnsi="Arial" w:cs="Arial"/>
      <w:sz w:val="18"/>
      <w:szCs w:val="18"/>
    </w:rPr>
  </w:style>
  <w:style w:type="character" w:customStyle="1" w:styleId="BalloonTextChar">
    <w:name w:val="Balloon Text Char."/>
    <w:basedOn w:val="DefaultParagraphFont"/>
    <w:link w:val="BalloonText"/>
    <w:uiPriority w:val="99"/>
    <w:semiHidden/>
    <w:rsid w:val="00DA0925"/>
    <w:rPr>
      <w:rFonts w:ascii="Arial" w:hAnsi="Arial" w:cs="Arial"/>
      <w:sz w:val="18"/>
      <w:szCs w:val="18"/>
    </w:rPr>
  </w:style>
  <w:style w:type="character" w:styleId="PageNumber">
    <w:name w:val="page number"/>
    <w:basedOn w:val="DefaultParagraphFont"/>
    <w:uiPriority w:val="99"/>
    <w:semiHidden/>
    <w:unhideWhenUsed/>
    <w:rsid w:val="00B35213"/>
  </w:style>
  <w:style w:type="character" w:customStyle="1" w:styleId="s7">
    <w:name w:val="s7"/>
    <w:basedOn w:val="DefaultParagraphFont"/>
    <w:rsid w:val="00DD6127"/>
  </w:style>
  <w:style w:type="character" w:styleId="Hyperlink">
    <w:name w:val="Hyperlink"/>
    <w:basedOn w:val="DefaultParagraphFont"/>
    <w:uiPriority w:val="99"/>
    <w:unhideWhenUsed/>
    <w:rsid w:val="00435681"/>
    <w:rPr>
      <w:color w:val="0563C1" w:themeColor="hyperlink"/>
      <w:u w:val="single"/>
    </w:rPr>
  </w:style>
  <w:style w:type="character" w:customStyle="1" w:styleId="UnresolvedMention1">
    <w:name w:val="Unresolved Mention1"/>
    <w:basedOn w:val="DefaultParagraphFont"/>
    <w:uiPriority w:val="99"/>
    <w:semiHidden/>
    <w:unhideWhenUsed/>
    <w:rsid w:val="00435681"/>
    <w:rPr>
      <w:color w:val="808080"/>
      <w:shd w:val="clear" w:color="auto" w:fill="E6E6E6"/>
    </w:rPr>
  </w:style>
  <w:style w:type="character" w:customStyle="1" w:styleId="Heading1Char">
    <w:name w:val="Heading 1 Char."/>
    <w:basedOn w:val="DefaultParagraphFont"/>
    <w:link w:val="Heading1"/>
    <w:rsid w:val="00C424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C4247C"/>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C4247C"/>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520915">
      <w:bodyDiv w:val="1"/>
      <w:marLeft w:val="0"/>
      <w:marRight w:val="0"/>
      <w:marTop w:val="0"/>
      <w:marBottom w:val="0"/>
      <w:divBdr>
        <w:top w:val="none" w:sz="0" w:space="0" w:color="auto"/>
        <w:left w:val="none" w:sz="0" w:space="0" w:color="auto"/>
        <w:bottom w:val="none" w:sz="0" w:space="0" w:color="auto"/>
        <w:right w:val="none" w:sz="0" w:space="0" w:color="auto"/>
      </w:divBdr>
    </w:div>
    <w:div w:id="512766057">
      <w:bodyDiv w:val="1"/>
      <w:marLeft w:val="0"/>
      <w:marRight w:val="0"/>
      <w:marTop w:val="0"/>
      <w:marBottom w:val="0"/>
      <w:divBdr>
        <w:top w:val="none" w:sz="0" w:space="0" w:color="auto"/>
        <w:left w:val="none" w:sz="0" w:space="0" w:color="auto"/>
        <w:bottom w:val="none" w:sz="0" w:space="0" w:color="auto"/>
        <w:right w:val="none" w:sz="0" w:space="0" w:color="auto"/>
      </w:divBdr>
    </w:div>
    <w:div w:id="512843470">
      <w:bodyDiv w:val="1"/>
      <w:marLeft w:val="0"/>
      <w:marRight w:val="0"/>
      <w:marTop w:val="0"/>
      <w:marBottom w:val="0"/>
      <w:divBdr>
        <w:top w:val="none" w:sz="0" w:space="0" w:color="auto"/>
        <w:left w:val="none" w:sz="0" w:space="0" w:color="auto"/>
        <w:bottom w:val="none" w:sz="0" w:space="0" w:color="auto"/>
        <w:right w:val="none" w:sz="0" w:space="0" w:color="auto"/>
      </w:divBdr>
      <w:divsChild>
        <w:div w:id="746533564">
          <w:marLeft w:val="0"/>
          <w:marRight w:val="0"/>
          <w:marTop w:val="0"/>
          <w:marBottom w:val="0"/>
          <w:divBdr>
            <w:top w:val="none" w:sz="0" w:space="0" w:color="auto"/>
            <w:left w:val="none" w:sz="0" w:space="0" w:color="auto"/>
            <w:bottom w:val="none" w:sz="0" w:space="0" w:color="auto"/>
            <w:right w:val="none" w:sz="0" w:space="0" w:color="auto"/>
          </w:divBdr>
        </w:div>
        <w:div w:id="2037852187">
          <w:marLeft w:val="0"/>
          <w:marRight w:val="0"/>
          <w:marTop w:val="0"/>
          <w:marBottom w:val="0"/>
          <w:divBdr>
            <w:top w:val="none" w:sz="0" w:space="0" w:color="auto"/>
            <w:left w:val="none" w:sz="0" w:space="0" w:color="auto"/>
            <w:bottom w:val="none" w:sz="0" w:space="0" w:color="auto"/>
            <w:right w:val="none" w:sz="0" w:space="0" w:color="auto"/>
          </w:divBdr>
        </w:div>
        <w:div w:id="456727523">
          <w:marLeft w:val="0"/>
          <w:marRight w:val="0"/>
          <w:marTop w:val="0"/>
          <w:marBottom w:val="0"/>
          <w:divBdr>
            <w:top w:val="none" w:sz="0" w:space="0" w:color="auto"/>
            <w:left w:val="none" w:sz="0" w:space="0" w:color="auto"/>
            <w:bottom w:val="none" w:sz="0" w:space="0" w:color="auto"/>
            <w:right w:val="none" w:sz="0" w:space="0" w:color="auto"/>
          </w:divBdr>
        </w:div>
        <w:div w:id="1487892507">
          <w:marLeft w:val="0"/>
          <w:marRight w:val="0"/>
          <w:marTop w:val="0"/>
          <w:marBottom w:val="0"/>
          <w:divBdr>
            <w:top w:val="none" w:sz="0" w:space="0" w:color="auto"/>
            <w:left w:val="none" w:sz="0" w:space="0" w:color="auto"/>
            <w:bottom w:val="none" w:sz="0" w:space="0" w:color="auto"/>
            <w:right w:val="none" w:sz="0" w:space="0" w:color="auto"/>
          </w:divBdr>
        </w:div>
        <w:div w:id="1685280604">
          <w:marLeft w:val="0"/>
          <w:marRight w:val="0"/>
          <w:marTop w:val="0"/>
          <w:marBottom w:val="0"/>
          <w:divBdr>
            <w:top w:val="none" w:sz="0" w:space="0" w:color="auto"/>
            <w:left w:val="none" w:sz="0" w:space="0" w:color="auto"/>
            <w:bottom w:val="none" w:sz="0" w:space="0" w:color="auto"/>
            <w:right w:val="none" w:sz="0" w:space="0" w:color="auto"/>
          </w:divBdr>
        </w:div>
        <w:div w:id="230506154">
          <w:marLeft w:val="0"/>
          <w:marRight w:val="0"/>
          <w:marTop w:val="0"/>
          <w:marBottom w:val="0"/>
          <w:divBdr>
            <w:top w:val="none" w:sz="0" w:space="0" w:color="auto"/>
            <w:left w:val="none" w:sz="0" w:space="0" w:color="auto"/>
            <w:bottom w:val="none" w:sz="0" w:space="0" w:color="auto"/>
            <w:right w:val="none" w:sz="0" w:space="0" w:color="auto"/>
          </w:divBdr>
        </w:div>
        <w:div w:id="337316837">
          <w:marLeft w:val="0"/>
          <w:marRight w:val="0"/>
          <w:marTop w:val="0"/>
          <w:marBottom w:val="0"/>
          <w:divBdr>
            <w:top w:val="none" w:sz="0" w:space="0" w:color="auto"/>
            <w:left w:val="none" w:sz="0" w:space="0" w:color="auto"/>
            <w:bottom w:val="none" w:sz="0" w:space="0" w:color="auto"/>
            <w:right w:val="none" w:sz="0" w:space="0" w:color="auto"/>
          </w:divBdr>
        </w:div>
      </w:divsChild>
    </w:div>
    <w:div w:id="885724853">
      <w:bodyDiv w:val="1"/>
      <w:marLeft w:val="0"/>
      <w:marRight w:val="0"/>
      <w:marTop w:val="0"/>
      <w:marBottom w:val="0"/>
      <w:divBdr>
        <w:top w:val="none" w:sz="0" w:space="0" w:color="auto"/>
        <w:left w:val="none" w:sz="0" w:space="0" w:color="auto"/>
        <w:bottom w:val="none" w:sz="0" w:space="0" w:color="auto"/>
        <w:right w:val="none" w:sz="0" w:space="0" w:color="auto"/>
      </w:divBdr>
    </w:div>
    <w:div w:id="1300309392">
      <w:bodyDiv w:val="1"/>
      <w:marLeft w:val="0"/>
      <w:marRight w:val="0"/>
      <w:marTop w:val="0"/>
      <w:marBottom w:val="0"/>
      <w:divBdr>
        <w:top w:val="none" w:sz="0" w:space="0" w:color="auto"/>
        <w:left w:val="none" w:sz="0" w:space="0" w:color="auto"/>
        <w:bottom w:val="none" w:sz="0" w:space="0" w:color="auto"/>
        <w:right w:val="none" w:sz="0" w:space="0" w:color="auto"/>
      </w:divBdr>
    </w:div>
    <w:div w:id="1341784071">
      <w:bodyDiv w:val="1"/>
      <w:marLeft w:val="0"/>
      <w:marRight w:val="0"/>
      <w:marTop w:val="0"/>
      <w:marBottom w:val="0"/>
      <w:divBdr>
        <w:top w:val="none" w:sz="0" w:space="0" w:color="auto"/>
        <w:left w:val="none" w:sz="0" w:space="0" w:color="auto"/>
        <w:bottom w:val="none" w:sz="0" w:space="0" w:color="auto"/>
        <w:right w:val="none" w:sz="0" w:space="0" w:color="auto"/>
      </w:divBdr>
    </w:div>
    <w:div w:id="1502694305">
      <w:bodyDiv w:val="1"/>
      <w:marLeft w:val="0"/>
      <w:marRight w:val="0"/>
      <w:marTop w:val="0"/>
      <w:marBottom w:val="0"/>
      <w:divBdr>
        <w:top w:val="none" w:sz="0" w:space="0" w:color="auto"/>
        <w:left w:val="none" w:sz="0" w:space="0" w:color="auto"/>
        <w:bottom w:val="none" w:sz="0" w:space="0" w:color="auto"/>
        <w:right w:val="none" w:sz="0" w:space="0" w:color="auto"/>
      </w:divBdr>
    </w:div>
    <w:div w:id="1686907146">
      <w:bodyDiv w:val="1"/>
      <w:marLeft w:val="0"/>
      <w:marRight w:val="0"/>
      <w:marTop w:val="0"/>
      <w:marBottom w:val="0"/>
      <w:divBdr>
        <w:top w:val="none" w:sz="0" w:space="0" w:color="auto"/>
        <w:left w:val="none" w:sz="0" w:space="0" w:color="auto"/>
        <w:bottom w:val="none" w:sz="0" w:space="0" w:color="auto"/>
        <w:right w:val="none" w:sz="0" w:space="0" w:color="auto"/>
      </w:divBdr>
    </w:div>
    <w:div w:id="1984433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929626"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jstor.org/stable/468561"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jstor.org/stable/2872400" TargetMode="External"/><Relationship Id="rId4" Type="http://schemas.openxmlformats.org/officeDocument/2006/relationships/footnotes" Target="footnotes.xml"/><Relationship Id="rId9" Type="http://schemas.openxmlformats.org/officeDocument/2006/relationships/hyperlink" Target="http://www.jstor.org/stable/2754059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2948</Words>
  <Characters>15104</Characters>
  <Application>Microsoft Office Word</Application>
  <DocSecurity>0</DocSecurity>
  <Lines>261</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Thomas (0800946)</dc:creator>
  <cp:lastModifiedBy>Michael Thomas (0800946)</cp:lastModifiedBy>
  <cp:revision>2</cp:revision>
  <dcterms:created xsi:type="dcterms:W3CDTF">2017-11-30T21:28:00Z</dcterms:created>
  <dcterms:modified xsi:type="dcterms:W3CDTF">2017-11-30T21:28:00Z</dcterms:modified>
</cp:coreProperties>
</file>