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3F7EC" w14:textId="77777777" w:rsidR="00A42282" w:rsidRPr="00A42282" w:rsidRDefault="00A42282" w:rsidP="00A42282">
      <w:pPr>
        <w:pStyle w:val="Heading1"/>
        <w:jc w:val="both"/>
        <w:rPr>
          <w:rFonts w:asciiTheme="minorHAnsi" w:hAnsiTheme="minorHAnsi" w:cstheme="minorHAnsi"/>
          <w:sz w:val="24"/>
          <w:szCs w:val="24"/>
          <w:lang w:val="en-GB"/>
        </w:rPr>
      </w:pPr>
      <w:r w:rsidRPr="00A42282">
        <w:rPr>
          <w:rFonts w:asciiTheme="minorHAnsi" w:hAnsiTheme="minorHAnsi" w:cstheme="minorHAnsi"/>
          <w:sz w:val="24"/>
          <w:szCs w:val="24"/>
          <w:lang w:val="en-GB"/>
        </w:rPr>
        <w:t xml:space="preserve">Essay 1 </w:t>
      </w:r>
    </w:p>
    <w:p w14:paraId="56EADEF1" w14:textId="77777777" w:rsidR="00A42282" w:rsidRPr="00A42282" w:rsidRDefault="00A42282" w:rsidP="00A42282">
      <w:pPr>
        <w:spacing w:before="240" w:line="360" w:lineRule="auto"/>
        <w:jc w:val="both"/>
        <w:rPr>
          <w:rFonts w:cstheme="minorHAnsi"/>
          <w:b/>
          <w:bCs/>
          <w:sz w:val="24"/>
          <w:szCs w:val="24"/>
          <w:lang w:val="en-GB"/>
        </w:rPr>
      </w:pPr>
      <w:r w:rsidRPr="00A42282">
        <w:rPr>
          <w:rFonts w:cstheme="minorHAnsi"/>
          <w:b/>
          <w:bCs/>
          <w:sz w:val="24"/>
          <w:szCs w:val="24"/>
          <w:lang w:val="en-GB"/>
        </w:rPr>
        <w:t>How have past instances of police malpractice and misconduct influenced modern professional policing?</w:t>
      </w:r>
    </w:p>
    <w:p w14:paraId="0B77A4F6" w14:textId="77777777" w:rsidR="00A42282" w:rsidRPr="00A42282" w:rsidRDefault="00A42282" w:rsidP="00A42282">
      <w:pPr>
        <w:spacing w:line="360" w:lineRule="auto"/>
        <w:jc w:val="both"/>
        <w:rPr>
          <w:rFonts w:cstheme="minorHAnsi"/>
          <w:sz w:val="24"/>
          <w:szCs w:val="24"/>
          <w:lang w:val="en-GB"/>
        </w:rPr>
      </w:pPr>
      <w:r w:rsidRPr="00A42282">
        <w:rPr>
          <w:rFonts w:cstheme="minorHAnsi"/>
          <w:sz w:val="24"/>
          <w:szCs w:val="24"/>
          <w:lang w:val="en-GB"/>
        </w:rPr>
        <w:t xml:space="preserve">Corruption, power abuse, and discriminatory practices have eroded public confidence in law enforcement, prompting calls for reform. As a result of high-profile instances of police malfeasance and negligence, for instance, the 1981 Brixton Riot, which led to the implementation of new laws such as The Police and Criminal Evidence Act (PACE), and the pros and cons of the new laws. This essay will discuss how past instances of police misconduct and misconduct have affected modern professional policing within the United Kingdom, focusing on significant changes and developments made to address these problems. Whilst arguing that the United Kingdom's response to police misconduct and malpractice has been shaped by political, social, and economic factors, as well as cultural and social influences and that ongoing efforts to promote professionalism, accountability, and transparency in policing are essential to maintaining the public's trust and confidence in law enforcement. This essay will explore the steps that governing bodies have taken to address past incidents, such as enacting new laws to provide a framework for police authority and accountability whilst performing their duties. </w:t>
      </w:r>
    </w:p>
    <w:p w14:paraId="080029F1" w14:textId="18C01322" w:rsidR="00A42282" w:rsidRPr="00A42282" w:rsidRDefault="00A42282" w:rsidP="00A42282">
      <w:pPr>
        <w:spacing w:line="360" w:lineRule="auto"/>
        <w:jc w:val="both"/>
        <w:rPr>
          <w:rFonts w:cstheme="minorHAnsi"/>
          <w:sz w:val="24"/>
          <w:szCs w:val="24"/>
          <w:lang w:val="en-GB"/>
        </w:rPr>
      </w:pPr>
      <w:r w:rsidRPr="00A42282">
        <w:rPr>
          <w:rFonts w:cstheme="minorHAnsi"/>
          <w:sz w:val="24"/>
          <w:szCs w:val="24"/>
          <w:lang w:val="en-GB"/>
        </w:rPr>
        <w:t xml:space="preserve">The 1981 Brixton Riot was a violent confrontation between the police and the black community in London's Brixton neighbourhood as a result of a controversial stop-and-search policy that unfairly targeted the black population, especially the youthful black community. The riots resulted in fatalities, severe injuries, and extensive property damage over the span of several days. The Brixton Riot revealed entrenched racial inequalities, resulting in calls for reform and government measures to improve the lives of black people in Britain. The disturbances, however, serve as a reminder of the ongoing fight for racial equality (Briggs, 2012). The University of Leicester hosted a conference in April 1982, one year after the Brixton riots, to debate Lord Scarman's diagnoses and recommendations. Nonetheless, there have been consequences of Lord Scarman's report being published. The Report identified and emphasised specific issues caused by the disorders. There is widespread agreement that inner city issues and unemployment must be addressed as "good policing will be ineffective unless we also address and eliminate basic flaws in our society." There appears to be a consensus </w:t>
      </w:r>
      <w:r w:rsidRPr="00A42282">
        <w:rPr>
          <w:rFonts w:cstheme="minorHAnsi"/>
          <w:sz w:val="24"/>
          <w:szCs w:val="24"/>
          <w:lang w:val="en-GB"/>
        </w:rPr>
        <w:lastRenderedPageBreak/>
        <w:t>that bigotry and discrimination must be adopted and eliminated (</w:t>
      </w:r>
      <w:proofErr w:type="spellStart"/>
      <w:r w:rsidRPr="00A42282">
        <w:rPr>
          <w:rFonts w:cstheme="minorHAnsi"/>
          <w:sz w:val="24"/>
          <w:szCs w:val="24"/>
          <w:lang w:val="en-GB"/>
        </w:rPr>
        <w:t>Benyon</w:t>
      </w:r>
      <w:proofErr w:type="spellEnd"/>
      <w:r w:rsidRPr="00A42282">
        <w:rPr>
          <w:rFonts w:cstheme="minorHAnsi"/>
          <w:sz w:val="24"/>
          <w:szCs w:val="24"/>
          <w:lang w:val="en-GB"/>
        </w:rPr>
        <w:t xml:space="preserve">, 1984) The Scarman report, commissioned in the wake of the disturbance, emphasised the significance of police reform and accountability, resulting in the 1984 passage of the Police and Criminal Evidence Act (PACE) (Hargreaves &amp; Levenson, 1985). PACE is intended to enhance police-community relations, increase police accountability, and safeguard the rights of individuals during police investigations. PACE provides a framework for police investigations that ensures the protection of individual rights, which is an advantage. Seven PACE regulations encompass different aspects of the PACE regulations. The Act outlines the investigative police powers of arrest, detention, questioning, entry and search of premises, and personal search. </w:t>
      </w:r>
      <w:proofErr w:type="spellStart"/>
      <w:r w:rsidRPr="00A42282">
        <w:rPr>
          <w:rFonts w:cstheme="minorHAnsi"/>
          <w:sz w:val="24"/>
          <w:szCs w:val="24"/>
          <w:lang w:val="en-GB"/>
        </w:rPr>
        <w:t>Coliandris</w:t>
      </w:r>
      <w:proofErr w:type="spellEnd"/>
      <w:r w:rsidRPr="00A42282">
        <w:rPr>
          <w:rFonts w:cstheme="minorHAnsi"/>
          <w:sz w:val="24"/>
          <w:szCs w:val="24"/>
          <w:lang w:val="en-GB"/>
        </w:rPr>
        <w:t xml:space="preserve"> (2014) believes that the purpose of the Act is to strike a balance between the authority of those in charge and the liberties of PACE Codes of Practice members. Although Card (2017) argues that The PACE regulation specifies </w:t>
      </w:r>
      <w:r w:rsidR="00FB11DC">
        <w:rPr>
          <w:rFonts w:cstheme="minorHAnsi"/>
          <w:sz w:val="24"/>
          <w:szCs w:val="24"/>
          <w:lang w:val="en-GB"/>
        </w:rPr>
        <w:t>the</w:t>
      </w:r>
      <w:r w:rsidRPr="00A42282">
        <w:rPr>
          <w:rFonts w:cstheme="minorHAnsi"/>
          <w:sz w:val="24"/>
          <w:szCs w:val="24"/>
          <w:lang w:val="en-GB"/>
        </w:rPr>
        <w:t xml:space="preserve"> number of disadvantages of PACE. For instance, research from Jefferson (2012) indicates that stop and search remains one of the most controversial police powers in England and Wales, despite recent declines in its use.</w:t>
      </w:r>
    </w:p>
    <w:p w14:paraId="0955BB5A" w14:textId="77777777" w:rsidR="00A42282" w:rsidRPr="00A42282" w:rsidRDefault="00A42282" w:rsidP="00A42282">
      <w:pPr>
        <w:spacing w:line="360" w:lineRule="auto"/>
        <w:jc w:val="both"/>
        <w:rPr>
          <w:rFonts w:cstheme="minorHAnsi"/>
          <w:sz w:val="24"/>
          <w:szCs w:val="24"/>
          <w:lang w:val="en-GB"/>
        </w:rPr>
      </w:pPr>
      <w:r w:rsidRPr="00A42282">
        <w:rPr>
          <w:rFonts w:cstheme="minorHAnsi"/>
          <w:sz w:val="24"/>
          <w:szCs w:val="24"/>
          <w:lang w:val="en-GB"/>
        </w:rPr>
        <w:t xml:space="preserve">Nevertheless, Reference states that there has been a startling lack of research evaluating its effectiveness in reducing crime until recently. </w:t>
      </w:r>
      <w:proofErr w:type="spellStart"/>
      <w:r w:rsidRPr="00A42282">
        <w:rPr>
          <w:rFonts w:cstheme="minorHAnsi"/>
          <w:sz w:val="24"/>
          <w:szCs w:val="24"/>
          <w:lang w:val="en-GB"/>
        </w:rPr>
        <w:t>Tiratelli</w:t>
      </w:r>
      <w:proofErr w:type="spellEnd"/>
      <w:r w:rsidRPr="00A42282">
        <w:rPr>
          <w:rFonts w:cstheme="minorHAnsi"/>
          <w:sz w:val="24"/>
          <w:szCs w:val="24"/>
          <w:lang w:val="en-GB"/>
        </w:rPr>
        <w:t xml:space="preserve"> (2018) believes that stop and search have no effect on crime and are likely to be minimal at best. Further research appears to support this conclusion. For instance, Lennon and Murray (2018) questions the efficacy of stop and search cannot be considered in isolation from the larger issues surrounding the power: social and cultural understandings of what police are for; and a clear-eyed view of the impact policing has on the individuals and communities it affects. Six separate English agencies implemented a one-day pilot training programme on ethnic and racial bias in the use of stop and search powers using a randomised controlled trial. (Miller et al., 2020). Miller suggests that the training would reduce officer bias by increasing their capacity to apply valid criteria to investigation decisions and decreasing their reliance on racial and ethnic stereotypes. The training enhanced officers' knowledge of stop and search laws, made them more selective in hypothetical search intentions, and decreased their support for ethnic and racial stereotyping in policing, according to the results of a survey. </w:t>
      </w:r>
    </w:p>
    <w:p w14:paraId="39011309" w14:textId="77777777" w:rsidR="00A42282" w:rsidRPr="00A42282" w:rsidRDefault="00A42282" w:rsidP="00A42282">
      <w:pPr>
        <w:spacing w:line="360" w:lineRule="auto"/>
        <w:jc w:val="both"/>
        <w:rPr>
          <w:rFonts w:cstheme="minorHAnsi"/>
          <w:sz w:val="24"/>
          <w:szCs w:val="24"/>
          <w:lang w:val="en-GB"/>
        </w:rPr>
      </w:pPr>
      <w:r w:rsidRPr="00A42282">
        <w:rPr>
          <w:rFonts w:cstheme="minorHAnsi"/>
          <w:sz w:val="24"/>
          <w:szCs w:val="24"/>
          <w:lang w:val="en-GB"/>
        </w:rPr>
        <w:t xml:space="preserve">Even without training, there was no evidence of bias against black individuals. According to police search records, training had no discernible effect on documented street-level behaviour regarding the frequency of searches, the intensity of reasons for suspicion, or their </w:t>
      </w:r>
      <w:r w:rsidRPr="00A42282">
        <w:rPr>
          <w:rFonts w:cstheme="minorHAnsi"/>
          <w:sz w:val="24"/>
          <w:szCs w:val="24"/>
          <w:lang w:val="en-GB"/>
        </w:rPr>
        <w:lastRenderedPageBreak/>
        <w:t xml:space="preserve">racial and ethnic patterning. This discussion concludes by highlighting the significant impact instances of police malfeasance and malpractice have had on contemporary professional policing in the United Kingdom. Specifically, the 1981 Brixton Riot exposed entrenched racial inequalities, prompting government efforts to enhance the lives of black people in Britain and the passage of new laws such as the Police and Criminal Evidence Act (PACE). While PACE has provided a framework for police investigations that guarantees the protection of individual rights, it is important to recognise potential drawbacks such as the controversial stop-and-search powers, which have been criticised for having a discriminatory effect on certain communities. </w:t>
      </w:r>
    </w:p>
    <w:p w14:paraId="077BEC46" w14:textId="7CA57C36" w:rsidR="00A42282" w:rsidRDefault="00A42282" w:rsidP="001953E7">
      <w:pPr>
        <w:spacing w:line="360" w:lineRule="auto"/>
        <w:jc w:val="both"/>
        <w:rPr>
          <w:rFonts w:cstheme="minorHAnsi"/>
          <w:sz w:val="24"/>
          <w:szCs w:val="24"/>
          <w:lang w:val="en-GB"/>
        </w:rPr>
      </w:pPr>
      <w:r w:rsidRPr="00A42282">
        <w:rPr>
          <w:rFonts w:cstheme="minorHAnsi"/>
          <w:sz w:val="24"/>
          <w:szCs w:val="24"/>
          <w:lang w:val="en-GB"/>
        </w:rPr>
        <w:t>Continuing efforts to promote professionalism, accountability, and transparency in policing, such as randomised controlled trials to evaluate training programs on reducing ethnic and racial bias in the use of stop-and-frisk powers, are crucial to maintaining the public's confidence and trust in law enforcement. Continue to consider the political, social, and economic factors that influence the United Kingdom's response to police malfeasance and misconduct, and work to ensure that everyone is treated fairly and justly by law enforcement.</w:t>
      </w:r>
    </w:p>
    <w:p w14:paraId="75BBA4D6" w14:textId="77777777" w:rsidR="006F40B6" w:rsidRDefault="006F40B6" w:rsidP="001953E7">
      <w:pPr>
        <w:spacing w:line="360" w:lineRule="auto"/>
        <w:jc w:val="both"/>
        <w:rPr>
          <w:rFonts w:cstheme="minorHAnsi"/>
          <w:sz w:val="24"/>
          <w:szCs w:val="24"/>
          <w:lang w:val="en-GB"/>
        </w:rPr>
      </w:pPr>
    </w:p>
    <w:p w14:paraId="7C0A4FE0" w14:textId="77777777" w:rsidR="00FB11DC" w:rsidRDefault="00FB11DC" w:rsidP="00FB11DC">
      <w:pPr>
        <w:spacing w:line="360" w:lineRule="auto"/>
        <w:jc w:val="both"/>
        <w:rPr>
          <w:rFonts w:eastAsia="Times New Roman" w:cstheme="minorHAnsi"/>
          <w:b/>
          <w:bCs/>
          <w:color w:val="374151"/>
          <w:sz w:val="24"/>
          <w:szCs w:val="24"/>
          <w:lang w:val="en-GB"/>
        </w:rPr>
      </w:pPr>
    </w:p>
    <w:p w14:paraId="548BE445" w14:textId="77777777" w:rsidR="00FB11DC" w:rsidRDefault="00FB11DC" w:rsidP="00FB11DC">
      <w:pPr>
        <w:spacing w:line="360" w:lineRule="auto"/>
        <w:jc w:val="both"/>
        <w:rPr>
          <w:rFonts w:eastAsia="Times New Roman" w:cstheme="minorHAnsi"/>
          <w:b/>
          <w:bCs/>
          <w:color w:val="374151"/>
          <w:sz w:val="24"/>
          <w:szCs w:val="24"/>
          <w:lang w:val="en-GB"/>
        </w:rPr>
      </w:pPr>
    </w:p>
    <w:p w14:paraId="2A199C1E" w14:textId="77777777" w:rsidR="00FB11DC" w:rsidRDefault="00FB11DC" w:rsidP="00FB11DC">
      <w:pPr>
        <w:spacing w:line="360" w:lineRule="auto"/>
        <w:jc w:val="both"/>
        <w:rPr>
          <w:rFonts w:eastAsia="Times New Roman" w:cstheme="minorHAnsi"/>
          <w:b/>
          <w:bCs/>
          <w:color w:val="374151"/>
          <w:sz w:val="24"/>
          <w:szCs w:val="24"/>
          <w:lang w:val="en-GB"/>
        </w:rPr>
      </w:pPr>
    </w:p>
    <w:p w14:paraId="5AE519D3" w14:textId="77777777" w:rsidR="00FB11DC" w:rsidRDefault="00FB11DC" w:rsidP="00FB11DC">
      <w:pPr>
        <w:spacing w:line="360" w:lineRule="auto"/>
        <w:jc w:val="both"/>
        <w:rPr>
          <w:rFonts w:eastAsia="Times New Roman" w:cstheme="minorHAnsi"/>
          <w:b/>
          <w:bCs/>
          <w:color w:val="374151"/>
          <w:sz w:val="24"/>
          <w:szCs w:val="24"/>
          <w:lang w:val="en-GB"/>
        </w:rPr>
      </w:pPr>
    </w:p>
    <w:p w14:paraId="4115D6C6" w14:textId="77777777" w:rsidR="00FB11DC" w:rsidRDefault="00FB11DC" w:rsidP="00FB11DC">
      <w:pPr>
        <w:spacing w:line="360" w:lineRule="auto"/>
        <w:jc w:val="both"/>
        <w:rPr>
          <w:rFonts w:eastAsia="Times New Roman" w:cstheme="minorHAnsi"/>
          <w:b/>
          <w:bCs/>
          <w:color w:val="374151"/>
          <w:sz w:val="24"/>
          <w:szCs w:val="24"/>
          <w:lang w:val="en-GB"/>
        </w:rPr>
      </w:pPr>
    </w:p>
    <w:p w14:paraId="2ED67336" w14:textId="77777777" w:rsidR="00FB11DC" w:rsidRDefault="00FB11DC" w:rsidP="00FB11DC">
      <w:pPr>
        <w:spacing w:line="360" w:lineRule="auto"/>
        <w:jc w:val="both"/>
        <w:rPr>
          <w:rFonts w:eastAsia="Times New Roman" w:cstheme="minorHAnsi"/>
          <w:b/>
          <w:bCs/>
          <w:color w:val="374151"/>
          <w:sz w:val="24"/>
          <w:szCs w:val="24"/>
          <w:lang w:val="en-GB"/>
        </w:rPr>
      </w:pPr>
    </w:p>
    <w:p w14:paraId="7120D0B2" w14:textId="77777777" w:rsidR="00FB11DC" w:rsidRDefault="00FB11DC" w:rsidP="00FB11DC">
      <w:pPr>
        <w:spacing w:line="360" w:lineRule="auto"/>
        <w:jc w:val="both"/>
        <w:rPr>
          <w:rFonts w:eastAsia="Times New Roman" w:cstheme="minorHAnsi"/>
          <w:b/>
          <w:bCs/>
          <w:color w:val="374151"/>
          <w:sz w:val="24"/>
          <w:szCs w:val="24"/>
          <w:lang w:val="en-GB"/>
        </w:rPr>
      </w:pPr>
    </w:p>
    <w:p w14:paraId="14AD0DDA" w14:textId="77777777" w:rsidR="00FB11DC" w:rsidRDefault="00FB11DC" w:rsidP="00FB11DC">
      <w:pPr>
        <w:spacing w:line="360" w:lineRule="auto"/>
        <w:jc w:val="both"/>
        <w:rPr>
          <w:rFonts w:eastAsia="Times New Roman" w:cstheme="minorHAnsi"/>
          <w:b/>
          <w:bCs/>
          <w:color w:val="374151"/>
          <w:sz w:val="24"/>
          <w:szCs w:val="24"/>
          <w:lang w:val="en-GB"/>
        </w:rPr>
      </w:pPr>
    </w:p>
    <w:p w14:paraId="699201B2" w14:textId="77777777" w:rsidR="00FB11DC" w:rsidRDefault="00FB11DC" w:rsidP="00FB11DC">
      <w:pPr>
        <w:spacing w:line="360" w:lineRule="auto"/>
        <w:jc w:val="both"/>
        <w:rPr>
          <w:rFonts w:eastAsia="Times New Roman" w:cstheme="minorHAnsi"/>
          <w:b/>
          <w:bCs/>
          <w:color w:val="374151"/>
          <w:sz w:val="24"/>
          <w:szCs w:val="24"/>
          <w:lang w:val="en-GB"/>
        </w:rPr>
      </w:pPr>
    </w:p>
    <w:p w14:paraId="468B5D55" w14:textId="77777777" w:rsidR="00FB11DC" w:rsidRDefault="00FB11DC" w:rsidP="00FB11DC">
      <w:pPr>
        <w:spacing w:line="360" w:lineRule="auto"/>
        <w:jc w:val="both"/>
        <w:rPr>
          <w:rFonts w:eastAsia="Times New Roman" w:cstheme="minorHAnsi"/>
          <w:b/>
          <w:bCs/>
          <w:color w:val="374151"/>
          <w:sz w:val="24"/>
          <w:szCs w:val="24"/>
          <w:lang w:val="en-GB"/>
        </w:rPr>
      </w:pPr>
    </w:p>
    <w:p w14:paraId="6B2E779B" w14:textId="77777777" w:rsidR="00FB11DC" w:rsidRDefault="00FB11DC" w:rsidP="00FB11DC">
      <w:pPr>
        <w:spacing w:line="360" w:lineRule="auto"/>
        <w:jc w:val="both"/>
        <w:rPr>
          <w:rFonts w:eastAsia="Times New Roman" w:cstheme="minorHAnsi"/>
          <w:b/>
          <w:bCs/>
          <w:color w:val="374151"/>
          <w:sz w:val="24"/>
          <w:szCs w:val="24"/>
          <w:lang w:val="en-GB"/>
        </w:rPr>
      </w:pPr>
    </w:p>
    <w:p w14:paraId="155CFF94" w14:textId="6B8868EF" w:rsidR="006F40B6" w:rsidRPr="00FB11DC" w:rsidRDefault="006F40B6" w:rsidP="00FB11DC">
      <w:pPr>
        <w:spacing w:line="360" w:lineRule="auto"/>
        <w:jc w:val="both"/>
        <w:rPr>
          <w:rFonts w:eastAsia="Times New Roman" w:cstheme="minorHAnsi"/>
          <w:b/>
          <w:bCs/>
          <w:color w:val="374151"/>
          <w:sz w:val="24"/>
          <w:szCs w:val="24"/>
          <w:lang w:val="en-GB"/>
        </w:rPr>
      </w:pPr>
      <w:r w:rsidRPr="00A42282">
        <w:rPr>
          <w:rFonts w:eastAsia="Times New Roman" w:cstheme="minorHAnsi"/>
          <w:b/>
          <w:bCs/>
          <w:color w:val="374151"/>
          <w:sz w:val="24"/>
          <w:szCs w:val="24"/>
          <w:lang w:val="en-GB"/>
        </w:rPr>
        <w:lastRenderedPageBreak/>
        <w:t>References</w:t>
      </w:r>
    </w:p>
    <w:p w14:paraId="2BC5860B" w14:textId="77777777" w:rsidR="006F40B6" w:rsidRPr="002D1145" w:rsidRDefault="006F40B6" w:rsidP="006F40B6">
      <w:pPr>
        <w:spacing w:line="360" w:lineRule="auto"/>
        <w:rPr>
          <w:rFonts w:cstheme="minorHAnsi"/>
        </w:rPr>
      </w:pPr>
      <w:proofErr w:type="spellStart"/>
      <w:r w:rsidRPr="002D1145">
        <w:rPr>
          <w:rFonts w:cstheme="minorHAnsi"/>
        </w:rPr>
        <w:t>Braakmann</w:t>
      </w:r>
      <w:proofErr w:type="spellEnd"/>
      <w:r w:rsidRPr="002D1145">
        <w:rPr>
          <w:rFonts w:cstheme="minorHAnsi"/>
        </w:rPr>
        <w:t xml:space="preserve">, N. (2022) </w:t>
      </w:r>
      <w:r w:rsidRPr="002D1145">
        <w:rPr>
          <w:rFonts w:cstheme="minorHAnsi"/>
          <w:i/>
          <w:iCs/>
        </w:rPr>
        <w:t>‘Does stop and search reduce crime? Evidence from street‐level data and a surge in operations following a high‐profile crime’</w:t>
      </w:r>
      <w:r w:rsidRPr="002D1145">
        <w:rPr>
          <w:rFonts w:cstheme="minorHAnsi"/>
        </w:rPr>
        <w:t xml:space="preserve">, Journal of the Royal Statistical Society. Series A, Statistics in society, 185(3), pp. 1370–1397. Available at: </w:t>
      </w:r>
      <w:hyperlink r:id="rId7" w:history="1">
        <w:r w:rsidRPr="002D1145">
          <w:rPr>
            <w:rStyle w:val="Hyperlink"/>
            <w:rFonts w:cstheme="minorHAnsi"/>
          </w:rPr>
          <w:t>https://doi.org/10.1111/rssa.12839</w:t>
        </w:r>
      </w:hyperlink>
      <w:r w:rsidRPr="002D1145">
        <w:rPr>
          <w:rFonts w:cstheme="minorHAnsi"/>
        </w:rPr>
        <w:t xml:space="preserve"> (Accessed: 15th April 2023). </w:t>
      </w:r>
    </w:p>
    <w:p w14:paraId="53B40D17" w14:textId="77777777" w:rsidR="006F40B6" w:rsidRPr="002D1145" w:rsidRDefault="006F40B6" w:rsidP="006F40B6">
      <w:pPr>
        <w:spacing w:before="100" w:beforeAutospacing="1" w:after="0" w:line="360" w:lineRule="auto"/>
        <w:ind w:left="720" w:hanging="720"/>
        <w:rPr>
          <w:rFonts w:eastAsia="Times New Roman" w:cstheme="minorHAnsi"/>
          <w:color w:val="000000"/>
        </w:rPr>
      </w:pPr>
      <w:r w:rsidRPr="002D1145">
        <w:rPr>
          <w:rFonts w:eastAsia="Times New Roman" w:cstheme="minorHAnsi"/>
          <w:color w:val="000000"/>
        </w:rPr>
        <w:t>Bradford, B. (2019). </w:t>
      </w:r>
      <w:r w:rsidRPr="002D1145">
        <w:rPr>
          <w:rFonts w:eastAsia="Times New Roman" w:cstheme="minorHAnsi"/>
          <w:i/>
          <w:iCs/>
          <w:color w:val="000000"/>
        </w:rPr>
        <w:t>Does stop and search reduce crime?</w:t>
      </w:r>
      <w:r w:rsidRPr="002D1145">
        <w:rPr>
          <w:rFonts w:eastAsia="Times New Roman" w:cstheme="minorHAnsi"/>
          <w:color w:val="000000"/>
        </w:rPr>
        <w:t> Centre for Crime and Justice Studies.</w:t>
      </w:r>
    </w:p>
    <w:p w14:paraId="3D6714EE" w14:textId="77777777" w:rsidR="006F40B6" w:rsidRPr="002D1145" w:rsidRDefault="006F40B6" w:rsidP="006F40B6">
      <w:pPr>
        <w:spacing w:before="100" w:beforeAutospacing="1" w:after="0" w:line="360" w:lineRule="auto"/>
        <w:ind w:left="720" w:hanging="720"/>
        <w:rPr>
          <w:rFonts w:eastAsia="Times New Roman" w:cstheme="minorHAnsi"/>
          <w:color w:val="000000"/>
        </w:rPr>
      </w:pPr>
      <w:r w:rsidRPr="002D1145">
        <w:rPr>
          <w:rFonts w:eastAsia="Times New Roman" w:cstheme="minorHAnsi"/>
          <w:color w:val="000000"/>
        </w:rPr>
        <w:t>Briggs, D. (2012). </w:t>
      </w:r>
      <w:r w:rsidRPr="002D1145">
        <w:rPr>
          <w:rFonts w:eastAsia="Times New Roman" w:cstheme="minorHAnsi"/>
          <w:i/>
          <w:iCs/>
          <w:color w:val="000000"/>
        </w:rPr>
        <w:t>The English riots of 2011: A summer of discontent</w:t>
      </w:r>
      <w:r w:rsidRPr="002D1145">
        <w:rPr>
          <w:rFonts w:eastAsia="Times New Roman" w:cstheme="minorHAnsi"/>
          <w:color w:val="000000"/>
        </w:rPr>
        <w:t> (Daniel Briggs, Ed.). Waterside Press.</w:t>
      </w:r>
    </w:p>
    <w:p w14:paraId="369AC5AE" w14:textId="77777777" w:rsidR="006F40B6" w:rsidRPr="002D1145" w:rsidRDefault="006F40B6" w:rsidP="006F40B6">
      <w:pPr>
        <w:spacing w:line="360" w:lineRule="auto"/>
        <w:rPr>
          <w:rFonts w:cstheme="minorHAnsi"/>
        </w:rPr>
      </w:pPr>
      <w:r w:rsidRPr="002D1145">
        <w:rPr>
          <w:rFonts w:cstheme="minorHAnsi"/>
        </w:rPr>
        <w:t xml:space="preserve">Card, R., English, J. and English, J. (Jack) (2017) </w:t>
      </w:r>
      <w:r w:rsidRPr="002D1145">
        <w:rPr>
          <w:rFonts w:cstheme="minorHAnsi"/>
          <w:i/>
          <w:iCs/>
        </w:rPr>
        <w:t>Police law</w:t>
      </w:r>
      <w:r w:rsidRPr="002D1145">
        <w:rPr>
          <w:rFonts w:cstheme="minorHAnsi"/>
        </w:rPr>
        <w:t>. Fifteenth edition. Oxford: Oxford University Press.</w:t>
      </w:r>
    </w:p>
    <w:p w14:paraId="6A9E682B" w14:textId="77777777" w:rsidR="006F40B6" w:rsidRPr="002D1145" w:rsidRDefault="006F40B6" w:rsidP="006F40B6">
      <w:pPr>
        <w:spacing w:before="100" w:beforeAutospacing="1" w:after="0" w:line="360" w:lineRule="auto"/>
        <w:rPr>
          <w:rFonts w:eastAsia="Times New Roman" w:cstheme="minorHAnsi"/>
          <w:color w:val="000000"/>
        </w:rPr>
      </w:pPr>
      <w:r w:rsidRPr="002D1145">
        <w:rPr>
          <w:rFonts w:eastAsia="Times New Roman" w:cstheme="minorHAnsi"/>
          <w:color w:val="000000"/>
        </w:rPr>
        <w:t>Hargreaves, F., &amp; Levenson, H. (1985). </w:t>
      </w:r>
      <w:r w:rsidRPr="002D1145">
        <w:rPr>
          <w:rFonts w:eastAsia="Times New Roman" w:cstheme="minorHAnsi"/>
          <w:i/>
          <w:iCs/>
          <w:color w:val="000000"/>
        </w:rPr>
        <w:t xml:space="preserve">Practitioner’s guide to the police and criminal evidence </w:t>
      </w:r>
      <w:proofErr w:type="gramStart"/>
      <w:r w:rsidRPr="002D1145">
        <w:rPr>
          <w:rFonts w:eastAsia="Times New Roman" w:cstheme="minorHAnsi"/>
          <w:i/>
          <w:iCs/>
          <w:color w:val="000000"/>
        </w:rPr>
        <w:t>act</w:t>
      </w:r>
      <w:proofErr w:type="gramEnd"/>
      <w:r w:rsidRPr="002D1145">
        <w:rPr>
          <w:rFonts w:eastAsia="Times New Roman" w:cstheme="minorHAnsi"/>
          <w:i/>
          <w:iCs/>
          <w:color w:val="000000"/>
        </w:rPr>
        <w:t>, 1984</w:t>
      </w:r>
      <w:r w:rsidRPr="002D1145">
        <w:rPr>
          <w:rFonts w:eastAsia="Times New Roman" w:cstheme="minorHAnsi"/>
          <w:color w:val="000000"/>
        </w:rPr>
        <w:t>. Legal Action Group.</w:t>
      </w:r>
    </w:p>
    <w:p w14:paraId="13B75603" w14:textId="6FADC5AC" w:rsidR="006F40B6" w:rsidRPr="002D1145" w:rsidRDefault="006F40B6" w:rsidP="006F40B6">
      <w:pPr>
        <w:spacing w:before="100" w:beforeAutospacing="1" w:after="0" w:line="360" w:lineRule="auto"/>
        <w:rPr>
          <w:rFonts w:eastAsia="Times New Roman" w:cstheme="minorHAnsi"/>
          <w:color w:val="000000"/>
        </w:rPr>
      </w:pPr>
      <w:r w:rsidRPr="002D1145">
        <w:rPr>
          <w:rFonts w:eastAsia="Times New Roman" w:cstheme="minorHAnsi"/>
          <w:color w:val="000000"/>
        </w:rPr>
        <w:t xml:space="preserve">Jefferson, T. (2012). </w:t>
      </w:r>
      <w:r w:rsidRPr="002D1145">
        <w:rPr>
          <w:rFonts w:eastAsia="Times New Roman" w:cstheme="minorHAnsi"/>
          <w:i/>
          <w:iCs/>
          <w:color w:val="000000"/>
        </w:rPr>
        <w:t xml:space="preserve">Policing the riots: from Bristol and Brixton to Tottenham, via Toxteth, Handsworth, </w:t>
      </w:r>
      <w:proofErr w:type="spellStart"/>
      <w:r w:rsidRPr="002D1145">
        <w:rPr>
          <w:rFonts w:eastAsia="Times New Roman" w:cstheme="minorHAnsi"/>
          <w:i/>
          <w:iCs/>
          <w:color w:val="000000"/>
        </w:rPr>
        <w:t>etc</w:t>
      </w:r>
      <w:proofErr w:type="spellEnd"/>
      <w:r w:rsidRPr="002D1145">
        <w:rPr>
          <w:rFonts w:eastAsia="Times New Roman" w:cstheme="minorHAnsi"/>
          <w:i/>
          <w:iCs/>
          <w:color w:val="000000"/>
        </w:rPr>
        <w:t>: Tony Jefferson tells the angry, ongoing story of rioting over the past 30 years</w:t>
      </w:r>
      <w:r w:rsidRPr="002D1145">
        <w:rPr>
          <w:rFonts w:eastAsia="Times New Roman" w:cstheme="minorHAnsi"/>
          <w:color w:val="000000"/>
        </w:rPr>
        <w:t xml:space="preserve">. Criminal Justice Matters, 87(1), 8–9. </w:t>
      </w:r>
      <w:hyperlink r:id="rId8" w:history="1">
        <w:r w:rsidRPr="002D1145">
          <w:rPr>
            <w:rStyle w:val="Hyperlink"/>
            <w:rFonts w:eastAsia="Times New Roman" w:cstheme="minorHAnsi"/>
          </w:rPr>
          <w:t>https://doi.org/10.1080/09627251.2012.670995</w:t>
        </w:r>
      </w:hyperlink>
      <w:r w:rsidRPr="002D1145">
        <w:rPr>
          <w:rFonts w:eastAsia="Times New Roman" w:cstheme="minorHAnsi"/>
          <w:color w:val="000000"/>
        </w:rPr>
        <w:t xml:space="preserve"> (Accessed: 15th April 2023).</w:t>
      </w:r>
    </w:p>
    <w:p w14:paraId="7B6B5EA5" w14:textId="77777777" w:rsidR="006F40B6" w:rsidRDefault="006F40B6" w:rsidP="006F40B6">
      <w:pPr>
        <w:spacing w:line="360" w:lineRule="auto"/>
        <w:rPr>
          <w:rFonts w:cstheme="minorHAnsi"/>
        </w:rPr>
      </w:pPr>
      <w:r w:rsidRPr="002D1145">
        <w:rPr>
          <w:rFonts w:cstheme="minorHAnsi"/>
        </w:rPr>
        <w:t xml:space="preserve">Lennon, G. and Murray, K. (2018) </w:t>
      </w:r>
      <w:r w:rsidRPr="002D1145">
        <w:rPr>
          <w:rFonts w:cstheme="minorHAnsi"/>
          <w:i/>
          <w:iCs/>
        </w:rPr>
        <w:t>‘Under-regulated and unaccountable? Explaining variation in stop and search rates in Scotland, England and Wales, Policing &amp; Society</w:t>
      </w:r>
      <w:r w:rsidRPr="002D1145">
        <w:rPr>
          <w:rFonts w:cstheme="minorHAnsi"/>
        </w:rPr>
        <w:t xml:space="preserve">, 28(2), pp. 157–174. Available at: </w:t>
      </w:r>
      <w:hyperlink r:id="rId9" w:history="1">
        <w:r w:rsidRPr="002D1145">
          <w:rPr>
            <w:rStyle w:val="Hyperlink"/>
            <w:rFonts w:cstheme="minorHAnsi"/>
          </w:rPr>
          <w:t>https://doi.org/10.1080/10439463.2016.1163359</w:t>
        </w:r>
      </w:hyperlink>
      <w:r w:rsidRPr="002D1145">
        <w:rPr>
          <w:rFonts w:cstheme="minorHAnsi"/>
        </w:rPr>
        <w:t xml:space="preserve"> (Accessed: 15th April 2023).</w:t>
      </w:r>
    </w:p>
    <w:p w14:paraId="50D09A49" w14:textId="12AF71CF" w:rsidR="006F40B6" w:rsidRPr="00FB11DC" w:rsidRDefault="006F40B6" w:rsidP="006F40B6">
      <w:pPr>
        <w:spacing w:line="360" w:lineRule="auto"/>
        <w:rPr>
          <w:rFonts w:eastAsia="Times New Roman" w:cstheme="minorHAnsi"/>
          <w:color w:val="000000"/>
        </w:rPr>
      </w:pPr>
      <w:r w:rsidRPr="002D1145">
        <w:rPr>
          <w:rFonts w:eastAsia="Times New Roman" w:cstheme="minorHAnsi"/>
          <w:color w:val="000000"/>
        </w:rPr>
        <w:t xml:space="preserve">Miller, J., Quinton, P., </w:t>
      </w:r>
      <w:proofErr w:type="spellStart"/>
      <w:r w:rsidRPr="002D1145">
        <w:rPr>
          <w:rFonts w:eastAsia="Times New Roman" w:cstheme="minorHAnsi"/>
          <w:color w:val="000000"/>
        </w:rPr>
        <w:t>Alexandrou</w:t>
      </w:r>
      <w:proofErr w:type="spellEnd"/>
      <w:r w:rsidRPr="002D1145">
        <w:rPr>
          <w:rFonts w:eastAsia="Times New Roman" w:cstheme="minorHAnsi"/>
          <w:color w:val="000000"/>
        </w:rPr>
        <w:t xml:space="preserve">, B., &amp; Packham, D. (2020). </w:t>
      </w:r>
      <w:r w:rsidRPr="002D1145">
        <w:rPr>
          <w:rFonts w:eastAsia="Times New Roman" w:cstheme="minorHAnsi"/>
          <w:i/>
          <w:iCs/>
          <w:color w:val="000000"/>
        </w:rPr>
        <w:t>Can police training reduce ethnic/racial</w:t>
      </w:r>
      <w:r>
        <w:rPr>
          <w:rFonts w:eastAsia="Times New Roman" w:cstheme="minorHAnsi"/>
          <w:i/>
          <w:iCs/>
          <w:color w:val="000000"/>
        </w:rPr>
        <w:t xml:space="preserve"> </w:t>
      </w:r>
      <w:r w:rsidRPr="002D1145">
        <w:rPr>
          <w:rFonts w:eastAsia="Times New Roman" w:cstheme="minorHAnsi"/>
          <w:i/>
          <w:iCs/>
          <w:color w:val="000000"/>
        </w:rPr>
        <w:t>disparities in stop and search? Evidence from a multisite UK trial</w:t>
      </w:r>
      <w:r w:rsidRPr="002D1145">
        <w:rPr>
          <w:rFonts w:eastAsia="Times New Roman" w:cstheme="minorHAnsi"/>
          <w:color w:val="000000"/>
        </w:rPr>
        <w:t xml:space="preserve">. Criminology &amp; Public Policy, 19(4), 1259–1287. </w:t>
      </w:r>
      <w:hyperlink r:id="rId10" w:history="1">
        <w:r w:rsidRPr="006F54AF">
          <w:rPr>
            <w:rStyle w:val="Hyperlink"/>
            <w:rFonts w:eastAsia="Times New Roman" w:cstheme="minorHAnsi"/>
          </w:rPr>
          <w:t>https://doi.org/10.1111/1745-9133.12524</w:t>
        </w:r>
      </w:hyperlink>
      <w:r w:rsidRPr="002D1145">
        <w:rPr>
          <w:rFonts w:eastAsia="Times New Roman" w:cstheme="minorHAnsi"/>
          <w:color w:val="000000"/>
        </w:rPr>
        <w:br/>
      </w:r>
      <w:proofErr w:type="spellStart"/>
      <w:r w:rsidRPr="002D1145">
        <w:rPr>
          <w:rFonts w:eastAsia="Times New Roman" w:cstheme="minorHAnsi"/>
          <w:color w:val="000000"/>
        </w:rPr>
        <w:t>Benyon</w:t>
      </w:r>
      <w:proofErr w:type="spellEnd"/>
      <w:r w:rsidRPr="002D1145">
        <w:rPr>
          <w:rFonts w:eastAsia="Times New Roman" w:cstheme="minorHAnsi"/>
          <w:color w:val="000000"/>
        </w:rPr>
        <w:t xml:space="preserve">, J. (1984). Scarman and after. In J. </w:t>
      </w:r>
      <w:proofErr w:type="spellStart"/>
      <w:r w:rsidRPr="002D1145">
        <w:rPr>
          <w:rFonts w:eastAsia="Times New Roman" w:cstheme="minorHAnsi"/>
          <w:color w:val="000000"/>
        </w:rPr>
        <w:t>Benyon</w:t>
      </w:r>
      <w:proofErr w:type="spellEnd"/>
      <w:r w:rsidRPr="002D1145">
        <w:rPr>
          <w:rFonts w:eastAsia="Times New Roman" w:cstheme="minorHAnsi"/>
          <w:color w:val="000000"/>
        </w:rPr>
        <w:t xml:space="preserve"> (Ed.), </w:t>
      </w:r>
      <w:r w:rsidRPr="002D1145">
        <w:rPr>
          <w:rFonts w:eastAsia="Times New Roman" w:cstheme="minorHAnsi"/>
          <w:i/>
          <w:iCs/>
          <w:color w:val="000000"/>
        </w:rPr>
        <w:t>Scarman and After</w:t>
      </w:r>
      <w:r w:rsidRPr="002D1145">
        <w:rPr>
          <w:rFonts w:eastAsia="Times New Roman" w:cstheme="minorHAnsi"/>
          <w:color w:val="000000"/>
        </w:rPr>
        <w:t> (pp. 233–243). Elsevier.</w:t>
      </w:r>
    </w:p>
    <w:p w14:paraId="51943592" w14:textId="14F44315" w:rsidR="006F40B6" w:rsidRPr="00FB11DC" w:rsidRDefault="006F40B6" w:rsidP="006F40B6">
      <w:pPr>
        <w:spacing w:line="360" w:lineRule="auto"/>
        <w:rPr>
          <w:rFonts w:cstheme="minorHAnsi"/>
          <w:shd w:val="clear" w:color="auto" w:fill="FFFFFF"/>
        </w:rPr>
      </w:pPr>
      <w:proofErr w:type="spellStart"/>
      <w:r w:rsidRPr="002D1145">
        <w:rPr>
          <w:rFonts w:cstheme="minorHAnsi"/>
          <w:shd w:val="clear" w:color="auto" w:fill="FFFFFF"/>
        </w:rPr>
        <w:t>Tiratelli</w:t>
      </w:r>
      <w:proofErr w:type="spellEnd"/>
      <w:r w:rsidRPr="002D1145">
        <w:rPr>
          <w:rFonts w:cstheme="minorHAnsi"/>
          <w:shd w:val="clear" w:color="auto" w:fill="FFFFFF"/>
        </w:rPr>
        <w:t>, M., Quinton, P. and Bradford, B. (2018) ‘</w:t>
      </w:r>
      <w:r w:rsidRPr="002D1145">
        <w:rPr>
          <w:rFonts w:cstheme="minorHAnsi"/>
          <w:i/>
          <w:iCs/>
          <w:shd w:val="clear" w:color="auto" w:fill="FFFFFF"/>
        </w:rPr>
        <w:t>Does Stop and Search Deter Crime? Evidence From Ten Years of London-wide Data’</w:t>
      </w:r>
      <w:r w:rsidRPr="002D1145">
        <w:rPr>
          <w:rFonts w:cstheme="minorHAnsi"/>
          <w:shd w:val="clear" w:color="auto" w:fill="FFFFFF"/>
        </w:rPr>
        <w:t xml:space="preserve">. British Journal of Criminology, 58(5), pp. 1212–1231. Available at: </w:t>
      </w:r>
      <w:hyperlink r:id="rId11" w:history="1">
        <w:r w:rsidRPr="002D1145">
          <w:rPr>
            <w:rStyle w:val="Hyperlink"/>
            <w:rFonts w:cstheme="minorHAnsi"/>
            <w:shd w:val="clear" w:color="auto" w:fill="FFFFFF"/>
          </w:rPr>
          <w:t>https://doi.org/10.1093/bjc/azx085</w:t>
        </w:r>
      </w:hyperlink>
      <w:r w:rsidRPr="002D1145">
        <w:rPr>
          <w:rFonts w:cstheme="minorHAnsi"/>
          <w:shd w:val="clear" w:color="auto" w:fill="FFFFFF"/>
        </w:rPr>
        <w:t xml:space="preserve"> </w:t>
      </w:r>
      <w:bookmarkStart w:id="0" w:name="_Hlk133265138"/>
      <w:r w:rsidRPr="002D1145">
        <w:rPr>
          <w:rFonts w:cstheme="minorHAnsi"/>
          <w:shd w:val="clear" w:color="auto" w:fill="FFFFFF"/>
        </w:rPr>
        <w:t>(Accessed: 15</w:t>
      </w:r>
      <w:r w:rsidRPr="002D1145">
        <w:rPr>
          <w:rFonts w:cstheme="minorHAnsi"/>
          <w:shd w:val="clear" w:color="auto" w:fill="FFFFFF"/>
          <w:vertAlign w:val="superscript"/>
        </w:rPr>
        <w:t>th</w:t>
      </w:r>
      <w:r w:rsidRPr="002D1145">
        <w:rPr>
          <w:rFonts w:cstheme="minorHAnsi"/>
          <w:shd w:val="clear" w:color="auto" w:fill="FFFFFF"/>
        </w:rPr>
        <w:t xml:space="preserve"> April 2023).</w:t>
      </w:r>
      <w:bookmarkEnd w:id="0"/>
    </w:p>
    <w:p w14:paraId="3DD81248" w14:textId="77777777" w:rsidR="006F40B6" w:rsidRPr="002D1145" w:rsidRDefault="006F40B6" w:rsidP="006F40B6">
      <w:pPr>
        <w:spacing w:line="360" w:lineRule="auto"/>
        <w:rPr>
          <w:rFonts w:cstheme="minorHAnsi"/>
        </w:rPr>
      </w:pPr>
      <w:r w:rsidRPr="002D1145">
        <w:rPr>
          <w:rFonts w:cstheme="minorHAnsi"/>
        </w:rPr>
        <w:t xml:space="preserve">  </w:t>
      </w:r>
      <w:proofErr w:type="spellStart"/>
      <w:r w:rsidRPr="002D1145">
        <w:rPr>
          <w:rFonts w:cstheme="minorHAnsi"/>
        </w:rPr>
        <w:t>Coliandris</w:t>
      </w:r>
      <w:proofErr w:type="spellEnd"/>
      <w:r w:rsidRPr="002D1145">
        <w:rPr>
          <w:rFonts w:cstheme="minorHAnsi"/>
        </w:rPr>
        <w:t xml:space="preserve">, G. (2014) ‘Book Review: Zander on PACE: The Police and Criminal Evidence Act 1984, 6th Edition’, The Police Journal. London, England: SAGE Publications, pp. 139–141. Available at: </w:t>
      </w:r>
      <w:hyperlink r:id="rId12" w:history="1">
        <w:r w:rsidRPr="002D1145">
          <w:rPr>
            <w:rStyle w:val="Hyperlink"/>
            <w:rFonts w:cstheme="minorHAnsi"/>
          </w:rPr>
          <w:t>https://doi.org/10.1350/pojo.2014.87.2.671</w:t>
        </w:r>
      </w:hyperlink>
      <w:r w:rsidRPr="002D1145">
        <w:rPr>
          <w:rFonts w:cstheme="minorHAnsi"/>
        </w:rPr>
        <w:t>.</w:t>
      </w:r>
    </w:p>
    <w:p w14:paraId="02A4F2E2" w14:textId="7F23A424" w:rsidR="006F40B6" w:rsidRPr="006F40B6" w:rsidRDefault="006F40B6" w:rsidP="006F40B6">
      <w:pPr>
        <w:rPr>
          <w:lang w:val="en-GB"/>
        </w:rPr>
        <w:sectPr w:rsidR="006F40B6" w:rsidRPr="006F40B6">
          <w:pgSz w:w="11906" w:h="16838"/>
          <w:pgMar w:top="1440" w:right="1440" w:bottom="1440" w:left="1440" w:header="708" w:footer="708" w:gutter="0"/>
          <w:cols w:space="708"/>
          <w:docGrid w:linePitch="360"/>
        </w:sectPr>
      </w:pPr>
    </w:p>
    <w:p w14:paraId="5533C40B" w14:textId="1A1A6BC4" w:rsidR="00F318F4" w:rsidRPr="00A42282" w:rsidRDefault="00F318F4" w:rsidP="00A42282">
      <w:pPr>
        <w:pStyle w:val="Heading1"/>
        <w:jc w:val="both"/>
        <w:rPr>
          <w:rFonts w:asciiTheme="minorHAnsi" w:hAnsiTheme="minorHAnsi" w:cstheme="minorHAnsi"/>
          <w:sz w:val="24"/>
          <w:szCs w:val="24"/>
          <w:lang w:val="en-GB"/>
        </w:rPr>
      </w:pPr>
      <w:r w:rsidRPr="00A42282">
        <w:rPr>
          <w:rFonts w:asciiTheme="minorHAnsi" w:hAnsiTheme="minorHAnsi" w:cstheme="minorHAnsi"/>
          <w:sz w:val="24"/>
          <w:szCs w:val="24"/>
          <w:lang w:val="en-GB"/>
        </w:rPr>
        <w:lastRenderedPageBreak/>
        <w:t xml:space="preserve">Essay 2 </w:t>
      </w:r>
    </w:p>
    <w:p w14:paraId="2DC3A5AD" w14:textId="1B24660A" w:rsidR="00F318F4" w:rsidRPr="00A42282" w:rsidRDefault="00F318F4" w:rsidP="00A42282">
      <w:pPr>
        <w:spacing w:before="240" w:line="360" w:lineRule="auto"/>
        <w:jc w:val="both"/>
        <w:rPr>
          <w:rFonts w:cstheme="minorHAnsi"/>
          <w:b/>
          <w:bCs/>
          <w:sz w:val="24"/>
          <w:szCs w:val="24"/>
          <w:lang w:val="en-GB"/>
        </w:rPr>
      </w:pPr>
      <w:r w:rsidRPr="00A42282">
        <w:rPr>
          <w:rFonts w:cstheme="minorHAnsi"/>
          <w:b/>
          <w:bCs/>
          <w:sz w:val="24"/>
          <w:szCs w:val="24"/>
          <w:lang w:val="en-GB"/>
        </w:rPr>
        <w:t xml:space="preserve">How does media coverage affect policing strategies </w:t>
      </w:r>
      <w:r w:rsidR="00FB11DC">
        <w:rPr>
          <w:rFonts w:cstheme="minorHAnsi"/>
          <w:b/>
          <w:bCs/>
          <w:sz w:val="24"/>
          <w:szCs w:val="24"/>
          <w:lang w:val="en-GB"/>
        </w:rPr>
        <w:t>concerning</w:t>
      </w:r>
      <w:r w:rsidRPr="00A42282">
        <w:rPr>
          <w:rFonts w:cstheme="minorHAnsi"/>
          <w:b/>
          <w:bCs/>
          <w:sz w:val="24"/>
          <w:szCs w:val="24"/>
          <w:lang w:val="en-GB"/>
        </w:rPr>
        <w:t xml:space="preserve"> public protection incidents?</w:t>
      </w:r>
    </w:p>
    <w:p w14:paraId="45F02D52" w14:textId="103BE805" w:rsidR="00D2688F" w:rsidRPr="00A42282" w:rsidRDefault="00F318F4" w:rsidP="00A42282">
      <w:pPr>
        <w:spacing w:line="360" w:lineRule="auto"/>
        <w:jc w:val="both"/>
        <w:rPr>
          <w:rFonts w:cstheme="minorHAnsi"/>
          <w:sz w:val="24"/>
          <w:szCs w:val="24"/>
          <w:lang w:val="en-GB"/>
        </w:rPr>
      </w:pPr>
      <w:r w:rsidRPr="00A42282">
        <w:rPr>
          <w:rFonts w:cstheme="minorHAnsi"/>
          <w:sz w:val="24"/>
          <w:szCs w:val="24"/>
          <w:lang w:val="en-GB"/>
        </w:rPr>
        <w:t>In recent years, there has been an increase in media coverage of public protection incidents in the United Kingdom</w:t>
      </w:r>
      <w:r w:rsidR="00D2688F" w:rsidRPr="00A42282">
        <w:rPr>
          <w:rFonts w:cstheme="minorHAnsi"/>
          <w:sz w:val="24"/>
          <w:szCs w:val="24"/>
          <w:lang w:val="en-GB"/>
        </w:rPr>
        <w:t xml:space="preserve"> (Lawrence 2022; Walsh 2019; Graziano 2018; Graziano and Gauthier 2018)</w:t>
      </w:r>
      <w:r w:rsidRPr="00A42282">
        <w:rPr>
          <w:rFonts w:cstheme="minorHAnsi"/>
          <w:sz w:val="24"/>
          <w:szCs w:val="24"/>
          <w:lang w:val="en-GB"/>
        </w:rPr>
        <w:t xml:space="preserve">. News outlets provide extensive coverage of incidents involving the police and the public, resulting in increased public awareness. This media coverage can have a significant impact on police strategies and responses to incidents requiring public protection. This essay will provide several examples of how media coverage has affected policing strategies, as well as explain why it is crucial to consider both the positive and negative effects of media coverage on policing strategies. </w:t>
      </w:r>
    </w:p>
    <w:p w14:paraId="6ED68D70" w14:textId="3D8AFBB6" w:rsidR="00D2688F" w:rsidRPr="00A42282" w:rsidRDefault="00F318F4" w:rsidP="00A42282">
      <w:pPr>
        <w:spacing w:line="360" w:lineRule="auto"/>
        <w:jc w:val="both"/>
        <w:rPr>
          <w:rFonts w:cstheme="minorHAnsi"/>
          <w:sz w:val="24"/>
          <w:szCs w:val="24"/>
          <w:lang w:val="en-GB"/>
        </w:rPr>
      </w:pPr>
      <w:r w:rsidRPr="00A42282">
        <w:rPr>
          <w:rFonts w:cstheme="minorHAnsi"/>
          <w:sz w:val="24"/>
          <w:szCs w:val="24"/>
          <w:lang w:val="en-GB"/>
        </w:rPr>
        <w:t xml:space="preserve">High media attention can bring to light deficiencies and initiate the process of enhancing police public protection strategies. Stephen Lawrence's case is one of the most prominent examples of media attention leading to police reform. Stephen was a young black man who was stabbed to death by white supremacists in 1993, an event that received extensive media coverage (Lea, 2013). After years of campaigning by Stephen's parents and intense media pressure, the then-home secretary commissioned an investigation that resulted in the Macpherson report. The report highlighted institutional racism within the force and recommended </w:t>
      </w:r>
      <w:r w:rsidR="00FB11DC">
        <w:rPr>
          <w:rFonts w:cstheme="minorHAnsi"/>
          <w:sz w:val="24"/>
          <w:szCs w:val="24"/>
          <w:lang w:val="en-GB"/>
        </w:rPr>
        <w:t>several</w:t>
      </w:r>
      <w:r w:rsidRPr="00A42282">
        <w:rPr>
          <w:rFonts w:cstheme="minorHAnsi"/>
          <w:sz w:val="24"/>
          <w:szCs w:val="24"/>
          <w:lang w:val="en-GB"/>
        </w:rPr>
        <w:t xml:space="preserve"> changes</w:t>
      </w:r>
      <w:r w:rsidR="00D2688F" w:rsidRPr="00A42282">
        <w:rPr>
          <w:rFonts w:cstheme="minorHAnsi"/>
          <w:sz w:val="24"/>
          <w:szCs w:val="24"/>
          <w:lang w:val="en-GB"/>
        </w:rPr>
        <w:t>. One of which is</w:t>
      </w:r>
      <w:r w:rsidRPr="00A42282">
        <w:rPr>
          <w:rFonts w:cstheme="minorHAnsi"/>
          <w:sz w:val="24"/>
          <w:szCs w:val="24"/>
          <w:lang w:val="en-GB"/>
        </w:rPr>
        <w:t xml:space="preserve"> increasing </w:t>
      </w:r>
      <w:r w:rsidR="00D2688F" w:rsidRPr="00A42282">
        <w:rPr>
          <w:rFonts w:cstheme="minorHAnsi"/>
          <w:sz w:val="24"/>
          <w:szCs w:val="24"/>
          <w:lang w:val="en-GB"/>
        </w:rPr>
        <w:t xml:space="preserve">the </w:t>
      </w:r>
      <w:r w:rsidRPr="00A42282">
        <w:rPr>
          <w:rFonts w:cstheme="minorHAnsi"/>
          <w:sz w:val="24"/>
          <w:szCs w:val="24"/>
          <w:lang w:val="en-GB"/>
        </w:rPr>
        <w:t xml:space="preserve">diversity within the force, </w:t>
      </w:r>
      <w:r w:rsidR="00FB11DC">
        <w:rPr>
          <w:rFonts w:cstheme="minorHAnsi"/>
          <w:sz w:val="24"/>
          <w:szCs w:val="24"/>
          <w:lang w:val="en-GB"/>
        </w:rPr>
        <w:t>which</w:t>
      </w:r>
      <w:r w:rsidRPr="00A42282">
        <w:rPr>
          <w:rFonts w:cstheme="minorHAnsi"/>
          <w:sz w:val="24"/>
          <w:szCs w:val="24"/>
          <w:lang w:val="en-GB"/>
        </w:rPr>
        <w:t xml:space="preserve"> would enable the police force to </w:t>
      </w:r>
      <w:proofErr w:type="gramStart"/>
      <w:r w:rsidRPr="00A42282">
        <w:rPr>
          <w:rFonts w:cstheme="minorHAnsi"/>
          <w:sz w:val="24"/>
          <w:szCs w:val="24"/>
          <w:lang w:val="en-GB"/>
        </w:rPr>
        <w:t>more accurately reflect the community</w:t>
      </w:r>
      <w:proofErr w:type="gramEnd"/>
      <w:r w:rsidRPr="00A42282">
        <w:rPr>
          <w:rFonts w:cstheme="minorHAnsi"/>
          <w:sz w:val="24"/>
          <w:szCs w:val="24"/>
          <w:lang w:val="en-GB"/>
        </w:rPr>
        <w:t xml:space="preserve"> it serves. This may foster </w:t>
      </w:r>
      <w:r w:rsidR="00D2688F" w:rsidRPr="00A42282">
        <w:rPr>
          <w:rFonts w:cstheme="minorHAnsi"/>
          <w:sz w:val="24"/>
          <w:szCs w:val="24"/>
          <w:lang w:val="en-GB"/>
        </w:rPr>
        <w:t xml:space="preserve">an </w:t>
      </w:r>
      <w:r w:rsidRPr="00A42282">
        <w:rPr>
          <w:rFonts w:cstheme="minorHAnsi"/>
          <w:sz w:val="24"/>
          <w:szCs w:val="24"/>
          <w:lang w:val="en-GB"/>
        </w:rPr>
        <w:t xml:space="preserve">increased empathy between police and the general public. According to Ely and Thomas (2001), diversity promotes integration, learning, and increased job satisfaction. In addition, an independent police complaints commission was established to investigate and supervise police complaints (Lea, 2013). </w:t>
      </w:r>
    </w:p>
    <w:p w14:paraId="4104A25E" w14:textId="26B42279" w:rsidR="000D260C" w:rsidRPr="00A42282" w:rsidRDefault="00F318F4" w:rsidP="00A42282">
      <w:pPr>
        <w:spacing w:line="360" w:lineRule="auto"/>
        <w:jc w:val="both"/>
        <w:rPr>
          <w:rFonts w:cstheme="minorHAnsi"/>
          <w:sz w:val="24"/>
          <w:szCs w:val="24"/>
          <w:lang w:val="en-GB"/>
        </w:rPr>
      </w:pPr>
      <w:r w:rsidRPr="00A42282">
        <w:rPr>
          <w:rFonts w:cstheme="minorHAnsi"/>
          <w:sz w:val="24"/>
          <w:szCs w:val="24"/>
          <w:lang w:val="en-GB"/>
        </w:rPr>
        <w:t>However, negative publicity</w:t>
      </w:r>
      <w:r w:rsidR="00D2688F" w:rsidRPr="00A42282">
        <w:rPr>
          <w:rFonts w:cstheme="minorHAnsi"/>
          <w:sz w:val="24"/>
          <w:szCs w:val="24"/>
          <w:lang w:val="en-GB"/>
        </w:rPr>
        <w:t xml:space="preserve"> towards </w:t>
      </w:r>
      <w:r w:rsidR="00FB11DC">
        <w:rPr>
          <w:rFonts w:cstheme="minorHAnsi"/>
          <w:sz w:val="24"/>
          <w:szCs w:val="24"/>
          <w:lang w:val="en-GB"/>
        </w:rPr>
        <w:t>police</w:t>
      </w:r>
      <w:r w:rsidR="00D2688F" w:rsidRPr="00A42282">
        <w:rPr>
          <w:rFonts w:cstheme="minorHAnsi"/>
          <w:sz w:val="24"/>
          <w:szCs w:val="24"/>
          <w:lang w:val="en-GB"/>
        </w:rPr>
        <w:t xml:space="preserve"> misconduct</w:t>
      </w:r>
      <w:r w:rsidRPr="00A42282">
        <w:rPr>
          <w:rFonts w:cstheme="minorHAnsi"/>
          <w:sz w:val="24"/>
          <w:szCs w:val="24"/>
          <w:lang w:val="en-GB"/>
        </w:rPr>
        <w:t xml:space="preserve"> can spread quicker and further, potentially affecting police officers' morale and confidence. Negative media coverage can have a ripple effect and diminish the confidence of excellent officers (Nix and Wolf, 2017). In the case of Wayne </w:t>
      </w:r>
      <w:proofErr w:type="spellStart"/>
      <w:r w:rsidRPr="00A42282">
        <w:rPr>
          <w:rFonts w:cstheme="minorHAnsi"/>
          <w:sz w:val="24"/>
          <w:szCs w:val="24"/>
          <w:lang w:val="en-GB"/>
        </w:rPr>
        <w:t>Couzens</w:t>
      </w:r>
      <w:proofErr w:type="spellEnd"/>
      <w:r w:rsidRPr="00A42282">
        <w:rPr>
          <w:rFonts w:cstheme="minorHAnsi"/>
          <w:sz w:val="24"/>
          <w:szCs w:val="24"/>
          <w:lang w:val="en-GB"/>
        </w:rPr>
        <w:t xml:space="preserve">, for instance, a woman was arrested, assaulted, and murdered. The negative publicity may affect the morale of police officers, </w:t>
      </w:r>
      <w:r w:rsidR="00FB11DC">
        <w:rPr>
          <w:rFonts w:cstheme="minorHAnsi"/>
          <w:sz w:val="24"/>
          <w:szCs w:val="24"/>
          <w:lang w:val="en-GB"/>
        </w:rPr>
        <w:t>even though</w:t>
      </w:r>
      <w:r w:rsidRPr="00A42282">
        <w:rPr>
          <w:rFonts w:cstheme="minorHAnsi"/>
          <w:sz w:val="24"/>
          <w:szCs w:val="24"/>
          <w:lang w:val="en-GB"/>
        </w:rPr>
        <w:t xml:space="preserve"> lessons can be learned to help improve the force, such as enhanced screening procedures. Negative publicity can have a greater impact on policing strategies than positive publicity</w:t>
      </w:r>
      <w:r w:rsidR="000D260C" w:rsidRPr="00A42282">
        <w:rPr>
          <w:rFonts w:cstheme="minorHAnsi"/>
          <w:sz w:val="24"/>
          <w:szCs w:val="24"/>
          <w:lang w:val="en-GB"/>
        </w:rPr>
        <w:t xml:space="preserve"> due to the level of </w:t>
      </w:r>
      <w:r w:rsidR="000D260C" w:rsidRPr="00A42282">
        <w:rPr>
          <w:rFonts w:cstheme="minorHAnsi"/>
          <w:sz w:val="24"/>
          <w:szCs w:val="24"/>
          <w:lang w:val="en-GB"/>
        </w:rPr>
        <w:lastRenderedPageBreak/>
        <w:t>attention</w:t>
      </w:r>
      <w:r w:rsidRPr="00A42282">
        <w:rPr>
          <w:rFonts w:cstheme="minorHAnsi"/>
          <w:sz w:val="24"/>
          <w:szCs w:val="24"/>
          <w:lang w:val="en-GB"/>
        </w:rPr>
        <w:t xml:space="preserve"> (</w:t>
      </w:r>
      <w:proofErr w:type="spellStart"/>
      <w:r w:rsidRPr="00A42282">
        <w:rPr>
          <w:rFonts w:cstheme="minorHAnsi"/>
          <w:sz w:val="24"/>
          <w:szCs w:val="24"/>
          <w:lang w:val="en-GB"/>
        </w:rPr>
        <w:t>Hornik</w:t>
      </w:r>
      <w:proofErr w:type="spellEnd"/>
      <w:r w:rsidRPr="00A42282">
        <w:rPr>
          <w:rFonts w:cstheme="minorHAnsi"/>
          <w:sz w:val="24"/>
          <w:szCs w:val="24"/>
          <w:lang w:val="en-GB"/>
        </w:rPr>
        <w:t xml:space="preserve"> et al., 2015).</w:t>
      </w:r>
      <w:r w:rsidR="009B4C08" w:rsidRPr="00A42282">
        <w:rPr>
          <w:rFonts w:cstheme="minorHAnsi"/>
          <w:sz w:val="24"/>
          <w:szCs w:val="24"/>
          <w:lang w:val="en-GB"/>
        </w:rPr>
        <w:t xml:space="preserve"> </w:t>
      </w:r>
      <w:r w:rsidRPr="00A42282">
        <w:rPr>
          <w:rFonts w:cstheme="minorHAnsi"/>
          <w:sz w:val="24"/>
          <w:szCs w:val="24"/>
          <w:lang w:val="en-GB"/>
        </w:rPr>
        <w:t>The vast majority of police officers protect the public, but their accomplishments are rarely widely publicised in the media. On the other hand, negative incidents involving the police and the general public are extensively reported</w:t>
      </w:r>
      <w:r w:rsidR="000D260C" w:rsidRPr="00A42282">
        <w:rPr>
          <w:rFonts w:cstheme="minorHAnsi"/>
          <w:sz w:val="24"/>
          <w:szCs w:val="24"/>
          <w:lang w:val="en-GB"/>
        </w:rPr>
        <w:t xml:space="preserve"> and </w:t>
      </w:r>
      <w:r w:rsidR="00461A17">
        <w:rPr>
          <w:rFonts w:cstheme="minorHAnsi"/>
          <w:sz w:val="24"/>
          <w:szCs w:val="24"/>
          <w:lang w:val="en-GB"/>
        </w:rPr>
        <w:t>attract</w:t>
      </w:r>
      <w:r w:rsidR="000D260C" w:rsidRPr="00A42282">
        <w:rPr>
          <w:rFonts w:cstheme="minorHAnsi"/>
          <w:sz w:val="24"/>
          <w:szCs w:val="24"/>
          <w:lang w:val="en-GB"/>
        </w:rPr>
        <w:t xml:space="preserve"> great attention on social media </w:t>
      </w:r>
      <w:proofErr w:type="gramStart"/>
      <w:r w:rsidR="000D260C" w:rsidRPr="00A42282">
        <w:rPr>
          <w:rFonts w:cstheme="minorHAnsi"/>
          <w:sz w:val="24"/>
          <w:szCs w:val="24"/>
          <w:lang w:val="en-GB"/>
        </w:rPr>
        <w:t>e.g.</w:t>
      </w:r>
      <w:proofErr w:type="gramEnd"/>
      <w:r w:rsidR="000D260C" w:rsidRPr="00A42282">
        <w:rPr>
          <w:rFonts w:cstheme="minorHAnsi"/>
          <w:sz w:val="24"/>
          <w:szCs w:val="24"/>
          <w:lang w:val="en-GB"/>
        </w:rPr>
        <w:t xml:space="preserve"> with active </w:t>
      </w:r>
      <w:r w:rsidR="00461A17">
        <w:rPr>
          <w:rFonts w:cstheme="minorHAnsi"/>
          <w:sz w:val="24"/>
          <w:szCs w:val="24"/>
          <w:lang w:val="en-GB"/>
        </w:rPr>
        <w:t>types</w:t>
      </w:r>
      <w:r w:rsidR="000D260C" w:rsidRPr="00A42282">
        <w:rPr>
          <w:rFonts w:cstheme="minorHAnsi"/>
          <w:sz w:val="24"/>
          <w:szCs w:val="24"/>
          <w:lang w:val="en-GB"/>
        </w:rPr>
        <w:t xml:space="preserve"> of engagement such as comments/shares</w:t>
      </w:r>
      <w:r w:rsidRPr="00A42282">
        <w:rPr>
          <w:rFonts w:cstheme="minorHAnsi"/>
          <w:sz w:val="24"/>
          <w:szCs w:val="24"/>
          <w:lang w:val="en-GB"/>
        </w:rPr>
        <w:t>, leading to public scrutiny and the need for policing improvements</w:t>
      </w:r>
      <w:r w:rsidR="000D260C" w:rsidRPr="00A42282">
        <w:rPr>
          <w:rFonts w:cstheme="minorHAnsi"/>
          <w:sz w:val="24"/>
          <w:szCs w:val="24"/>
          <w:lang w:val="en-GB"/>
        </w:rPr>
        <w:t xml:space="preserve"> (O’Leary and O’Leary, 2021)</w:t>
      </w:r>
      <w:r w:rsidRPr="00A42282">
        <w:rPr>
          <w:rFonts w:cstheme="minorHAnsi"/>
          <w:sz w:val="24"/>
          <w:szCs w:val="24"/>
          <w:lang w:val="en-GB"/>
        </w:rPr>
        <w:t xml:space="preserve">. </w:t>
      </w:r>
    </w:p>
    <w:p w14:paraId="4B9C1D86" w14:textId="77777777" w:rsidR="000D260C" w:rsidRPr="00A42282" w:rsidRDefault="00F318F4" w:rsidP="00A42282">
      <w:pPr>
        <w:spacing w:line="360" w:lineRule="auto"/>
        <w:jc w:val="both"/>
        <w:rPr>
          <w:rFonts w:cstheme="minorHAnsi"/>
          <w:sz w:val="24"/>
          <w:szCs w:val="24"/>
          <w:lang w:val="en-GB"/>
        </w:rPr>
      </w:pPr>
      <w:r w:rsidRPr="00A42282">
        <w:rPr>
          <w:rFonts w:cstheme="minorHAnsi"/>
          <w:sz w:val="24"/>
          <w:szCs w:val="24"/>
          <w:lang w:val="en-GB"/>
        </w:rPr>
        <w:t xml:space="preserve">Social media has had a significant impact on society, with the majority of the developed world having immediate access to new developments and the ability to share information with the general population. Social media is an effective instrument for locating missing persons because it can rapidly disseminate information to a large audience. There have been studies conducted to enhance police sharing of missing person information on social media platforms (Ferguson and Soave, 202). The use of social media in law enforcement can increase public engagement and trust and aid in the search for missing persons. </w:t>
      </w:r>
    </w:p>
    <w:p w14:paraId="46A526C6" w14:textId="5F96B544" w:rsidR="000D260C" w:rsidRPr="00A42282" w:rsidRDefault="00F318F4" w:rsidP="00A42282">
      <w:pPr>
        <w:spacing w:line="360" w:lineRule="auto"/>
        <w:jc w:val="both"/>
        <w:rPr>
          <w:rFonts w:cstheme="minorHAnsi"/>
          <w:sz w:val="24"/>
          <w:szCs w:val="24"/>
          <w:lang w:val="en-GB"/>
        </w:rPr>
      </w:pPr>
      <w:r w:rsidRPr="00A42282">
        <w:rPr>
          <w:rFonts w:cstheme="minorHAnsi"/>
          <w:sz w:val="24"/>
          <w:szCs w:val="24"/>
          <w:lang w:val="en-GB"/>
        </w:rPr>
        <w:t xml:space="preserve">Although this essay has focused on cases with high media attention, cases with little or no media attention may have the opposite effect, such as diverting resources away from similar cases with less public pressure to resolve. Consequently, it is essential to consider the significance of media coverage in policing strategies, as well as its impact on resource allocation and public perception of policing. The media can also influence public opinion, which can affect police responses to incidents involving public safety. It is also important to note that the effect of media coverage on policing strategies varies depending on the situation and the incident being reported. For instance, incidents involving terrorism or mass shootings may receive more media coverage and have a different effect on policing strategies than incidents involving routine criminal activity. Consequently, it is essential for law enforcement agencies to be flexible and adaptable in their approach to incidents involving public protection, </w:t>
      </w:r>
      <w:r w:rsidR="009B4C08" w:rsidRPr="00A42282">
        <w:rPr>
          <w:rFonts w:cstheme="minorHAnsi"/>
          <w:sz w:val="24"/>
          <w:szCs w:val="24"/>
          <w:lang w:val="en-GB"/>
        </w:rPr>
        <w:t>considering</w:t>
      </w:r>
      <w:r w:rsidRPr="00A42282">
        <w:rPr>
          <w:rFonts w:cstheme="minorHAnsi"/>
          <w:sz w:val="24"/>
          <w:szCs w:val="24"/>
          <w:lang w:val="en-GB"/>
        </w:rPr>
        <w:t xml:space="preserve"> the unique context and circumstances of each case. </w:t>
      </w:r>
    </w:p>
    <w:p w14:paraId="2D8664AE" w14:textId="7062E423" w:rsidR="009B4C08" w:rsidRPr="00A42282" w:rsidRDefault="00F318F4" w:rsidP="00A42282">
      <w:pPr>
        <w:spacing w:line="360" w:lineRule="auto"/>
        <w:jc w:val="both"/>
        <w:rPr>
          <w:rFonts w:cstheme="minorHAnsi"/>
          <w:sz w:val="24"/>
          <w:szCs w:val="24"/>
          <w:lang w:val="en-GB"/>
        </w:rPr>
      </w:pPr>
      <w:r w:rsidRPr="00A42282">
        <w:rPr>
          <w:rFonts w:cstheme="minorHAnsi"/>
          <w:sz w:val="24"/>
          <w:szCs w:val="24"/>
          <w:lang w:val="en-GB"/>
        </w:rPr>
        <w:t xml:space="preserve">In conclusion, media coverage of incidents involving public protection in the United Kingdom can have both positive and negative effects on policing strategies. Negative publicity can </w:t>
      </w:r>
      <w:r w:rsidR="00FB11DC">
        <w:rPr>
          <w:rFonts w:cstheme="minorHAnsi"/>
          <w:sz w:val="24"/>
          <w:szCs w:val="24"/>
          <w:lang w:val="en-GB"/>
        </w:rPr>
        <w:t>harm</w:t>
      </w:r>
      <w:r w:rsidRPr="00A42282">
        <w:rPr>
          <w:rFonts w:cstheme="minorHAnsi"/>
          <w:sz w:val="24"/>
          <w:szCs w:val="24"/>
          <w:lang w:val="en-GB"/>
        </w:rPr>
        <w:t xml:space="preserve"> the morale and confidence of police officers, </w:t>
      </w:r>
      <w:r w:rsidR="00FB11DC">
        <w:rPr>
          <w:rFonts w:cstheme="minorHAnsi"/>
          <w:sz w:val="24"/>
          <w:szCs w:val="24"/>
          <w:lang w:val="en-GB"/>
        </w:rPr>
        <w:t>even though</w:t>
      </w:r>
      <w:r w:rsidRPr="00A42282">
        <w:rPr>
          <w:rFonts w:cstheme="minorHAnsi"/>
          <w:sz w:val="24"/>
          <w:szCs w:val="24"/>
          <w:lang w:val="en-GB"/>
        </w:rPr>
        <w:t xml:space="preserve"> heightened media attention can highlight flaws and contribute to improvements. Social media can be an effective instrument for disseminating information and assisting law enforcement, but it requires careful management to ensure that only accurate information is shared and that public perceptions </w:t>
      </w:r>
      <w:r w:rsidRPr="00A42282">
        <w:rPr>
          <w:rFonts w:cstheme="minorHAnsi"/>
          <w:sz w:val="24"/>
          <w:szCs w:val="24"/>
          <w:lang w:val="en-GB"/>
        </w:rPr>
        <w:lastRenderedPageBreak/>
        <w:t>are not negatively impacted. In order to effectively navigate this dynamic landscape, law enforcement agencies must be proactive in their engagement with the media and adaptable in their approach to public protection incidents.</w:t>
      </w:r>
    </w:p>
    <w:p w14:paraId="5D7F9AB6" w14:textId="77777777" w:rsidR="00FB11DC" w:rsidRDefault="00FB11DC" w:rsidP="00A42282">
      <w:pPr>
        <w:spacing w:line="360" w:lineRule="auto"/>
        <w:jc w:val="both"/>
        <w:rPr>
          <w:rFonts w:eastAsia="Times New Roman" w:cstheme="minorHAnsi"/>
          <w:b/>
          <w:bCs/>
          <w:color w:val="374151"/>
          <w:sz w:val="24"/>
          <w:szCs w:val="24"/>
          <w:lang w:val="en-GB"/>
        </w:rPr>
      </w:pPr>
    </w:p>
    <w:p w14:paraId="73295FB0" w14:textId="77777777" w:rsidR="00FB11DC" w:rsidRDefault="00FB11DC" w:rsidP="00A42282">
      <w:pPr>
        <w:spacing w:line="360" w:lineRule="auto"/>
        <w:jc w:val="both"/>
        <w:rPr>
          <w:rFonts w:eastAsia="Times New Roman" w:cstheme="minorHAnsi"/>
          <w:b/>
          <w:bCs/>
          <w:color w:val="374151"/>
          <w:sz w:val="24"/>
          <w:szCs w:val="24"/>
          <w:lang w:val="en-GB"/>
        </w:rPr>
      </w:pPr>
    </w:p>
    <w:p w14:paraId="26AC3FEF" w14:textId="77777777" w:rsidR="00FB11DC" w:rsidRDefault="00FB11DC" w:rsidP="00A42282">
      <w:pPr>
        <w:spacing w:line="360" w:lineRule="auto"/>
        <w:jc w:val="both"/>
        <w:rPr>
          <w:rFonts w:eastAsia="Times New Roman" w:cstheme="minorHAnsi"/>
          <w:b/>
          <w:bCs/>
          <w:color w:val="374151"/>
          <w:sz w:val="24"/>
          <w:szCs w:val="24"/>
          <w:lang w:val="en-GB"/>
        </w:rPr>
      </w:pPr>
    </w:p>
    <w:p w14:paraId="394458CF" w14:textId="77777777" w:rsidR="00FB11DC" w:rsidRDefault="00FB11DC" w:rsidP="00A42282">
      <w:pPr>
        <w:spacing w:line="360" w:lineRule="auto"/>
        <w:jc w:val="both"/>
        <w:rPr>
          <w:rFonts w:eastAsia="Times New Roman" w:cstheme="minorHAnsi"/>
          <w:b/>
          <w:bCs/>
          <w:color w:val="374151"/>
          <w:sz w:val="24"/>
          <w:szCs w:val="24"/>
          <w:lang w:val="en-GB"/>
        </w:rPr>
      </w:pPr>
    </w:p>
    <w:p w14:paraId="0DD0EDCE" w14:textId="77777777" w:rsidR="00FB11DC" w:rsidRDefault="00FB11DC" w:rsidP="00A42282">
      <w:pPr>
        <w:spacing w:line="360" w:lineRule="auto"/>
        <w:jc w:val="both"/>
        <w:rPr>
          <w:rFonts w:eastAsia="Times New Roman" w:cstheme="minorHAnsi"/>
          <w:b/>
          <w:bCs/>
          <w:color w:val="374151"/>
          <w:sz w:val="24"/>
          <w:szCs w:val="24"/>
          <w:lang w:val="en-GB"/>
        </w:rPr>
      </w:pPr>
    </w:p>
    <w:p w14:paraId="5B851A47" w14:textId="77777777" w:rsidR="00FB11DC" w:rsidRDefault="00FB11DC" w:rsidP="00A42282">
      <w:pPr>
        <w:spacing w:line="360" w:lineRule="auto"/>
        <w:jc w:val="both"/>
        <w:rPr>
          <w:rFonts w:eastAsia="Times New Roman" w:cstheme="minorHAnsi"/>
          <w:b/>
          <w:bCs/>
          <w:color w:val="374151"/>
          <w:sz w:val="24"/>
          <w:szCs w:val="24"/>
          <w:lang w:val="en-GB"/>
        </w:rPr>
      </w:pPr>
    </w:p>
    <w:p w14:paraId="7747B07E" w14:textId="77777777" w:rsidR="00FB11DC" w:rsidRDefault="00FB11DC" w:rsidP="00A42282">
      <w:pPr>
        <w:spacing w:line="360" w:lineRule="auto"/>
        <w:jc w:val="both"/>
        <w:rPr>
          <w:rFonts w:eastAsia="Times New Roman" w:cstheme="minorHAnsi"/>
          <w:b/>
          <w:bCs/>
          <w:color w:val="374151"/>
          <w:sz w:val="24"/>
          <w:szCs w:val="24"/>
          <w:lang w:val="en-GB"/>
        </w:rPr>
      </w:pPr>
    </w:p>
    <w:p w14:paraId="12BCF44C" w14:textId="77777777" w:rsidR="00FB11DC" w:rsidRDefault="00FB11DC" w:rsidP="00A42282">
      <w:pPr>
        <w:spacing w:line="360" w:lineRule="auto"/>
        <w:jc w:val="both"/>
        <w:rPr>
          <w:rFonts w:eastAsia="Times New Roman" w:cstheme="minorHAnsi"/>
          <w:b/>
          <w:bCs/>
          <w:color w:val="374151"/>
          <w:sz w:val="24"/>
          <w:szCs w:val="24"/>
          <w:lang w:val="en-GB"/>
        </w:rPr>
      </w:pPr>
    </w:p>
    <w:p w14:paraId="47A33935" w14:textId="77777777" w:rsidR="00FB11DC" w:rsidRDefault="00FB11DC" w:rsidP="00A42282">
      <w:pPr>
        <w:spacing w:line="360" w:lineRule="auto"/>
        <w:jc w:val="both"/>
        <w:rPr>
          <w:rFonts w:eastAsia="Times New Roman" w:cstheme="minorHAnsi"/>
          <w:b/>
          <w:bCs/>
          <w:color w:val="374151"/>
          <w:sz w:val="24"/>
          <w:szCs w:val="24"/>
          <w:lang w:val="en-GB"/>
        </w:rPr>
      </w:pPr>
    </w:p>
    <w:p w14:paraId="51588F3B" w14:textId="77777777" w:rsidR="00FB11DC" w:rsidRDefault="00FB11DC" w:rsidP="00A42282">
      <w:pPr>
        <w:spacing w:line="360" w:lineRule="auto"/>
        <w:jc w:val="both"/>
        <w:rPr>
          <w:rFonts w:eastAsia="Times New Roman" w:cstheme="minorHAnsi"/>
          <w:b/>
          <w:bCs/>
          <w:color w:val="374151"/>
          <w:sz w:val="24"/>
          <w:szCs w:val="24"/>
          <w:lang w:val="en-GB"/>
        </w:rPr>
      </w:pPr>
    </w:p>
    <w:p w14:paraId="1DD246A7" w14:textId="77777777" w:rsidR="00FB11DC" w:rsidRDefault="00FB11DC" w:rsidP="00A42282">
      <w:pPr>
        <w:spacing w:line="360" w:lineRule="auto"/>
        <w:jc w:val="both"/>
        <w:rPr>
          <w:rFonts w:eastAsia="Times New Roman" w:cstheme="minorHAnsi"/>
          <w:b/>
          <w:bCs/>
          <w:color w:val="374151"/>
          <w:sz w:val="24"/>
          <w:szCs w:val="24"/>
          <w:lang w:val="en-GB"/>
        </w:rPr>
      </w:pPr>
    </w:p>
    <w:p w14:paraId="75350D93" w14:textId="77777777" w:rsidR="00FB11DC" w:rsidRDefault="00FB11DC" w:rsidP="00A42282">
      <w:pPr>
        <w:spacing w:line="360" w:lineRule="auto"/>
        <w:jc w:val="both"/>
        <w:rPr>
          <w:rFonts w:eastAsia="Times New Roman" w:cstheme="minorHAnsi"/>
          <w:b/>
          <w:bCs/>
          <w:color w:val="374151"/>
          <w:sz w:val="24"/>
          <w:szCs w:val="24"/>
          <w:lang w:val="en-GB"/>
        </w:rPr>
      </w:pPr>
    </w:p>
    <w:p w14:paraId="0AEBF14E" w14:textId="77777777" w:rsidR="00FB11DC" w:rsidRDefault="00FB11DC" w:rsidP="00A42282">
      <w:pPr>
        <w:spacing w:line="360" w:lineRule="auto"/>
        <w:jc w:val="both"/>
        <w:rPr>
          <w:rFonts w:eastAsia="Times New Roman" w:cstheme="minorHAnsi"/>
          <w:b/>
          <w:bCs/>
          <w:color w:val="374151"/>
          <w:sz w:val="24"/>
          <w:szCs w:val="24"/>
          <w:lang w:val="en-GB"/>
        </w:rPr>
      </w:pPr>
    </w:p>
    <w:p w14:paraId="25854620" w14:textId="77777777" w:rsidR="00FB11DC" w:rsidRDefault="00FB11DC" w:rsidP="00A42282">
      <w:pPr>
        <w:spacing w:line="360" w:lineRule="auto"/>
        <w:jc w:val="both"/>
        <w:rPr>
          <w:rFonts w:eastAsia="Times New Roman" w:cstheme="minorHAnsi"/>
          <w:b/>
          <w:bCs/>
          <w:color w:val="374151"/>
          <w:sz w:val="24"/>
          <w:szCs w:val="24"/>
          <w:lang w:val="en-GB"/>
        </w:rPr>
      </w:pPr>
    </w:p>
    <w:p w14:paraId="1E0DAAD1" w14:textId="77777777" w:rsidR="00FB11DC" w:rsidRDefault="00FB11DC" w:rsidP="00A42282">
      <w:pPr>
        <w:spacing w:line="360" w:lineRule="auto"/>
        <w:jc w:val="both"/>
        <w:rPr>
          <w:rFonts w:eastAsia="Times New Roman" w:cstheme="minorHAnsi"/>
          <w:b/>
          <w:bCs/>
          <w:color w:val="374151"/>
          <w:sz w:val="24"/>
          <w:szCs w:val="24"/>
          <w:lang w:val="en-GB"/>
        </w:rPr>
      </w:pPr>
    </w:p>
    <w:p w14:paraId="0B70056D" w14:textId="77777777" w:rsidR="00FB11DC" w:rsidRDefault="00FB11DC" w:rsidP="00A42282">
      <w:pPr>
        <w:spacing w:line="360" w:lineRule="auto"/>
        <w:jc w:val="both"/>
        <w:rPr>
          <w:rFonts w:eastAsia="Times New Roman" w:cstheme="minorHAnsi"/>
          <w:b/>
          <w:bCs/>
          <w:color w:val="374151"/>
          <w:sz w:val="24"/>
          <w:szCs w:val="24"/>
          <w:lang w:val="en-GB"/>
        </w:rPr>
      </w:pPr>
    </w:p>
    <w:p w14:paraId="2CD6453E" w14:textId="77777777" w:rsidR="00FB11DC" w:rsidRDefault="00FB11DC" w:rsidP="00A42282">
      <w:pPr>
        <w:spacing w:line="360" w:lineRule="auto"/>
        <w:jc w:val="both"/>
        <w:rPr>
          <w:rFonts w:eastAsia="Times New Roman" w:cstheme="minorHAnsi"/>
          <w:b/>
          <w:bCs/>
          <w:color w:val="374151"/>
          <w:sz w:val="24"/>
          <w:szCs w:val="24"/>
          <w:lang w:val="en-GB"/>
        </w:rPr>
      </w:pPr>
    </w:p>
    <w:p w14:paraId="16FC5864" w14:textId="77777777" w:rsidR="00FB11DC" w:rsidRDefault="00FB11DC" w:rsidP="00A42282">
      <w:pPr>
        <w:spacing w:line="360" w:lineRule="auto"/>
        <w:jc w:val="both"/>
        <w:rPr>
          <w:rFonts w:eastAsia="Times New Roman" w:cstheme="minorHAnsi"/>
          <w:b/>
          <w:bCs/>
          <w:color w:val="374151"/>
          <w:sz w:val="24"/>
          <w:szCs w:val="24"/>
          <w:lang w:val="en-GB"/>
        </w:rPr>
      </w:pPr>
    </w:p>
    <w:p w14:paraId="100E49DE" w14:textId="77777777" w:rsidR="00FB11DC" w:rsidRDefault="00FB11DC" w:rsidP="00A42282">
      <w:pPr>
        <w:spacing w:line="360" w:lineRule="auto"/>
        <w:jc w:val="both"/>
        <w:rPr>
          <w:rFonts w:eastAsia="Times New Roman" w:cstheme="minorHAnsi"/>
          <w:b/>
          <w:bCs/>
          <w:color w:val="374151"/>
          <w:sz w:val="24"/>
          <w:szCs w:val="24"/>
          <w:lang w:val="en-GB"/>
        </w:rPr>
      </w:pPr>
    </w:p>
    <w:p w14:paraId="6E9D88D6" w14:textId="77777777" w:rsidR="00FB11DC" w:rsidRDefault="00FB11DC" w:rsidP="00A42282">
      <w:pPr>
        <w:spacing w:line="360" w:lineRule="auto"/>
        <w:jc w:val="both"/>
        <w:rPr>
          <w:rFonts w:eastAsia="Times New Roman" w:cstheme="minorHAnsi"/>
          <w:b/>
          <w:bCs/>
          <w:color w:val="374151"/>
          <w:sz w:val="24"/>
          <w:szCs w:val="24"/>
          <w:lang w:val="en-GB"/>
        </w:rPr>
      </w:pPr>
    </w:p>
    <w:p w14:paraId="2FD02E5B" w14:textId="32407A38" w:rsidR="007614E3" w:rsidRPr="00A42282" w:rsidRDefault="007614E3" w:rsidP="00A42282">
      <w:pPr>
        <w:spacing w:line="360" w:lineRule="auto"/>
        <w:jc w:val="both"/>
        <w:rPr>
          <w:rFonts w:eastAsia="Times New Roman" w:cstheme="minorHAnsi"/>
          <w:b/>
          <w:bCs/>
          <w:color w:val="374151"/>
          <w:sz w:val="24"/>
          <w:szCs w:val="24"/>
          <w:lang w:val="en-GB"/>
        </w:rPr>
      </w:pPr>
      <w:r w:rsidRPr="00A42282">
        <w:rPr>
          <w:rFonts w:eastAsia="Times New Roman" w:cstheme="minorHAnsi"/>
          <w:b/>
          <w:bCs/>
          <w:color w:val="374151"/>
          <w:sz w:val="24"/>
          <w:szCs w:val="24"/>
          <w:lang w:val="en-GB"/>
        </w:rPr>
        <w:t>References</w:t>
      </w:r>
    </w:p>
    <w:p w14:paraId="4E175842" w14:textId="77777777" w:rsidR="00A42282" w:rsidRPr="00A42282" w:rsidRDefault="00A42282" w:rsidP="00A42282">
      <w:pPr>
        <w:spacing w:line="360" w:lineRule="auto"/>
        <w:jc w:val="both"/>
        <w:rPr>
          <w:rFonts w:eastAsia="Times New Roman" w:cstheme="minorHAnsi"/>
          <w:sz w:val="24"/>
          <w:szCs w:val="24"/>
          <w:lang w:val="en-GB"/>
        </w:rPr>
      </w:pPr>
      <w:r w:rsidRPr="00A42282">
        <w:rPr>
          <w:rFonts w:eastAsia="Times New Roman" w:cstheme="minorHAnsi"/>
          <w:sz w:val="24"/>
          <w:szCs w:val="24"/>
          <w:lang w:val="en-GB"/>
        </w:rPr>
        <w:lastRenderedPageBreak/>
        <w:t>Ely, R.J. and Thomas, D.A., 2001. Cultural diversity at work: The effects of diversity perspectives on work group processes and outcomes. Administrative science quarterly, 46(2), pp.229-273.</w:t>
      </w:r>
    </w:p>
    <w:p w14:paraId="70A1AD6C" w14:textId="04CD914B" w:rsidR="00A42282" w:rsidRPr="00A42282" w:rsidRDefault="00A42282" w:rsidP="00A42282">
      <w:pPr>
        <w:spacing w:line="360" w:lineRule="auto"/>
        <w:jc w:val="both"/>
        <w:rPr>
          <w:rFonts w:eastAsia="Times New Roman" w:cstheme="minorHAnsi"/>
          <w:sz w:val="24"/>
          <w:szCs w:val="24"/>
          <w:lang w:val="en-GB"/>
        </w:rPr>
      </w:pPr>
      <w:r w:rsidRPr="00A42282">
        <w:rPr>
          <w:rFonts w:eastAsia="Times New Roman" w:cstheme="minorHAnsi"/>
          <w:sz w:val="24"/>
          <w:szCs w:val="24"/>
          <w:lang w:val="en-GB"/>
        </w:rPr>
        <w:t xml:space="preserve">Ferguson, L. and Soave, V., 2021. # Missing to# Found: Exploring police Twitter use for missing </w:t>
      </w:r>
      <w:r w:rsidR="00FB11DC">
        <w:rPr>
          <w:rFonts w:eastAsia="Times New Roman" w:cstheme="minorHAnsi"/>
          <w:sz w:val="24"/>
          <w:szCs w:val="24"/>
          <w:lang w:val="en-GB"/>
        </w:rPr>
        <w:t>person</w:t>
      </w:r>
      <w:r w:rsidRPr="00A42282">
        <w:rPr>
          <w:rFonts w:eastAsia="Times New Roman" w:cstheme="minorHAnsi"/>
          <w:sz w:val="24"/>
          <w:szCs w:val="24"/>
          <w:lang w:val="en-GB"/>
        </w:rPr>
        <w:t xml:space="preserve"> investigations. Police Practice and Research, 22(1), pp.869-885.</w:t>
      </w:r>
    </w:p>
    <w:p w14:paraId="0586F316" w14:textId="77777777" w:rsidR="00A42282" w:rsidRPr="00A42282" w:rsidRDefault="00A42282" w:rsidP="00A42282">
      <w:pPr>
        <w:spacing w:line="360" w:lineRule="auto"/>
        <w:jc w:val="both"/>
        <w:rPr>
          <w:rFonts w:cstheme="minorHAnsi"/>
          <w:sz w:val="24"/>
          <w:szCs w:val="24"/>
          <w:shd w:val="clear" w:color="auto" w:fill="FFFFFF"/>
          <w:lang w:val="en-GB"/>
        </w:rPr>
      </w:pPr>
      <w:r w:rsidRPr="00A42282">
        <w:rPr>
          <w:rFonts w:cstheme="minorHAnsi"/>
          <w:sz w:val="24"/>
          <w:szCs w:val="24"/>
          <w:shd w:val="clear" w:color="auto" w:fill="FFFFFF"/>
          <w:lang w:val="en-GB"/>
        </w:rPr>
        <w:t>Graziano, L.M. and Gauthier, J.F., 2018. Media consumption and perceptions of police legitimacy. </w:t>
      </w:r>
      <w:r w:rsidRPr="00A42282">
        <w:rPr>
          <w:rFonts w:cstheme="minorHAnsi"/>
          <w:i/>
          <w:iCs/>
          <w:sz w:val="24"/>
          <w:szCs w:val="24"/>
          <w:shd w:val="clear" w:color="auto" w:fill="FFFFFF"/>
          <w:lang w:val="en-GB"/>
        </w:rPr>
        <w:t>Policing: an international journal</w:t>
      </w:r>
      <w:r w:rsidRPr="00A42282">
        <w:rPr>
          <w:rFonts w:cstheme="minorHAnsi"/>
          <w:sz w:val="24"/>
          <w:szCs w:val="24"/>
          <w:shd w:val="clear" w:color="auto" w:fill="FFFFFF"/>
          <w:lang w:val="en-GB"/>
        </w:rPr>
        <w:t>.</w:t>
      </w:r>
    </w:p>
    <w:p w14:paraId="2528475E" w14:textId="77777777" w:rsidR="00A42282" w:rsidRPr="00A42282" w:rsidRDefault="00A42282" w:rsidP="00A42282">
      <w:pPr>
        <w:spacing w:line="360" w:lineRule="auto"/>
        <w:jc w:val="both"/>
        <w:rPr>
          <w:rFonts w:cstheme="minorHAnsi"/>
          <w:sz w:val="24"/>
          <w:szCs w:val="24"/>
          <w:shd w:val="clear" w:color="auto" w:fill="FFFFFF"/>
          <w:lang w:val="en-GB"/>
        </w:rPr>
      </w:pPr>
      <w:r w:rsidRPr="00A42282">
        <w:rPr>
          <w:rFonts w:cstheme="minorHAnsi"/>
          <w:sz w:val="24"/>
          <w:szCs w:val="24"/>
          <w:shd w:val="clear" w:color="auto" w:fill="FFFFFF"/>
          <w:lang w:val="en-GB"/>
        </w:rPr>
        <w:t>Graziano, L.M., 2018. News media and perceptions of police: A state-of-the-art-review. </w:t>
      </w:r>
      <w:r w:rsidRPr="00A42282">
        <w:rPr>
          <w:rFonts w:cstheme="minorHAnsi"/>
          <w:i/>
          <w:iCs/>
          <w:sz w:val="24"/>
          <w:szCs w:val="24"/>
          <w:shd w:val="clear" w:color="auto" w:fill="FFFFFF"/>
          <w:lang w:val="en-GB"/>
        </w:rPr>
        <w:t>Policing: an international journal</w:t>
      </w:r>
      <w:r w:rsidRPr="00A42282">
        <w:rPr>
          <w:rFonts w:cstheme="minorHAnsi"/>
          <w:sz w:val="24"/>
          <w:szCs w:val="24"/>
          <w:shd w:val="clear" w:color="auto" w:fill="FFFFFF"/>
          <w:lang w:val="en-GB"/>
        </w:rPr>
        <w:t>, </w:t>
      </w:r>
      <w:r w:rsidRPr="00A42282">
        <w:rPr>
          <w:rFonts w:cstheme="minorHAnsi"/>
          <w:i/>
          <w:iCs/>
          <w:sz w:val="24"/>
          <w:szCs w:val="24"/>
          <w:shd w:val="clear" w:color="auto" w:fill="FFFFFF"/>
          <w:lang w:val="en-GB"/>
        </w:rPr>
        <w:t>42</w:t>
      </w:r>
      <w:r w:rsidRPr="00A42282">
        <w:rPr>
          <w:rFonts w:cstheme="minorHAnsi"/>
          <w:sz w:val="24"/>
          <w:szCs w:val="24"/>
          <w:shd w:val="clear" w:color="auto" w:fill="FFFFFF"/>
          <w:lang w:val="en-GB"/>
        </w:rPr>
        <w:t>(2), pp.209-225.</w:t>
      </w:r>
    </w:p>
    <w:p w14:paraId="1546B9B7" w14:textId="3B167B0D" w:rsidR="00A42282" w:rsidRPr="00A42282" w:rsidRDefault="00A42282" w:rsidP="00A42282">
      <w:pPr>
        <w:spacing w:line="360" w:lineRule="auto"/>
        <w:jc w:val="both"/>
        <w:rPr>
          <w:rFonts w:eastAsia="Times New Roman" w:cstheme="minorHAnsi"/>
          <w:sz w:val="24"/>
          <w:szCs w:val="24"/>
          <w:lang w:val="en-GB"/>
        </w:rPr>
      </w:pPr>
      <w:proofErr w:type="spellStart"/>
      <w:r w:rsidRPr="00A42282">
        <w:rPr>
          <w:rFonts w:eastAsia="Times New Roman" w:cstheme="minorHAnsi"/>
          <w:sz w:val="24"/>
          <w:szCs w:val="24"/>
          <w:lang w:val="en-GB"/>
        </w:rPr>
        <w:t>Hornik</w:t>
      </w:r>
      <w:proofErr w:type="spellEnd"/>
      <w:r w:rsidRPr="00A42282">
        <w:rPr>
          <w:rFonts w:eastAsia="Times New Roman" w:cstheme="minorHAnsi"/>
          <w:sz w:val="24"/>
          <w:szCs w:val="24"/>
          <w:lang w:val="en-GB"/>
        </w:rPr>
        <w:t xml:space="preserve">, J., </w:t>
      </w:r>
      <w:proofErr w:type="spellStart"/>
      <w:r w:rsidRPr="00A42282">
        <w:rPr>
          <w:rFonts w:eastAsia="Times New Roman" w:cstheme="minorHAnsi"/>
          <w:sz w:val="24"/>
          <w:szCs w:val="24"/>
          <w:lang w:val="en-GB"/>
        </w:rPr>
        <w:t>Satchi</w:t>
      </w:r>
      <w:proofErr w:type="spellEnd"/>
      <w:r w:rsidRPr="00A42282">
        <w:rPr>
          <w:rFonts w:eastAsia="Times New Roman" w:cstheme="minorHAnsi"/>
          <w:sz w:val="24"/>
          <w:szCs w:val="24"/>
          <w:lang w:val="en-GB"/>
        </w:rPr>
        <w:t xml:space="preserve">, R.S., </w:t>
      </w:r>
      <w:proofErr w:type="spellStart"/>
      <w:r w:rsidRPr="00A42282">
        <w:rPr>
          <w:rFonts w:eastAsia="Times New Roman" w:cstheme="minorHAnsi"/>
          <w:sz w:val="24"/>
          <w:szCs w:val="24"/>
          <w:lang w:val="en-GB"/>
        </w:rPr>
        <w:t>Cesareo</w:t>
      </w:r>
      <w:proofErr w:type="spellEnd"/>
      <w:r w:rsidRPr="00A42282">
        <w:rPr>
          <w:rFonts w:eastAsia="Times New Roman" w:cstheme="minorHAnsi"/>
          <w:sz w:val="24"/>
          <w:szCs w:val="24"/>
          <w:lang w:val="en-GB"/>
        </w:rPr>
        <w:t xml:space="preserve">, L. and Pastore, A., 2015. Information dissemination via electronic word-of-mouth: </w:t>
      </w:r>
      <w:proofErr w:type="gramStart"/>
      <w:r w:rsidRPr="00A42282">
        <w:rPr>
          <w:rFonts w:eastAsia="Times New Roman" w:cstheme="minorHAnsi"/>
          <w:sz w:val="24"/>
          <w:szCs w:val="24"/>
          <w:lang w:val="en-GB"/>
        </w:rPr>
        <w:t>Good</w:t>
      </w:r>
      <w:proofErr w:type="gramEnd"/>
      <w:r w:rsidRPr="00A42282">
        <w:rPr>
          <w:rFonts w:eastAsia="Times New Roman" w:cstheme="minorHAnsi"/>
          <w:sz w:val="24"/>
          <w:szCs w:val="24"/>
          <w:lang w:val="en-GB"/>
        </w:rPr>
        <w:t xml:space="preserve"> news travels fast, bad news travels faster</w:t>
      </w:r>
      <w:r w:rsidR="00FB11DC">
        <w:rPr>
          <w:rFonts w:eastAsia="Times New Roman" w:cstheme="minorHAnsi"/>
          <w:sz w:val="24"/>
          <w:szCs w:val="24"/>
          <w:lang w:val="en-GB"/>
        </w:rPr>
        <w:t>!</w:t>
      </w:r>
      <w:r w:rsidRPr="00A42282">
        <w:rPr>
          <w:rFonts w:eastAsia="Times New Roman" w:cstheme="minorHAnsi"/>
          <w:sz w:val="24"/>
          <w:szCs w:val="24"/>
          <w:lang w:val="en-GB"/>
        </w:rPr>
        <w:t xml:space="preserve"> Computers in Human </w:t>
      </w:r>
      <w:proofErr w:type="spellStart"/>
      <w:r w:rsidRPr="00A42282">
        <w:rPr>
          <w:rFonts w:eastAsia="Times New Roman" w:cstheme="minorHAnsi"/>
          <w:sz w:val="24"/>
          <w:szCs w:val="24"/>
          <w:lang w:val="en-GB"/>
        </w:rPr>
        <w:t>Behavior</w:t>
      </w:r>
      <w:proofErr w:type="spellEnd"/>
      <w:r w:rsidRPr="00A42282">
        <w:rPr>
          <w:rFonts w:eastAsia="Times New Roman" w:cstheme="minorHAnsi"/>
          <w:sz w:val="24"/>
          <w:szCs w:val="24"/>
          <w:lang w:val="en-GB"/>
        </w:rPr>
        <w:t>, 45, pp.273-280.</w:t>
      </w:r>
    </w:p>
    <w:p w14:paraId="554F6FC8" w14:textId="77777777" w:rsidR="00A42282" w:rsidRPr="00A42282" w:rsidRDefault="00A42282" w:rsidP="00A42282">
      <w:pPr>
        <w:spacing w:line="360" w:lineRule="auto"/>
        <w:jc w:val="both"/>
        <w:rPr>
          <w:rFonts w:cstheme="minorHAnsi"/>
          <w:sz w:val="24"/>
          <w:szCs w:val="24"/>
          <w:shd w:val="clear" w:color="auto" w:fill="FFFFFF"/>
          <w:lang w:val="en-GB"/>
        </w:rPr>
      </w:pPr>
      <w:bookmarkStart w:id="1" w:name="_Hlk134195832"/>
      <w:r w:rsidRPr="00A42282">
        <w:rPr>
          <w:rFonts w:cstheme="minorHAnsi"/>
          <w:sz w:val="24"/>
          <w:szCs w:val="24"/>
          <w:shd w:val="clear" w:color="auto" w:fill="FFFFFF"/>
          <w:lang w:val="en-GB"/>
        </w:rPr>
        <w:t>Lawrence, R.G., 2022. </w:t>
      </w:r>
      <w:r w:rsidRPr="00A42282">
        <w:rPr>
          <w:rFonts w:cstheme="minorHAnsi"/>
          <w:i/>
          <w:iCs/>
          <w:sz w:val="24"/>
          <w:szCs w:val="24"/>
          <w:shd w:val="clear" w:color="auto" w:fill="FFFFFF"/>
          <w:lang w:val="en-GB"/>
        </w:rPr>
        <w:t>The politics of force: Media and the construction of police brutality</w:t>
      </w:r>
      <w:r w:rsidRPr="00A42282">
        <w:rPr>
          <w:rFonts w:cstheme="minorHAnsi"/>
          <w:sz w:val="24"/>
          <w:szCs w:val="24"/>
          <w:shd w:val="clear" w:color="auto" w:fill="FFFFFF"/>
          <w:lang w:val="en-GB"/>
        </w:rPr>
        <w:t>. Oxford University Press.</w:t>
      </w:r>
    </w:p>
    <w:p w14:paraId="63801E60" w14:textId="77777777" w:rsidR="00A42282" w:rsidRPr="00A42282" w:rsidRDefault="00A42282" w:rsidP="00A42282">
      <w:pPr>
        <w:spacing w:line="360" w:lineRule="auto"/>
        <w:jc w:val="both"/>
        <w:rPr>
          <w:rFonts w:eastAsia="Times New Roman" w:cstheme="minorHAnsi"/>
          <w:sz w:val="24"/>
          <w:szCs w:val="24"/>
          <w:lang w:val="en-GB"/>
        </w:rPr>
      </w:pPr>
      <w:r w:rsidRPr="00A42282">
        <w:rPr>
          <w:rFonts w:eastAsia="Times New Roman" w:cstheme="minorHAnsi"/>
          <w:sz w:val="24"/>
          <w:szCs w:val="24"/>
          <w:lang w:val="en-GB"/>
        </w:rPr>
        <w:t>Lea, J., 2013. Institutional racism in policing: the Macpherson report and its consequences. In The new politics of crime and punishment (pp. 48-70). Willan.</w:t>
      </w:r>
    </w:p>
    <w:p w14:paraId="451A3718" w14:textId="6510C701" w:rsidR="00A42282" w:rsidRPr="00A42282" w:rsidRDefault="00A42282" w:rsidP="00A42282">
      <w:pPr>
        <w:spacing w:line="360" w:lineRule="auto"/>
        <w:jc w:val="both"/>
        <w:rPr>
          <w:rFonts w:eastAsia="Times New Roman" w:cstheme="minorHAnsi"/>
          <w:sz w:val="24"/>
          <w:szCs w:val="24"/>
          <w:lang w:val="en-GB"/>
        </w:rPr>
      </w:pPr>
      <w:r w:rsidRPr="00A42282">
        <w:rPr>
          <w:rFonts w:eastAsia="Times New Roman" w:cstheme="minorHAnsi"/>
          <w:sz w:val="24"/>
          <w:szCs w:val="24"/>
          <w:lang w:val="en-GB"/>
        </w:rPr>
        <w:t xml:space="preserve">Nix, J. and Wolfe, S.E., 2017. The impact of negative publicity on police self-legitimacy. Justice </w:t>
      </w:r>
      <w:r w:rsidR="00FB11DC">
        <w:rPr>
          <w:rFonts w:eastAsia="Times New Roman" w:cstheme="minorHAnsi"/>
          <w:sz w:val="24"/>
          <w:szCs w:val="24"/>
          <w:lang w:val="en-GB"/>
        </w:rPr>
        <w:t>Quarterly</w:t>
      </w:r>
      <w:r w:rsidRPr="00A42282">
        <w:rPr>
          <w:rFonts w:eastAsia="Times New Roman" w:cstheme="minorHAnsi"/>
          <w:sz w:val="24"/>
          <w:szCs w:val="24"/>
          <w:lang w:val="en-GB"/>
        </w:rPr>
        <w:t>, 34(1), pp.84-108.</w:t>
      </w:r>
    </w:p>
    <w:p w14:paraId="32E957B0" w14:textId="16B7634B" w:rsidR="00FB11DC" w:rsidRDefault="00A42282" w:rsidP="00A42282">
      <w:pPr>
        <w:spacing w:line="360" w:lineRule="auto"/>
        <w:jc w:val="both"/>
        <w:rPr>
          <w:rFonts w:cstheme="minorHAnsi"/>
          <w:sz w:val="24"/>
          <w:szCs w:val="24"/>
          <w:shd w:val="clear" w:color="auto" w:fill="FFFFFF"/>
          <w:lang w:val="en-GB"/>
        </w:rPr>
      </w:pPr>
      <w:r w:rsidRPr="00A42282">
        <w:rPr>
          <w:rFonts w:cstheme="minorHAnsi"/>
          <w:sz w:val="24"/>
          <w:szCs w:val="24"/>
          <w:shd w:val="clear" w:color="auto" w:fill="FFFFFF"/>
          <w:lang w:val="en-GB"/>
        </w:rPr>
        <w:t>O’Leary, N. and O’Leary, N., 2021. Crime News, Media and Identity. </w:t>
      </w:r>
      <w:r w:rsidRPr="00A42282">
        <w:rPr>
          <w:rFonts w:cstheme="minorHAnsi"/>
          <w:i/>
          <w:iCs/>
          <w:sz w:val="24"/>
          <w:szCs w:val="24"/>
          <w:shd w:val="clear" w:color="auto" w:fill="FFFFFF"/>
          <w:lang w:val="en-GB"/>
        </w:rPr>
        <w:t>A Victim Community: Stigma and the Media Legacy of High-Profile Crime</w:t>
      </w:r>
      <w:r w:rsidRPr="00A42282">
        <w:rPr>
          <w:rFonts w:cstheme="minorHAnsi"/>
          <w:sz w:val="24"/>
          <w:szCs w:val="24"/>
          <w:shd w:val="clear" w:color="auto" w:fill="FFFFFF"/>
          <w:lang w:val="en-GB"/>
        </w:rPr>
        <w:t>, pp.61-88.</w:t>
      </w:r>
    </w:p>
    <w:p w14:paraId="19C074FA" w14:textId="7EA60B27" w:rsidR="00FB11DC" w:rsidRPr="00A42282" w:rsidRDefault="00FB11DC" w:rsidP="00A42282">
      <w:pPr>
        <w:spacing w:line="360" w:lineRule="auto"/>
        <w:jc w:val="both"/>
        <w:rPr>
          <w:rFonts w:cstheme="minorHAnsi"/>
          <w:sz w:val="24"/>
          <w:szCs w:val="24"/>
          <w:shd w:val="clear" w:color="auto" w:fill="FFFFFF"/>
          <w:lang w:val="en-GB"/>
        </w:rPr>
        <w:sectPr w:rsidR="00FB11DC" w:rsidRPr="00A42282">
          <w:pgSz w:w="11906" w:h="16838"/>
          <w:pgMar w:top="1440" w:right="1440" w:bottom="1440" w:left="1440" w:header="708" w:footer="708" w:gutter="0"/>
          <w:cols w:space="708"/>
          <w:docGrid w:linePitch="360"/>
        </w:sectPr>
      </w:pPr>
      <w:r w:rsidRPr="00FB11DC">
        <w:rPr>
          <w:rFonts w:cstheme="minorHAnsi"/>
          <w:sz w:val="24"/>
          <w:szCs w:val="24"/>
          <w:shd w:val="clear" w:color="auto" w:fill="FFFFFF"/>
          <w:lang w:val="en-GB"/>
        </w:rPr>
        <w:t>Walsh, J.P. and O'Connor, C., 2019. Social media and policing: A review of recent research. Sociology compass, 13(1), p.e12648</w:t>
      </w:r>
      <w:r>
        <w:rPr>
          <w:rFonts w:cstheme="minorHAnsi"/>
          <w:sz w:val="24"/>
          <w:szCs w:val="24"/>
          <w:shd w:val="clear" w:color="auto" w:fill="FFFFFF"/>
          <w:lang w:val="en-GB"/>
        </w:rPr>
        <w:t xml:space="preserve">. </w:t>
      </w:r>
    </w:p>
    <w:bookmarkEnd w:id="1"/>
    <w:p w14:paraId="2427BF44" w14:textId="223C38C2" w:rsidR="00F318F4" w:rsidRPr="00A42282" w:rsidRDefault="00F318F4" w:rsidP="00A42282">
      <w:pPr>
        <w:pStyle w:val="Heading1"/>
        <w:jc w:val="both"/>
        <w:rPr>
          <w:rFonts w:asciiTheme="minorHAnsi" w:eastAsia="Times New Roman" w:hAnsiTheme="minorHAnsi" w:cstheme="minorHAnsi"/>
          <w:sz w:val="24"/>
          <w:szCs w:val="24"/>
          <w:lang w:val="en-GB"/>
        </w:rPr>
      </w:pPr>
      <w:r w:rsidRPr="00A42282">
        <w:rPr>
          <w:rFonts w:asciiTheme="minorHAnsi" w:eastAsia="Times New Roman" w:hAnsiTheme="minorHAnsi" w:cstheme="minorHAnsi"/>
          <w:sz w:val="24"/>
          <w:szCs w:val="24"/>
          <w:lang w:val="en-GB"/>
        </w:rPr>
        <w:lastRenderedPageBreak/>
        <w:t xml:space="preserve">Essay 3 </w:t>
      </w:r>
    </w:p>
    <w:p w14:paraId="6727A9C0" w14:textId="77777777" w:rsidR="00F318F4" w:rsidRPr="00A42282" w:rsidRDefault="00F318F4" w:rsidP="00A42282">
      <w:pPr>
        <w:spacing w:before="240" w:line="360" w:lineRule="auto"/>
        <w:jc w:val="both"/>
        <w:rPr>
          <w:rFonts w:cstheme="minorHAnsi"/>
          <w:b/>
          <w:bCs/>
          <w:color w:val="000000" w:themeColor="text1"/>
          <w:sz w:val="24"/>
          <w:szCs w:val="24"/>
          <w:lang w:val="en-GB"/>
        </w:rPr>
      </w:pPr>
      <w:r w:rsidRPr="00A42282">
        <w:rPr>
          <w:rFonts w:cstheme="minorHAnsi"/>
          <w:b/>
          <w:bCs/>
          <w:color w:val="000000" w:themeColor="text1"/>
          <w:sz w:val="24"/>
          <w:szCs w:val="24"/>
          <w:lang w:val="en-GB"/>
        </w:rPr>
        <w:t>How effective is early intervention in preventing young people from offending, or re-offending?</w:t>
      </w:r>
    </w:p>
    <w:p w14:paraId="3E3E5916" w14:textId="4FAF50E5" w:rsidR="007614E3" w:rsidRPr="00A42282" w:rsidRDefault="00F318F4" w:rsidP="00A42282">
      <w:pPr>
        <w:spacing w:line="360" w:lineRule="auto"/>
        <w:jc w:val="both"/>
        <w:rPr>
          <w:rFonts w:cstheme="minorHAnsi"/>
          <w:color w:val="000000" w:themeColor="text1"/>
          <w:sz w:val="24"/>
          <w:szCs w:val="24"/>
          <w:lang w:val="en-GB"/>
        </w:rPr>
      </w:pPr>
      <w:r w:rsidRPr="00A42282">
        <w:rPr>
          <w:rFonts w:cstheme="minorHAnsi"/>
          <w:color w:val="000000" w:themeColor="text1"/>
          <w:sz w:val="24"/>
          <w:szCs w:val="24"/>
          <w:lang w:val="en-GB"/>
        </w:rPr>
        <w:t>Young offenders, defined as children between the ages of 10 to 17, are treated differently from adults according to the law in the UK. As children develop, they may exhibit misbehaviours and learn what behaviours are acceptable or unacceptable in society. However, it is crucial to distinguish between minor behavioural problems that are a part of normal development and those that persist and may indicate a risk for future offending. Early warning signs such as disruptive behaviour, persistent tantrums, and a history of aggressive or inattentive behaviour in preschool can provide indicators for effective interventions. Interventions can be implemented at the family, school, and community levels, with various evidence-based programs and approaches being found effective. This essay will discuss the importance of early interventions in preventing youth from engaging in more serious offences in adulthood and mitigating the negative impacts on both society and the individual. It will also highlight effective interventions at different levels of the environment while acknowledging that some interventions may have limited effectiveness. Overall, addressing youth offending requires a multifaceted approach that considers developmental factors, early warning signs, and evidence-based interventions at various levels of the individual</w:t>
      </w:r>
      <w:r w:rsidR="007614E3" w:rsidRPr="00A42282">
        <w:rPr>
          <w:rFonts w:cstheme="minorHAnsi"/>
          <w:color w:val="000000" w:themeColor="text1"/>
          <w:sz w:val="24"/>
          <w:szCs w:val="24"/>
          <w:lang w:val="en-GB"/>
        </w:rPr>
        <w:t>’</w:t>
      </w:r>
      <w:r w:rsidRPr="00A42282">
        <w:rPr>
          <w:rFonts w:cstheme="minorHAnsi"/>
          <w:color w:val="000000" w:themeColor="text1"/>
          <w:sz w:val="24"/>
          <w:szCs w:val="24"/>
          <w:lang w:val="en-GB"/>
        </w:rPr>
        <w:t xml:space="preserve">s environment. By investing in early interventions, we can promote positive outcomes and reduce youth offending in the UK. </w:t>
      </w:r>
    </w:p>
    <w:p w14:paraId="5092914C" w14:textId="53567F6F" w:rsidR="007614E3" w:rsidRPr="00A42282" w:rsidRDefault="00F318F4" w:rsidP="00A42282">
      <w:pPr>
        <w:spacing w:line="360" w:lineRule="auto"/>
        <w:jc w:val="both"/>
        <w:rPr>
          <w:rFonts w:cstheme="minorHAnsi"/>
          <w:color w:val="000000" w:themeColor="text1"/>
          <w:sz w:val="24"/>
          <w:szCs w:val="24"/>
          <w:lang w:val="en-GB"/>
        </w:rPr>
      </w:pPr>
      <w:r w:rsidRPr="00A42282">
        <w:rPr>
          <w:rFonts w:cstheme="minorHAnsi"/>
          <w:color w:val="000000" w:themeColor="text1"/>
          <w:sz w:val="24"/>
          <w:szCs w:val="24"/>
          <w:lang w:val="en-GB"/>
        </w:rPr>
        <w:t>In the UK, a young offender is a child between the age of 10 to 17 and they are treated differently from adults (GOV.uk). A child below the age of 10 cannot be charged or arrested although other punishments exist such as local curfews (GOV.uk).</w:t>
      </w:r>
      <w:r w:rsidR="007614E3" w:rsidRPr="00A42282">
        <w:rPr>
          <w:rFonts w:cstheme="minorHAnsi"/>
          <w:color w:val="000000" w:themeColor="text1"/>
          <w:sz w:val="24"/>
          <w:szCs w:val="24"/>
          <w:lang w:val="en-GB"/>
        </w:rPr>
        <w:t xml:space="preserve"> Juvenile</w:t>
      </w:r>
      <w:r w:rsidRPr="00A42282">
        <w:rPr>
          <w:rFonts w:cstheme="minorHAnsi"/>
          <w:color w:val="000000" w:themeColor="text1"/>
          <w:sz w:val="24"/>
          <w:szCs w:val="24"/>
          <w:lang w:val="en-GB"/>
        </w:rPr>
        <w:t xml:space="preserve"> offenders are 3 times more likely to be male</w:t>
      </w:r>
      <w:r w:rsidR="007614E3" w:rsidRPr="00A42282">
        <w:rPr>
          <w:rFonts w:cstheme="minorHAnsi"/>
          <w:color w:val="000000" w:themeColor="text1"/>
          <w:sz w:val="24"/>
          <w:szCs w:val="24"/>
          <w:lang w:val="en-GB"/>
        </w:rPr>
        <w:t xml:space="preserve"> (</w:t>
      </w:r>
      <w:proofErr w:type="spellStart"/>
      <w:r w:rsidR="007614E3" w:rsidRPr="00A42282">
        <w:rPr>
          <w:rFonts w:eastAsia="Times New Roman" w:cstheme="minorHAnsi"/>
          <w:sz w:val="24"/>
          <w:szCs w:val="24"/>
          <w:lang w:val="en-GB" w:eastAsia="en-GB"/>
        </w:rPr>
        <w:t>Pusch</w:t>
      </w:r>
      <w:proofErr w:type="spellEnd"/>
      <w:r w:rsidR="007614E3" w:rsidRPr="00A42282">
        <w:rPr>
          <w:rFonts w:eastAsia="Times New Roman" w:cstheme="minorHAnsi"/>
          <w:sz w:val="24"/>
          <w:szCs w:val="24"/>
          <w:lang w:val="en-GB" w:eastAsia="en-GB"/>
        </w:rPr>
        <w:t xml:space="preserve"> and </w:t>
      </w:r>
      <w:proofErr w:type="spellStart"/>
      <w:r w:rsidR="007614E3" w:rsidRPr="00A42282">
        <w:rPr>
          <w:rFonts w:eastAsia="Times New Roman" w:cstheme="minorHAnsi"/>
          <w:sz w:val="24"/>
          <w:szCs w:val="24"/>
          <w:lang w:val="en-GB" w:eastAsia="en-GB"/>
        </w:rPr>
        <w:t>Holtfreter</w:t>
      </w:r>
      <w:proofErr w:type="spellEnd"/>
      <w:r w:rsidR="007614E3" w:rsidRPr="00A42282">
        <w:rPr>
          <w:rFonts w:eastAsia="Times New Roman" w:cstheme="minorHAnsi"/>
          <w:sz w:val="24"/>
          <w:szCs w:val="24"/>
          <w:lang w:val="en-GB" w:eastAsia="en-GB"/>
        </w:rPr>
        <w:t>, 2018)</w:t>
      </w:r>
      <w:r w:rsidRPr="00A42282">
        <w:rPr>
          <w:rFonts w:cstheme="minorHAnsi"/>
          <w:color w:val="000000" w:themeColor="text1"/>
          <w:sz w:val="24"/>
          <w:szCs w:val="24"/>
          <w:lang w:val="en-GB"/>
        </w:rPr>
        <w:t>. In addition, those who commit crimes</w:t>
      </w:r>
      <w:r w:rsidR="007614E3" w:rsidRPr="00A42282">
        <w:rPr>
          <w:rFonts w:cstheme="minorHAnsi"/>
          <w:color w:val="000000" w:themeColor="text1"/>
          <w:sz w:val="24"/>
          <w:szCs w:val="24"/>
          <w:lang w:val="en-GB"/>
        </w:rPr>
        <w:t xml:space="preserve"> at a young age</w:t>
      </w:r>
      <w:r w:rsidRPr="00A42282">
        <w:rPr>
          <w:rFonts w:cstheme="minorHAnsi"/>
          <w:color w:val="000000" w:themeColor="text1"/>
          <w:sz w:val="24"/>
          <w:szCs w:val="24"/>
          <w:lang w:val="en-GB"/>
        </w:rPr>
        <w:t xml:space="preserve"> are at a higher risk of committing more serious offences into adulthood</w:t>
      </w:r>
      <w:r w:rsidR="007614E3" w:rsidRPr="00A42282">
        <w:rPr>
          <w:rFonts w:cstheme="minorHAnsi"/>
          <w:color w:val="000000" w:themeColor="text1"/>
          <w:sz w:val="24"/>
          <w:szCs w:val="24"/>
          <w:lang w:val="en-GB"/>
        </w:rPr>
        <w:t xml:space="preserve"> compared to those with no prior offences </w:t>
      </w:r>
      <w:r w:rsidR="007614E3" w:rsidRPr="00A42282">
        <w:rPr>
          <w:rFonts w:cstheme="minorHAnsi"/>
          <w:sz w:val="24"/>
          <w:szCs w:val="24"/>
          <w:lang w:val="en-GB"/>
        </w:rPr>
        <w:t xml:space="preserve">(Barrett, D.E. and </w:t>
      </w:r>
      <w:proofErr w:type="spellStart"/>
      <w:r w:rsidR="007614E3" w:rsidRPr="00A42282">
        <w:rPr>
          <w:rFonts w:cstheme="minorHAnsi"/>
          <w:sz w:val="24"/>
          <w:szCs w:val="24"/>
          <w:lang w:val="en-GB"/>
        </w:rPr>
        <w:t>Katsiyannis</w:t>
      </w:r>
      <w:proofErr w:type="spellEnd"/>
      <w:r w:rsidR="007614E3" w:rsidRPr="00A42282">
        <w:rPr>
          <w:rFonts w:cstheme="minorHAnsi"/>
          <w:sz w:val="24"/>
          <w:szCs w:val="24"/>
          <w:lang w:val="en-GB"/>
        </w:rPr>
        <w:t xml:space="preserve">, 2016; </w:t>
      </w:r>
      <w:proofErr w:type="spellStart"/>
      <w:r w:rsidR="007614E3" w:rsidRPr="00A42282">
        <w:rPr>
          <w:rFonts w:cstheme="minorHAnsi"/>
          <w:sz w:val="24"/>
          <w:szCs w:val="24"/>
          <w:lang w:val="en-GB"/>
        </w:rPr>
        <w:t>Loeber</w:t>
      </w:r>
      <w:proofErr w:type="spellEnd"/>
      <w:r w:rsidR="007614E3" w:rsidRPr="00A42282">
        <w:rPr>
          <w:rFonts w:cstheme="minorHAnsi"/>
          <w:sz w:val="24"/>
          <w:szCs w:val="24"/>
          <w:lang w:val="en-GB"/>
        </w:rPr>
        <w:t>, 2011)</w:t>
      </w:r>
      <w:r w:rsidRPr="00A42282">
        <w:rPr>
          <w:rFonts w:cstheme="minorHAnsi"/>
          <w:color w:val="000000" w:themeColor="text1"/>
          <w:sz w:val="24"/>
          <w:szCs w:val="24"/>
          <w:lang w:val="en-GB"/>
        </w:rPr>
        <w:t xml:space="preserve">. Findings of aggression </w:t>
      </w:r>
      <w:r w:rsidR="007614E3" w:rsidRPr="00A42282">
        <w:rPr>
          <w:rFonts w:cstheme="minorHAnsi"/>
          <w:color w:val="000000" w:themeColor="text1"/>
          <w:sz w:val="24"/>
          <w:szCs w:val="24"/>
          <w:lang w:val="en-GB"/>
        </w:rPr>
        <w:t xml:space="preserve">are </w:t>
      </w:r>
      <w:r w:rsidRPr="00A42282">
        <w:rPr>
          <w:rFonts w:cstheme="minorHAnsi"/>
          <w:color w:val="000000" w:themeColor="text1"/>
          <w:sz w:val="24"/>
          <w:szCs w:val="24"/>
          <w:lang w:val="en-GB"/>
        </w:rPr>
        <w:t>particularly elevated in</w:t>
      </w:r>
      <w:r w:rsidR="007614E3" w:rsidRPr="00A42282">
        <w:rPr>
          <w:rFonts w:cstheme="minorHAnsi"/>
          <w:color w:val="000000" w:themeColor="text1"/>
          <w:sz w:val="24"/>
          <w:szCs w:val="24"/>
          <w:lang w:val="en-GB"/>
        </w:rPr>
        <w:t xml:space="preserve"> the</w:t>
      </w:r>
      <w:r w:rsidRPr="00A42282">
        <w:rPr>
          <w:rFonts w:cstheme="minorHAnsi"/>
          <w:color w:val="000000" w:themeColor="text1"/>
          <w:sz w:val="24"/>
          <w:szCs w:val="24"/>
          <w:lang w:val="en-GB"/>
        </w:rPr>
        <w:t xml:space="preserve"> lowest income groups</w:t>
      </w:r>
      <w:r w:rsidR="007614E3" w:rsidRPr="00A42282">
        <w:rPr>
          <w:rFonts w:cstheme="minorHAnsi"/>
          <w:color w:val="000000" w:themeColor="text1"/>
          <w:sz w:val="24"/>
          <w:szCs w:val="24"/>
          <w:lang w:val="en-GB"/>
        </w:rPr>
        <w:t>, suggesting a detrimental effect on</w:t>
      </w:r>
      <w:r w:rsidRPr="00A42282">
        <w:rPr>
          <w:rFonts w:cstheme="minorHAnsi"/>
          <w:color w:val="000000" w:themeColor="text1"/>
          <w:sz w:val="24"/>
          <w:szCs w:val="24"/>
          <w:lang w:val="en-GB"/>
        </w:rPr>
        <w:t xml:space="preserve"> children growing up in poverty.  Hence, it is important for early interventions as they can have those individuals from committing crimes and the downstream negative effects on society and that individual themselves (</w:t>
      </w:r>
      <w:proofErr w:type="spellStart"/>
      <w:r w:rsidRPr="00A42282">
        <w:rPr>
          <w:rFonts w:cstheme="minorHAnsi"/>
          <w:color w:val="000000" w:themeColor="text1"/>
          <w:sz w:val="24"/>
          <w:szCs w:val="24"/>
          <w:lang w:val="en-GB"/>
        </w:rPr>
        <w:t>Loeber</w:t>
      </w:r>
      <w:proofErr w:type="spellEnd"/>
      <w:r w:rsidRPr="00A42282">
        <w:rPr>
          <w:rFonts w:cstheme="minorHAnsi"/>
          <w:color w:val="000000" w:themeColor="text1"/>
          <w:sz w:val="24"/>
          <w:szCs w:val="24"/>
          <w:lang w:val="en-GB"/>
        </w:rPr>
        <w:t xml:space="preserve"> and Farrington 2000). </w:t>
      </w:r>
    </w:p>
    <w:p w14:paraId="4BE4A4B0" w14:textId="0DF29033" w:rsidR="007614E3" w:rsidRPr="00A42282" w:rsidRDefault="00F318F4" w:rsidP="00A42282">
      <w:pPr>
        <w:spacing w:line="360" w:lineRule="auto"/>
        <w:jc w:val="both"/>
        <w:rPr>
          <w:rFonts w:cstheme="minorHAnsi"/>
          <w:color w:val="000000" w:themeColor="text1"/>
          <w:sz w:val="24"/>
          <w:szCs w:val="24"/>
          <w:lang w:val="en-GB"/>
        </w:rPr>
      </w:pPr>
      <w:r w:rsidRPr="00A42282">
        <w:rPr>
          <w:rFonts w:cstheme="minorHAnsi"/>
          <w:color w:val="000000" w:themeColor="text1"/>
          <w:sz w:val="24"/>
          <w:szCs w:val="24"/>
          <w:lang w:val="en-GB"/>
        </w:rPr>
        <w:lastRenderedPageBreak/>
        <w:t>In terms of the development of young offenders</w:t>
      </w:r>
      <w:r w:rsidR="007614E3" w:rsidRPr="00A42282">
        <w:rPr>
          <w:rFonts w:cstheme="minorHAnsi"/>
          <w:color w:val="000000" w:themeColor="text1"/>
          <w:sz w:val="24"/>
          <w:szCs w:val="24"/>
          <w:lang w:val="en-GB"/>
        </w:rPr>
        <w:t>, all</w:t>
      </w:r>
      <w:r w:rsidRPr="00A42282">
        <w:rPr>
          <w:rFonts w:cstheme="minorHAnsi"/>
          <w:color w:val="000000" w:themeColor="text1"/>
          <w:sz w:val="24"/>
          <w:szCs w:val="24"/>
          <w:lang w:val="en-GB"/>
        </w:rPr>
        <w:t xml:space="preserve"> children may misbehave as they develop and tend to learn what behaviours are acceptable and unacceptable within society. It is</w:t>
      </w:r>
      <w:r w:rsidR="007614E3" w:rsidRPr="00A42282">
        <w:rPr>
          <w:rFonts w:cstheme="minorHAnsi"/>
          <w:color w:val="000000" w:themeColor="text1"/>
          <w:sz w:val="24"/>
          <w:szCs w:val="24"/>
          <w:lang w:val="en-GB"/>
        </w:rPr>
        <w:t xml:space="preserve"> therefore</w:t>
      </w:r>
      <w:r w:rsidRPr="00A42282">
        <w:rPr>
          <w:rFonts w:cstheme="minorHAnsi"/>
          <w:color w:val="000000" w:themeColor="text1"/>
          <w:sz w:val="24"/>
          <w:szCs w:val="24"/>
          <w:lang w:val="en-GB"/>
        </w:rPr>
        <w:t xml:space="preserve"> important to distinguish between minor behavioural problems that are a part of normal development and those that</w:t>
      </w:r>
      <w:r w:rsidR="007614E3" w:rsidRPr="00A42282">
        <w:rPr>
          <w:rFonts w:cstheme="minorHAnsi"/>
          <w:color w:val="000000" w:themeColor="text1"/>
          <w:sz w:val="24"/>
          <w:szCs w:val="24"/>
          <w:lang w:val="en-GB"/>
        </w:rPr>
        <w:t xml:space="preserve"> are likely to persist into early adulthood</w:t>
      </w:r>
      <w:r w:rsidRPr="00A42282">
        <w:rPr>
          <w:rFonts w:cstheme="minorHAnsi"/>
          <w:color w:val="000000" w:themeColor="text1"/>
          <w:sz w:val="24"/>
          <w:szCs w:val="24"/>
          <w:lang w:val="en-GB"/>
        </w:rPr>
        <w:t xml:space="preserve">. Although it is difficult to identify such individuals the development can occur over several years (Shinn, &amp; </w:t>
      </w:r>
      <w:proofErr w:type="spellStart"/>
      <w:r w:rsidRPr="00A42282">
        <w:rPr>
          <w:rFonts w:cstheme="minorHAnsi"/>
          <w:color w:val="000000" w:themeColor="text1"/>
          <w:sz w:val="24"/>
          <w:szCs w:val="24"/>
          <w:lang w:val="en-GB"/>
        </w:rPr>
        <w:t>Todis</w:t>
      </w:r>
      <w:proofErr w:type="spellEnd"/>
      <w:r w:rsidRPr="00A42282">
        <w:rPr>
          <w:rFonts w:cstheme="minorHAnsi"/>
          <w:color w:val="000000" w:themeColor="text1"/>
          <w:sz w:val="24"/>
          <w:szCs w:val="24"/>
          <w:lang w:val="en-GB"/>
        </w:rPr>
        <w:t xml:space="preserve">, 1988). Some early warning signs include disruptive behaviour more than </w:t>
      </w:r>
      <w:r w:rsidR="00FB11DC">
        <w:rPr>
          <w:rFonts w:cstheme="minorHAnsi"/>
          <w:color w:val="000000" w:themeColor="text1"/>
          <w:sz w:val="24"/>
          <w:szCs w:val="24"/>
          <w:lang w:val="en-GB"/>
        </w:rPr>
        <w:t xml:space="preserve">the </w:t>
      </w:r>
      <w:r w:rsidRPr="00A42282">
        <w:rPr>
          <w:rFonts w:cstheme="minorHAnsi"/>
          <w:color w:val="000000" w:themeColor="text1"/>
          <w:sz w:val="24"/>
          <w:szCs w:val="24"/>
          <w:lang w:val="en-GB"/>
        </w:rPr>
        <w:t>normal</w:t>
      </w:r>
      <w:r w:rsidR="007614E3" w:rsidRPr="00A42282">
        <w:rPr>
          <w:rFonts w:cstheme="minorHAnsi"/>
          <w:color w:val="000000" w:themeColor="text1"/>
          <w:sz w:val="24"/>
          <w:szCs w:val="24"/>
          <w:lang w:val="en-GB"/>
        </w:rPr>
        <w:t xml:space="preserve"> range</w:t>
      </w:r>
      <w:r w:rsidRPr="00A42282">
        <w:rPr>
          <w:rFonts w:cstheme="minorHAnsi"/>
          <w:color w:val="000000" w:themeColor="text1"/>
          <w:sz w:val="24"/>
          <w:szCs w:val="24"/>
          <w:lang w:val="en-GB"/>
        </w:rPr>
        <w:t>, tantrums that occur beyond 3 years old, history of aggressive inattentive behaviour in preschool (</w:t>
      </w:r>
      <w:proofErr w:type="spellStart"/>
      <w:r w:rsidRPr="00A42282">
        <w:rPr>
          <w:rFonts w:cstheme="minorHAnsi"/>
          <w:color w:val="000000" w:themeColor="text1"/>
          <w:sz w:val="24"/>
          <w:szCs w:val="24"/>
          <w:lang w:val="en-GB"/>
        </w:rPr>
        <w:t>Loeber</w:t>
      </w:r>
      <w:proofErr w:type="spellEnd"/>
      <w:r w:rsidRPr="00A42282">
        <w:rPr>
          <w:rFonts w:cstheme="minorHAnsi"/>
          <w:color w:val="000000" w:themeColor="text1"/>
          <w:sz w:val="24"/>
          <w:szCs w:val="24"/>
          <w:lang w:val="en-GB"/>
        </w:rPr>
        <w:t xml:space="preserve"> and Farrington 2000). </w:t>
      </w:r>
    </w:p>
    <w:p w14:paraId="49EA8B83" w14:textId="68A39E38" w:rsidR="00465130" w:rsidRPr="00A42282" w:rsidRDefault="00F318F4" w:rsidP="00A42282">
      <w:pPr>
        <w:spacing w:line="360" w:lineRule="auto"/>
        <w:jc w:val="both"/>
        <w:rPr>
          <w:rFonts w:cstheme="minorHAnsi"/>
          <w:color w:val="000000" w:themeColor="text1"/>
          <w:sz w:val="24"/>
          <w:szCs w:val="24"/>
          <w:lang w:val="en-GB"/>
        </w:rPr>
      </w:pPr>
      <w:r w:rsidRPr="00A42282">
        <w:rPr>
          <w:rFonts w:cstheme="minorHAnsi"/>
          <w:color w:val="000000" w:themeColor="text1"/>
          <w:sz w:val="24"/>
          <w:szCs w:val="24"/>
          <w:lang w:val="en-GB"/>
        </w:rPr>
        <w:t xml:space="preserve">Interventions can be at the family, school, and community levels. Ross et al. </w:t>
      </w:r>
      <w:r w:rsidR="007614E3" w:rsidRPr="00A42282">
        <w:rPr>
          <w:rFonts w:cstheme="minorHAnsi"/>
          <w:color w:val="000000" w:themeColor="text1"/>
          <w:sz w:val="24"/>
          <w:szCs w:val="24"/>
          <w:lang w:val="en-GB"/>
        </w:rPr>
        <w:t>(</w:t>
      </w:r>
      <w:r w:rsidRPr="00A42282">
        <w:rPr>
          <w:rFonts w:cstheme="minorHAnsi"/>
          <w:color w:val="000000" w:themeColor="text1"/>
          <w:sz w:val="24"/>
          <w:szCs w:val="24"/>
          <w:lang w:val="en-GB"/>
        </w:rPr>
        <w:t>2011</w:t>
      </w:r>
      <w:r w:rsidR="007614E3" w:rsidRPr="00A42282">
        <w:rPr>
          <w:rFonts w:cstheme="minorHAnsi"/>
          <w:color w:val="000000" w:themeColor="text1"/>
          <w:sz w:val="24"/>
          <w:szCs w:val="24"/>
          <w:lang w:val="en-GB"/>
        </w:rPr>
        <w:t>)</w:t>
      </w:r>
      <w:r w:rsidRPr="00A42282">
        <w:rPr>
          <w:rFonts w:cstheme="minorHAnsi"/>
          <w:color w:val="000000" w:themeColor="text1"/>
          <w:sz w:val="24"/>
          <w:szCs w:val="24"/>
          <w:lang w:val="en-GB"/>
        </w:rPr>
        <w:t xml:space="preserve"> conducted a report on youth and early interventions which found several programs to be effective. At the family level, these</w:t>
      </w:r>
      <w:r w:rsidR="00465130" w:rsidRPr="00A42282">
        <w:rPr>
          <w:rFonts w:cstheme="minorHAnsi"/>
          <w:color w:val="000000" w:themeColor="text1"/>
          <w:sz w:val="24"/>
          <w:szCs w:val="24"/>
          <w:lang w:val="en-GB"/>
        </w:rPr>
        <w:t xml:space="preserve"> include</w:t>
      </w:r>
      <w:r w:rsidRPr="00A42282">
        <w:rPr>
          <w:rFonts w:cstheme="minorHAnsi"/>
          <w:color w:val="000000" w:themeColor="text1"/>
          <w:sz w:val="24"/>
          <w:szCs w:val="24"/>
          <w:lang w:val="en-GB"/>
        </w:rPr>
        <w:t xml:space="preserve"> behavioural parent training, which </w:t>
      </w:r>
      <w:r w:rsidR="00FB11DC">
        <w:rPr>
          <w:rFonts w:cstheme="minorHAnsi"/>
          <w:color w:val="000000" w:themeColor="text1"/>
          <w:sz w:val="24"/>
          <w:szCs w:val="24"/>
          <w:lang w:val="en-GB"/>
        </w:rPr>
        <w:t>educates</w:t>
      </w:r>
      <w:r w:rsidR="00465130" w:rsidRPr="00A42282">
        <w:rPr>
          <w:rFonts w:cstheme="minorHAnsi"/>
          <w:color w:val="000000" w:themeColor="text1"/>
          <w:sz w:val="24"/>
          <w:szCs w:val="24"/>
          <w:lang w:val="en-GB"/>
        </w:rPr>
        <w:t xml:space="preserve"> </w:t>
      </w:r>
      <w:r w:rsidRPr="00A42282">
        <w:rPr>
          <w:rFonts w:cstheme="minorHAnsi"/>
          <w:color w:val="000000" w:themeColor="text1"/>
          <w:sz w:val="24"/>
          <w:szCs w:val="24"/>
          <w:lang w:val="en-GB"/>
        </w:rPr>
        <w:t xml:space="preserve">parents to </w:t>
      </w:r>
      <w:r w:rsidR="00465130" w:rsidRPr="00A42282">
        <w:rPr>
          <w:rFonts w:cstheme="minorHAnsi"/>
          <w:color w:val="000000" w:themeColor="text1"/>
          <w:sz w:val="24"/>
          <w:szCs w:val="24"/>
          <w:lang w:val="en-GB"/>
        </w:rPr>
        <w:t>consis</w:t>
      </w:r>
      <w:r w:rsidR="009B4C08" w:rsidRPr="00A42282">
        <w:rPr>
          <w:rFonts w:cstheme="minorHAnsi"/>
          <w:color w:val="000000" w:themeColor="text1"/>
          <w:sz w:val="24"/>
          <w:szCs w:val="24"/>
          <w:lang w:val="en-GB"/>
        </w:rPr>
        <w:t>tently</w:t>
      </w:r>
      <w:r w:rsidR="00465130" w:rsidRPr="00A42282">
        <w:rPr>
          <w:rFonts w:cstheme="minorHAnsi"/>
          <w:color w:val="000000" w:themeColor="text1"/>
          <w:sz w:val="24"/>
          <w:szCs w:val="24"/>
          <w:lang w:val="en-GB"/>
        </w:rPr>
        <w:t xml:space="preserve"> provide </w:t>
      </w:r>
      <w:r w:rsidRPr="00A42282">
        <w:rPr>
          <w:rFonts w:cstheme="minorHAnsi"/>
          <w:color w:val="000000" w:themeColor="text1"/>
          <w:sz w:val="24"/>
          <w:szCs w:val="24"/>
          <w:lang w:val="en-GB"/>
        </w:rPr>
        <w:t>reward</w:t>
      </w:r>
      <w:r w:rsidR="00465130" w:rsidRPr="00A42282">
        <w:rPr>
          <w:rFonts w:cstheme="minorHAnsi"/>
          <w:color w:val="000000" w:themeColor="text1"/>
          <w:sz w:val="24"/>
          <w:szCs w:val="24"/>
          <w:lang w:val="en-GB"/>
        </w:rPr>
        <w:t>s for</w:t>
      </w:r>
      <w:r w:rsidRPr="00A42282">
        <w:rPr>
          <w:rFonts w:cstheme="minorHAnsi"/>
          <w:color w:val="000000" w:themeColor="text1"/>
          <w:sz w:val="24"/>
          <w:szCs w:val="24"/>
          <w:lang w:val="en-GB"/>
        </w:rPr>
        <w:t xml:space="preserve"> positive</w:t>
      </w:r>
      <w:r w:rsidR="00465130" w:rsidRPr="00A42282">
        <w:rPr>
          <w:rFonts w:cstheme="minorHAnsi"/>
          <w:color w:val="000000" w:themeColor="text1"/>
          <w:sz w:val="24"/>
          <w:szCs w:val="24"/>
          <w:lang w:val="en-GB"/>
        </w:rPr>
        <w:t>, social</w:t>
      </w:r>
      <w:r w:rsidRPr="00A42282">
        <w:rPr>
          <w:rFonts w:cstheme="minorHAnsi"/>
          <w:color w:val="000000" w:themeColor="text1"/>
          <w:sz w:val="24"/>
          <w:szCs w:val="24"/>
          <w:lang w:val="en-GB"/>
        </w:rPr>
        <w:t xml:space="preserve"> behaviours</w:t>
      </w:r>
      <w:r w:rsidR="00465130" w:rsidRPr="00A42282">
        <w:rPr>
          <w:rFonts w:cstheme="minorHAnsi"/>
          <w:color w:val="000000" w:themeColor="text1"/>
          <w:sz w:val="24"/>
          <w:szCs w:val="24"/>
          <w:lang w:val="en-GB"/>
        </w:rPr>
        <w:t>. This has been shown to be one of the</w:t>
      </w:r>
      <w:r w:rsidRPr="00A42282">
        <w:rPr>
          <w:rFonts w:cstheme="minorHAnsi"/>
          <w:color w:val="000000" w:themeColor="text1"/>
          <w:sz w:val="24"/>
          <w:szCs w:val="24"/>
          <w:lang w:val="en-GB"/>
        </w:rPr>
        <w:t xml:space="preserve"> most</w:t>
      </w:r>
      <w:r w:rsidR="00465130" w:rsidRPr="00A42282">
        <w:rPr>
          <w:rFonts w:cstheme="minorHAnsi"/>
          <w:color w:val="000000" w:themeColor="text1"/>
          <w:sz w:val="24"/>
          <w:szCs w:val="24"/>
          <w:lang w:val="en-GB"/>
        </w:rPr>
        <w:t xml:space="preserve"> powerful preventive measures</w:t>
      </w:r>
      <w:r w:rsidRPr="00A42282">
        <w:rPr>
          <w:rFonts w:cstheme="minorHAnsi"/>
          <w:color w:val="000000" w:themeColor="text1"/>
          <w:sz w:val="24"/>
          <w:szCs w:val="24"/>
          <w:lang w:val="en-GB"/>
        </w:rPr>
        <w:t xml:space="preserve"> in smaller classes of children above age 10</w:t>
      </w:r>
      <w:r w:rsidR="00465130" w:rsidRPr="00A42282">
        <w:rPr>
          <w:rFonts w:cstheme="minorHAnsi"/>
          <w:color w:val="000000" w:themeColor="text1"/>
          <w:sz w:val="24"/>
          <w:szCs w:val="24"/>
          <w:lang w:val="en-GB"/>
        </w:rPr>
        <w:t xml:space="preserve"> (</w:t>
      </w:r>
      <w:r w:rsidR="00465130" w:rsidRPr="00A42282">
        <w:rPr>
          <w:rFonts w:cstheme="minorHAnsi"/>
          <w:sz w:val="24"/>
          <w:szCs w:val="24"/>
          <w:lang w:val="en-GB"/>
        </w:rPr>
        <w:t xml:space="preserve">Piquero et al., 2010) and in early home </w:t>
      </w:r>
      <w:r w:rsidR="00461A17">
        <w:rPr>
          <w:rFonts w:cstheme="minorHAnsi"/>
          <w:sz w:val="24"/>
          <w:szCs w:val="24"/>
          <w:lang w:val="en-GB"/>
        </w:rPr>
        <w:t>environments</w:t>
      </w:r>
      <w:r w:rsidR="00465130" w:rsidRPr="00A42282">
        <w:rPr>
          <w:rFonts w:cstheme="minorHAnsi"/>
          <w:sz w:val="24"/>
          <w:szCs w:val="24"/>
          <w:lang w:val="en-GB"/>
        </w:rPr>
        <w:t xml:space="preserve"> for juvenile offenders (Barrett and </w:t>
      </w:r>
      <w:proofErr w:type="spellStart"/>
      <w:r w:rsidR="00465130" w:rsidRPr="00A42282">
        <w:rPr>
          <w:rFonts w:cstheme="minorHAnsi"/>
          <w:sz w:val="24"/>
          <w:szCs w:val="24"/>
          <w:lang w:val="en-GB"/>
        </w:rPr>
        <w:t>Katsiyannis</w:t>
      </w:r>
      <w:proofErr w:type="spellEnd"/>
      <w:r w:rsidR="00465130" w:rsidRPr="00A42282">
        <w:rPr>
          <w:rFonts w:cstheme="minorHAnsi"/>
          <w:sz w:val="24"/>
          <w:szCs w:val="24"/>
          <w:lang w:val="en-GB"/>
        </w:rPr>
        <w:t>, 2016; Welsh et al., 2012)</w:t>
      </w:r>
      <w:r w:rsidRPr="00A42282">
        <w:rPr>
          <w:rFonts w:cstheme="minorHAnsi"/>
          <w:color w:val="000000" w:themeColor="text1"/>
          <w:sz w:val="24"/>
          <w:szCs w:val="24"/>
          <w:lang w:val="en-GB"/>
        </w:rPr>
        <w:t>. Multisystemic therapy</w:t>
      </w:r>
      <w:r w:rsidR="00465130" w:rsidRPr="00A42282">
        <w:rPr>
          <w:rFonts w:cstheme="minorHAnsi"/>
          <w:color w:val="000000" w:themeColor="text1"/>
          <w:sz w:val="24"/>
          <w:szCs w:val="24"/>
          <w:lang w:val="en-GB"/>
        </w:rPr>
        <w:t>, which focuses on intense personalized home therapy, has been illustrated to be</w:t>
      </w:r>
      <w:r w:rsidRPr="00A42282">
        <w:rPr>
          <w:rFonts w:cstheme="minorHAnsi"/>
          <w:color w:val="000000" w:themeColor="text1"/>
          <w:sz w:val="24"/>
          <w:szCs w:val="24"/>
          <w:lang w:val="en-GB"/>
        </w:rPr>
        <w:t xml:space="preserve"> an effective</w:t>
      </w:r>
      <w:r w:rsidR="00465130" w:rsidRPr="00A42282">
        <w:rPr>
          <w:rFonts w:cstheme="minorHAnsi"/>
          <w:color w:val="000000" w:themeColor="text1"/>
          <w:sz w:val="24"/>
          <w:szCs w:val="24"/>
          <w:lang w:val="en-GB"/>
        </w:rPr>
        <w:t xml:space="preserve"> intervention for juvenile delinquents</w:t>
      </w:r>
      <w:r w:rsidRPr="00A42282">
        <w:rPr>
          <w:rFonts w:cstheme="minorHAnsi"/>
          <w:color w:val="000000" w:themeColor="text1"/>
          <w:sz w:val="24"/>
          <w:szCs w:val="24"/>
          <w:lang w:val="en-GB"/>
        </w:rPr>
        <w:t xml:space="preserve">; however, it tends to only be for high-risk individuals, it includes parental training, reducing association with negatively influential peers and child training. In terms of effective school interventions, reorganization of the class to group high-risk and disruptive pupils and including cognitive behaviour techniques as part of the curriculum. An example of an effective intervention at the community level includes after-school recreation and mentoring, which allows supportive, non-judgmental support and role models. Some interventions do no work such as surveillance and military-style boot camps. </w:t>
      </w:r>
    </w:p>
    <w:p w14:paraId="77A81153" w14:textId="52921989" w:rsidR="00F318F4" w:rsidRPr="00A42282" w:rsidRDefault="00F318F4" w:rsidP="00A42282">
      <w:pPr>
        <w:spacing w:line="360" w:lineRule="auto"/>
        <w:jc w:val="both"/>
        <w:rPr>
          <w:rFonts w:cstheme="minorHAnsi"/>
          <w:color w:val="000000" w:themeColor="text1"/>
          <w:sz w:val="24"/>
          <w:szCs w:val="24"/>
          <w:lang w:val="en-GB"/>
        </w:rPr>
      </w:pPr>
      <w:r w:rsidRPr="00A42282">
        <w:rPr>
          <w:rFonts w:cstheme="minorHAnsi"/>
          <w:sz w:val="24"/>
          <w:szCs w:val="24"/>
          <w:lang w:val="en-GB"/>
        </w:rPr>
        <w:t xml:space="preserve">In conclusion, young offenders in the UK, defined as children between the ages of 10 to 17, are treated differently from adults according to the law. However, research has shown that early interventions are crucial in preventing youth from committing more serious offences in adulthood and mitigating the negative impacts on both society and the individual. Identifying early warning signs such as disruptive behaviour beyond what is considered normal, persistent tantrums beyond 3 years old, and a history of aggressive or inattentive behaviour in preschool can aid in effective interventions. Interventions can be implemented at the family, school, and community levels, with various programs and approaches being found </w:t>
      </w:r>
      <w:r w:rsidRPr="00A42282">
        <w:rPr>
          <w:rFonts w:cstheme="minorHAnsi"/>
          <w:sz w:val="24"/>
          <w:szCs w:val="24"/>
          <w:lang w:val="en-GB"/>
        </w:rPr>
        <w:lastRenderedPageBreak/>
        <w:t>effective, including behavioural parent training, multisystemic therapy, reorganization of classrooms, and after-school recreation and mentoring. However, it's important to note that some interventions, such as surveillance and military-style boot camps, have shown limited effectiveness. Overall, addressing the issue of youth offending requires a multifaceted approach that considers the developmental factors, early warning signs, and evidence-based interventions at various levels of the individual's environment. By investing in early interventions, we can help prevent youth from engaging in criminal behaviour and promote positive outcomes for both the individual and society as a whole.</w:t>
      </w:r>
    </w:p>
    <w:p w14:paraId="79EE38E8" w14:textId="77777777" w:rsidR="00FB11DC" w:rsidRDefault="00FB11DC" w:rsidP="00A42282">
      <w:pPr>
        <w:spacing w:line="360" w:lineRule="auto"/>
        <w:jc w:val="both"/>
        <w:rPr>
          <w:rFonts w:cstheme="minorHAnsi"/>
          <w:b/>
          <w:bCs/>
          <w:sz w:val="24"/>
          <w:szCs w:val="24"/>
          <w:lang w:val="en-GB"/>
        </w:rPr>
      </w:pPr>
    </w:p>
    <w:p w14:paraId="74474623" w14:textId="77777777" w:rsidR="00FB11DC" w:rsidRDefault="00FB11DC" w:rsidP="00A42282">
      <w:pPr>
        <w:spacing w:line="360" w:lineRule="auto"/>
        <w:jc w:val="both"/>
        <w:rPr>
          <w:rFonts w:cstheme="minorHAnsi"/>
          <w:b/>
          <w:bCs/>
          <w:sz w:val="24"/>
          <w:szCs w:val="24"/>
          <w:lang w:val="en-GB"/>
        </w:rPr>
      </w:pPr>
    </w:p>
    <w:p w14:paraId="46F6CFBE" w14:textId="77777777" w:rsidR="00FB11DC" w:rsidRDefault="00FB11DC" w:rsidP="00A42282">
      <w:pPr>
        <w:spacing w:line="360" w:lineRule="auto"/>
        <w:jc w:val="both"/>
        <w:rPr>
          <w:rFonts w:cstheme="minorHAnsi"/>
          <w:b/>
          <w:bCs/>
          <w:sz w:val="24"/>
          <w:szCs w:val="24"/>
          <w:lang w:val="en-GB"/>
        </w:rPr>
      </w:pPr>
    </w:p>
    <w:p w14:paraId="7937D521" w14:textId="77777777" w:rsidR="00FB11DC" w:rsidRDefault="00FB11DC" w:rsidP="00A42282">
      <w:pPr>
        <w:spacing w:line="360" w:lineRule="auto"/>
        <w:jc w:val="both"/>
        <w:rPr>
          <w:rFonts w:cstheme="minorHAnsi"/>
          <w:b/>
          <w:bCs/>
          <w:sz w:val="24"/>
          <w:szCs w:val="24"/>
          <w:lang w:val="en-GB"/>
        </w:rPr>
      </w:pPr>
    </w:p>
    <w:p w14:paraId="6926A15C" w14:textId="77777777" w:rsidR="00FB11DC" w:rsidRDefault="00FB11DC" w:rsidP="00A42282">
      <w:pPr>
        <w:spacing w:line="360" w:lineRule="auto"/>
        <w:jc w:val="both"/>
        <w:rPr>
          <w:rFonts w:cstheme="minorHAnsi"/>
          <w:b/>
          <w:bCs/>
          <w:sz w:val="24"/>
          <w:szCs w:val="24"/>
          <w:lang w:val="en-GB"/>
        </w:rPr>
      </w:pPr>
    </w:p>
    <w:p w14:paraId="1BF0B2F6" w14:textId="77777777" w:rsidR="00FB11DC" w:rsidRDefault="00FB11DC" w:rsidP="00A42282">
      <w:pPr>
        <w:spacing w:line="360" w:lineRule="auto"/>
        <w:jc w:val="both"/>
        <w:rPr>
          <w:rFonts w:cstheme="minorHAnsi"/>
          <w:b/>
          <w:bCs/>
          <w:sz w:val="24"/>
          <w:szCs w:val="24"/>
          <w:lang w:val="en-GB"/>
        </w:rPr>
      </w:pPr>
    </w:p>
    <w:p w14:paraId="4BA6231A" w14:textId="77777777" w:rsidR="00FB11DC" w:rsidRDefault="00FB11DC" w:rsidP="00A42282">
      <w:pPr>
        <w:spacing w:line="360" w:lineRule="auto"/>
        <w:jc w:val="both"/>
        <w:rPr>
          <w:rFonts w:cstheme="minorHAnsi"/>
          <w:b/>
          <w:bCs/>
          <w:sz w:val="24"/>
          <w:szCs w:val="24"/>
          <w:lang w:val="en-GB"/>
        </w:rPr>
      </w:pPr>
    </w:p>
    <w:p w14:paraId="1806123A" w14:textId="77777777" w:rsidR="00FB11DC" w:rsidRDefault="00FB11DC" w:rsidP="00A42282">
      <w:pPr>
        <w:spacing w:line="360" w:lineRule="auto"/>
        <w:jc w:val="both"/>
        <w:rPr>
          <w:rFonts w:cstheme="minorHAnsi"/>
          <w:b/>
          <w:bCs/>
          <w:sz w:val="24"/>
          <w:szCs w:val="24"/>
          <w:lang w:val="en-GB"/>
        </w:rPr>
      </w:pPr>
    </w:p>
    <w:p w14:paraId="670668EC" w14:textId="77777777" w:rsidR="00FB11DC" w:rsidRDefault="00FB11DC" w:rsidP="00A42282">
      <w:pPr>
        <w:spacing w:line="360" w:lineRule="auto"/>
        <w:jc w:val="both"/>
        <w:rPr>
          <w:rFonts w:cstheme="minorHAnsi"/>
          <w:b/>
          <w:bCs/>
          <w:sz w:val="24"/>
          <w:szCs w:val="24"/>
          <w:lang w:val="en-GB"/>
        </w:rPr>
      </w:pPr>
    </w:p>
    <w:p w14:paraId="5EC24C7B" w14:textId="77777777" w:rsidR="00FB11DC" w:rsidRDefault="00FB11DC" w:rsidP="00A42282">
      <w:pPr>
        <w:spacing w:line="360" w:lineRule="auto"/>
        <w:jc w:val="both"/>
        <w:rPr>
          <w:rFonts w:cstheme="minorHAnsi"/>
          <w:b/>
          <w:bCs/>
          <w:sz w:val="24"/>
          <w:szCs w:val="24"/>
          <w:lang w:val="en-GB"/>
        </w:rPr>
      </w:pPr>
    </w:p>
    <w:p w14:paraId="297E1BD5" w14:textId="77777777" w:rsidR="00FB11DC" w:rsidRDefault="00FB11DC" w:rsidP="00A42282">
      <w:pPr>
        <w:spacing w:line="360" w:lineRule="auto"/>
        <w:jc w:val="both"/>
        <w:rPr>
          <w:rFonts w:cstheme="minorHAnsi"/>
          <w:b/>
          <w:bCs/>
          <w:sz w:val="24"/>
          <w:szCs w:val="24"/>
          <w:lang w:val="en-GB"/>
        </w:rPr>
      </w:pPr>
    </w:p>
    <w:p w14:paraId="70725211" w14:textId="77777777" w:rsidR="00FB11DC" w:rsidRDefault="00FB11DC" w:rsidP="00A42282">
      <w:pPr>
        <w:spacing w:line="360" w:lineRule="auto"/>
        <w:jc w:val="both"/>
        <w:rPr>
          <w:rFonts w:cstheme="minorHAnsi"/>
          <w:b/>
          <w:bCs/>
          <w:sz w:val="24"/>
          <w:szCs w:val="24"/>
          <w:lang w:val="en-GB"/>
        </w:rPr>
      </w:pPr>
    </w:p>
    <w:p w14:paraId="1CA79B0F" w14:textId="77777777" w:rsidR="00FB11DC" w:rsidRDefault="00FB11DC" w:rsidP="00A42282">
      <w:pPr>
        <w:spacing w:line="360" w:lineRule="auto"/>
        <w:jc w:val="both"/>
        <w:rPr>
          <w:rFonts w:cstheme="minorHAnsi"/>
          <w:b/>
          <w:bCs/>
          <w:sz w:val="24"/>
          <w:szCs w:val="24"/>
          <w:lang w:val="en-GB"/>
        </w:rPr>
      </w:pPr>
    </w:p>
    <w:p w14:paraId="08F0FA04" w14:textId="77777777" w:rsidR="00FB11DC" w:rsidRDefault="00FB11DC" w:rsidP="00A42282">
      <w:pPr>
        <w:spacing w:line="360" w:lineRule="auto"/>
        <w:jc w:val="both"/>
        <w:rPr>
          <w:rFonts w:cstheme="minorHAnsi"/>
          <w:b/>
          <w:bCs/>
          <w:sz w:val="24"/>
          <w:szCs w:val="24"/>
          <w:lang w:val="en-GB"/>
        </w:rPr>
      </w:pPr>
    </w:p>
    <w:p w14:paraId="5C1921DF" w14:textId="77777777" w:rsidR="00FB11DC" w:rsidRDefault="00FB11DC" w:rsidP="00A42282">
      <w:pPr>
        <w:spacing w:line="360" w:lineRule="auto"/>
        <w:jc w:val="both"/>
        <w:rPr>
          <w:rFonts w:cstheme="minorHAnsi"/>
          <w:b/>
          <w:bCs/>
          <w:sz w:val="24"/>
          <w:szCs w:val="24"/>
          <w:lang w:val="en-GB"/>
        </w:rPr>
      </w:pPr>
    </w:p>
    <w:p w14:paraId="599E66A7" w14:textId="77777777" w:rsidR="00FB11DC" w:rsidRDefault="00FB11DC" w:rsidP="00A42282">
      <w:pPr>
        <w:spacing w:line="360" w:lineRule="auto"/>
        <w:jc w:val="both"/>
        <w:rPr>
          <w:rFonts w:cstheme="minorHAnsi"/>
          <w:b/>
          <w:bCs/>
          <w:sz w:val="24"/>
          <w:szCs w:val="24"/>
          <w:lang w:val="en-GB"/>
        </w:rPr>
      </w:pPr>
    </w:p>
    <w:p w14:paraId="6B52D022" w14:textId="77777777" w:rsidR="00FB11DC" w:rsidRDefault="00FB11DC" w:rsidP="00A42282">
      <w:pPr>
        <w:spacing w:line="360" w:lineRule="auto"/>
        <w:jc w:val="both"/>
        <w:rPr>
          <w:rFonts w:cstheme="minorHAnsi"/>
          <w:b/>
          <w:bCs/>
          <w:sz w:val="24"/>
          <w:szCs w:val="24"/>
          <w:lang w:val="en-GB"/>
        </w:rPr>
      </w:pPr>
    </w:p>
    <w:p w14:paraId="29125D65" w14:textId="1BE2EAB5" w:rsidR="00465130" w:rsidRPr="00A42282" w:rsidRDefault="00465130" w:rsidP="00A42282">
      <w:pPr>
        <w:spacing w:line="360" w:lineRule="auto"/>
        <w:jc w:val="both"/>
        <w:rPr>
          <w:rFonts w:cstheme="minorHAnsi"/>
          <w:b/>
          <w:bCs/>
          <w:sz w:val="24"/>
          <w:szCs w:val="24"/>
          <w:lang w:val="en-GB"/>
        </w:rPr>
      </w:pPr>
      <w:r w:rsidRPr="00A42282">
        <w:rPr>
          <w:rFonts w:cstheme="minorHAnsi"/>
          <w:b/>
          <w:bCs/>
          <w:sz w:val="24"/>
          <w:szCs w:val="24"/>
          <w:lang w:val="en-GB"/>
        </w:rPr>
        <w:lastRenderedPageBreak/>
        <w:t xml:space="preserve">References </w:t>
      </w:r>
    </w:p>
    <w:p w14:paraId="003FCDE1" w14:textId="62EF1A45" w:rsidR="00A42282" w:rsidRPr="00FB11DC" w:rsidRDefault="00A42282" w:rsidP="00A42282">
      <w:pPr>
        <w:spacing w:line="360" w:lineRule="auto"/>
        <w:jc w:val="both"/>
        <w:rPr>
          <w:rFonts w:eastAsia="Times New Roman" w:cstheme="minorHAnsi"/>
          <w:sz w:val="24"/>
          <w:szCs w:val="24"/>
          <w:lang w:val="en-GB" w:eastAsia="en-GB"/>
        </w:rPr>
      </w:pPr>
      <w:r w:rsidRPr="00A42282">
        <w:rPr>
          <w:rFonts w:eastAsia="Times New Roman" w:cstheme="minorHAnsi"/>
          <w:sz w:val="24"/>
          <w:szCs w:val="24"/>
          <w:lang w:val="en-GB" w:eastAsia="en-GB"/>
        </w:rPr>
        <w:t>GOV.UK. (n.d.). </w:t>
      </w:r>
      <w:r w:rsidRPr="00A42282">
        <w:rPr>
          <w:rFonts w:eastAsia="Times New Roman" w:cstheme="minorHAnsi"/>
          <w:i/>
          <w:iCs/>
          <w:sz w:val="24"/>
          <w:szCs w:val="24"/>
          <w:lang w:val="en-GB" w:eastAsia="en-GB"/>
        </w:rPr>
        <w:t>Age of criminal responsibility</w:t>
      </w:r>
      <w:r w:rsidRPr="00A42282">
        <w:rPr>
          <w:rFonts w:eastAsia="Times New Roman" w:cstheme="minorHAnsi"/>
          <w:sz w:val="24"/>
          <w:szCs w:val="24"/>
          <w:lang w:val="en-GB" w:eastAsia="en-GB"/>
        </w:rPr>
        <w:t xml:space="preserve">. [online] Available at: </w:t>
      </w:r>
      <w:hyperlink r:id="rId13" w:anchor=":~:text=Children%20between%2010%20and%2017" w:history="1">
        <w:r w:rsidRPr="00A42282">
          <w:rPr>
            <w:rStyle w:val="Hyperlink"/>
            <w:rFonts w:eastAsia="Times New Roman" w:cstheme="minorHAnsi"/>
            <w:color w:val="auto"/>
            <w:sz w:val="24"/>
            <w:szCs w:val="24"/>
            <w:lang w:val="en-GB" w:eastAsia="en-GB"/>
          </w:rPr>
          <w:t>https://www.gov.uk/age-of-criminal-responsibility#:~:text=Children%20between%2010%20and%2017</w:t>
        </w:r>
      </w:hyperlink>
      <w:r w:rsidR="00FB11DC">
        <w:rPr>
          <w:rStyle w:val="Hyperlink"/>
          <w:rFonts w:eastAsia="Times New Roman" w:cstheme="minorHAnsi"/>
          <w:color w:val="auto"/>
          <w:sz w:val="24"/>
          <w:szCs w:val="24"/>
          <w:lang w:val="en-GB" w:eastAsia="en-GB"/>
        </w:rPr>
        <w:t xml:space="preserve"> </w:t>
      </w:r>
      <w:r w:rsidR="00FB11DC">
        <w:rPr>
          <w:rStyle w:val="Hyperlink"/>
          <w:rFonts w:eastAsia="Times New Roman" w:cstheme="minorHAnsi"/>
          <w:color w:val="auto"/>
          <w:sz w:val="24"/>
          <w:szCs w:val="24"/>
          <w:u w:val="none"/>
          <w:lang w:val="en-GB" w:eastAsia="en-GB"/>
        </w:rPr>
        <w:t>(Accessed: 17</w:t>
      </w:r>
      <w:r w:rsidR="00FB11DC" w:rsidRPr="00FB11DC">
        <w:rPr>
          <w:rStyle w:val="Hyperlink"/>
          <w:rFonts w:eastAsia="Times New Roman" w:cstheme="minorHAnsi"/>
          <w:color w:val="auto"/>
          <w:sz w:val="24"/>
          <w:szCs w:val="24"/>
          <w:u w:val="none"/>
          <w:vertAlign w:val="superscript"/>
          <w:lang w:val="en-GB" w:eastAsia="en-GB"/>
        </w:rPr>
        <w:t>th</w:t>
      </w:r>
      <w:r w:rsidR="00FB11DC">
        <w:rPr>
          <w:rStyle w:val="Hyperlink"/>
          <w:rFonts w:eastAsia="Times New Roman" w:cstheme="minorHAnsi"/>
          <w:color w:val="auto"/>
          <w:sz w:val="24"/>
          <w:szCs w:val="24"/>
          <w:u w:val="none"/>
          <w:lang w:val="en-GB" w:eastAsia="en-GB"/>
        </w:rPr>
        <w:t xml:space="preserve"> April 2023). </w:t>
      </w:r>
    </w:p>
    <w:p w14:paraId="2AC9F1DA" w14:textId="77777777" w:rsidR="00A42282" w:rsidRPr="00A42282" w:rsidRDefault="00A42282" w:rsidP="00A42282">
      <w:pPr>
        <w:spacing w:line="360" w:lineRule="auto"/>
        <w:jc w:val="both"/>
        <w:rPr>
          <w:rFonts w:eastAsia="Times New Roman" w:cstheme="minorHAnsi"/>
          <w:sz w:val="24"/>
          <w:szCs w:val="24"/>
          <w:lang w:val="en-GB" w:eastAsia="en-GB"/>
        </w:rPr>
      </w:pPr>
      <w:r w:rsidRPr="00A42282">
        <w:rPr>
          <w:rFonts w:eastAsia="Times New Roman" w:cstheme="minorHAnsi"/>
          <w:sz w:val="24"/>
          <w:szCs w:val="24"/>
          <w:lang w:val="en-GB" w:eastAsia="en-GB"/>
        </w:rPr>
        <w:t>Government Digital Service (2012). </w:t>
      </w:r>
      <w:r w:rsidRPr="00A42282">
        <w:rPr>
          <w:rFonts w:eastAsia="Times New Roman" w:cstheme="minorHAnsi"/>
          <w:i/>
          <w:iCs/>
          <w:sz w:val="24"/>
          <w:szCs w:val="24"/>
          <w:lang w:val="en-GB" w:eastAsia="en-GB"/>
        </w:rPr>
        <w:t>What happens if a child under 10 breaks the law?</w:t>
      </w:r>
      <w:r w:rsidRPr="00A42282">
        <w:rPr>
          <w:rFonts w:eastAsia="Times New Roman" w:cstheme="minorHAnsi"/>
          <w:sz w:val="24"/>
          <w:szCs w:val="24"/>
          <w:lang w:val="en-GB" w:eastAsia="en-GB"/>
        </w:rPr>
        <w:t> [online] GOV.UK. Available at: https://www.gov.uk/child-under-10-breaks-law.</w:t>
      </w:r>
    </w:p>
    <w:p w14:paraId="20500C1E" w14:textId="69D26D8A" w:rsidR="00A42282" w:rsidRPr="00A42282" w:rsidRDefault="00A42282" w:rsidP="00A42282">
      <w:pPr>
        <w:spacing w:before="100" w:beforeAutospacing="1" w:line="360" w:lineRule="auto"/>
        <w:jc w:val="both"/>
        <w:rPr>
          <w:rFonts w:eastAsia="Times New Roman" w:cstheme="minorHAnsi"/>
          <w:sz w:val="24"/>
          <w:szCs w:val="24"/>
          <w:lang w:val="en-GB" w:eastAsia="en-GB"/>
        </w:rPr>
      </w:pPr>
      <w:r w:rsidRPr="00A42282">
        <w:rPr>
          <w:rFonts w:eastAsia="Times New Roman" w:cstheme="minorHAnsi"/>
          <w:sz w:val="24"/>
          <w:szCs w:val="24"/>
          <w:lang w:val="en-GB" w:eastAsia="en-GB"/>
        </w:rPr>
        <w:t>‌</w:t>
      </w:r>
      <w:proofErr w:type="spellStart"/>
      <w:r w:rsidRPr="00A42282">
        <w:rPr>
          <w:rFonts w:eastAsia="Times New Roman" w:cstheme="minorHAnsi"/>
          <w:sz w:val="24"/>
          <w:szCs w:val="24"/>
          <w:lang w:val="en-GB" w:eastAsia="en-GB"/>
        </w:rPr>
        <w:t>Loeber</w:t>
      </w:r>
      <w:proofErr w:type="spellEnd"/>
      <w:r w:rsidRPr="00A42282">
        <w:rPr>
          <w:rFonts w:eastAsia="Times New Roman" w:cstheme="minorHAnsi"/>
          <w:sz w:val="24"/>
          <w:szCs w:val="24"/>
          <w:lang w:val="en-GB" w:eastAsia="en-GB"/>
        </w:rPr>
        <w:t xml:space="preserve">, R. and Farrington, D.P., 2000. Young children who commit crime: Epidemiology, developmental origins, risk factors, early interventions, and policy implications. Development and </w:t>
      </w:r>
      <w:r w:rsidR="00461A17">
        <w:rPr>
          <w:rFonts w:eastAsia="Times New Roman" w:cstheme="minorHAnsi"/>
          <w:sz w:val="24"/>
          <w:szCs w:val="24"/>
          <w:lang w:val="en-GB" w:eastAsia="en-GB"/>
        </w:rPr>
        <w:t>Psychopathology</w:t>
      </w:r>
      <w:r w:rsidRPr="00A42282">
        <w:rPr>
          <w:rFonts w:eastAsia="Times New Roman" w:cstheme="minorHAnsi"/>
          <w:sz w:val="24"/>
          <w:szCs w:val="24"/>
          <w:lang w:val="en-GB" w:eastAsia="en-GB"/>
        </w:rPr>
        <w:t>, 12(4), pp.737-762.</w:t>
      </w:r>
    </w:p>
    <w:p w14:paraId="39EDAD8C" w14:textId="77777777" w:rsidR="00A42282" w:rsidRPr="00A42282" w:rsidRDefault="00A42282" w:rsidP="00A42282">
      <w:pPr>
        <w:spacing w:line="360" w:lineRule="auto"/>
        <w:jc w:val="both"/>
        <w:rPr>
          <w:rFonts w:eastAsia="Times New Roman" w:cstheme="minorHAnsi"/>
          <w:sz w:val="24"/>
          <w:szCs w:val="24"/>
          <w:lang w:val="en-GB" w:eastAsia="en-GB"/>
        </w:rPr>
      </w:pPr>
      <w:proofErr w:type="spellStart"/>
      <w:r w:rsidRPr="00A42282">
        <w:rPr>
          <w:rFonts w:eastAsia="Times New Roman" w:cstheme="minorHAnsi"/>
          <w:sz w:val="24"/>
          <w:szCs w:val="24"/>
          <w:lang w:val="en-GB" w:eastAsia="en-GB"/>
        </w:rPr>
        <w:t>Loeber</w:t>
      </w:r>
      <w:proofErr w:type="spellEnd"/>
      <w:r w:rsidRPr="00A42282">
        <w:rPr>
          <w:rFonts w:eastAsia="Times New Roman" w:cstheme="minorHAnsi"/>
          <w:sz w:val="24"/>
          <w:szCs w:val="24"/>
          <w:lang w:val="en-GB" w:eastAsia="en-GB"/>
        </w:rPr>
        <w:t>, R., 2003. Child delinquency: Early intervention and prevention. US Department of Justice, Office of Justice Programs, Office of Juvenile Justice and Delinquency Prevention.</w:t>
      </w:r>
    </w:p>
    <w:p w14:paraId="6E2794BF" w14:textId="77777777" w:rsidR="00A42282" w:rsidRPr="00A42282" w:rsidRDefault="00A42282" w:rsidP="00A42282">
      <w:pPr>
        <w:spacing w:line="360" w:lineRule="auto"/>
        <w:jc w:val="both"/>
        <w:rPr>
          <w:rFonts w:eastAsia="Times New Roman" w:cstheme="minorHAnsi"/>
          <w:sz w:val="24"/>
          <w:szCs w:val="24"/>
          <w:lang w:val="en-GB" w:eastAsia="en-GB"/>
        </w:rPr>
      </w:pPr>
      <w:proofErr w:type="spellStart"/>
      <w:r w:rsidRPr="00A42282">
        <w:rPr>
          <w:rFonts w:cstheme="minorHAnsi"/>
          <w:sz w:val="24"/>
          <w:szCs w:val="24"/>
          <w:shd w:val="clear" w:color="auto" w:fill="FFFFFF"/>
          <w:lang w:val="en-GB"/>
        </w:rPr>
        <w:t>Loeber</w:t>
      </w:r>
      <w:proofErr w:type="spellEnd"/>
      <w:r w:rsidRPr="00A42282">
        <w:rPr>
          <w:rFonts w:cstheme="minorHAnsi"/>
          <w:sz w:val="24"/>
          <w:szCs w:val="24"/>
          <w:shd w:val="clear" w:color="auto" w:fill="FFFFFF"/>
          <w:lang w:val="en-GB"/>
        </w:rPr>
        <w:t>, R., Farrington, D.P. and Cotter, R.B., 2011. </w:t>
      </w:r>
      <w:r w:rsidRPr="00A42282">
        <w:rPr>
          <w:rFonts w:cstheme="minorHAnsi"/>
          <w:i/>
          <w:iCs/>
          <w:sz w:val="24"/>
          <w:szCs w:val="24"/>
          <w:shd w:val="clear" w:color="auto" w:fill="FFFFFF"/>
          <w:lang w:val="en-GB"/>
        </w:rPr>
        <w:t>Young homicide offenders and victims: Risk factors, prediction, and prevention from childhood</w:t>
      </w:r>
      <w:r w:rsidRPr="00A42282">
        <w:rPr>
          <w:rFonts w:cstheme="minorHAnsi"/>
          <w:sz w:val="24"/>
          <w:szCs w:val="24"/>
          <w:shd w:val="clear" w:color="auto" w:fill="FFFFFF"/>
          <w:lang w:val="en-GB"/>
        </w:rPr>
        <w:t xml:space="preserve">. New York: </w:t>
      </w:r>
      <w:proofErr w:type="spellStart"/>
      <w:r w:rsidRPr="00A42282">
        <w:rPr>
          <w:rFonts w:cstheme="minorHAnsi"/>
          <w:sz w:val="24"/>
          <w:szCs w:val="24"/>
          <w:shd w:val="clear" w:color="auto" w:fill="FFFFFF"/>
          <w:lang w:val="en-GB"/>
        </w:rPr>
        <w:t>Springer.</w:t>
      </w:r>
      <w:bookmarkStart w:id="2" w:name="_Hlk134193820"/>
      <w:r w:rsidRPr="00A42282">
        <w:rPr>
          <w:rFonts w:cstheme="minorHAnsi"/>
          <w:color w:val="222222"/>
          <w:sz w:val="24"/>
          <w:szCs w:val="24"/>
          <w:shd w:val="clear" w:color="auto" w:fill="FFFFFF"/>
          <w:lang w:val="en-GB"/>
        </w:rPr>
        <w:t>Barrett</w:t>
      </w:r>
      <w:proofErr w:type="spellEnd"/>
      <w:r w:rsidRPr="00A42282">
        <w:rPr>
          <w:rFonts w:cstheme="minorHAnsi"/>
          <w:color w:val="222222"/>
          <w:sz w:val="24"/>
          <w:szCs w:val="24"/>
          <w:shd w:val="clear" w:color="auto" w:fill="FFFFFF"/>
          <w:lang w:val="en-GB"/>
        </w:rPr>
        <w:t xml:space="preserve">, D.E. and </w:t>
      </w:r>
      <w:proofErr w:type="spellStart"/>
      <w:r w:rsidRPr="00A42282">
        <w:rPr>
          <w:rFonts w:cstheme="minorHAnsi"/>
          <w:color w:val="222222"/>
          <w:sz w:val="24"/>
          <w:szCs w:val="24"/>
          <w:shd w:val="clear" w:color="auto" w:fill="FFFFFF"/>
          <w:lang w:val="en-GB"/>
        </w:rPr>
        <w:t>Katsiyannis</w:t>
      </w:r>
      <w:bookmarkEnd w:id="2"/>
      <w:proofErr w:type="spellEnd"/>
      <w:r w:rsidRPr="00A42282">
        <w:rPr>
          <w:rFonts w:cstheme="minorHAnsi"/>
          <w:color w:val="222222"/>
          <w:sz w:val="24"/>
          <w:szCs w:val="24"/>
          <w:shd w:val="clear" w:color="auto" w:fill="FFFFFF"/>
          <w:lang w:val="en-GB"/>
        </w:rPr>
        <w:t>, A., 2016. Juvenile offending and crime in early adulthood: A large sample analysis. </w:t>
      </w:r>
      <w:r w:rsidRPr="00A42282">
        <w:rPr>
          <w:rFonts w:cstheme="minorHAnsi"/>
          <w:i/>
          <w:iCs/>
          <w:color w:val="222222"/>
          <w:sz w:val="24"/>
          <w:szCs w:val="24"/>
          <w:shd w:val="clear" w:color="auto" w:fill="FFFFFF"/>
          <w:lang w:val="en-GB"/>
        </w:rPr>
        <w:t>Journal of Child and Family Studies</w:t>
      </w:r>
      <w:r w:rsidRPr="00A42282">
        <w:rPr>
          <w:rFonts w:cstheme="minorHAnsi"/>
          <w:color w:val="222222"/>
          <w:sz w:val="24"/>
          <w:szCs w:val="24"/>
          <w:shd w:val="clear" w:color="auto" w:fill="FFFFFF"/>
          <w:lang w:val="en-GB"/>
        </w:rPr>
        <w:t>, </w:t>
      </w:r>
      <w:r w:rsidRPr="00A42282">
        <w:rPr>
          <w:rFonts w:cstheme="minorHAnsi"/>
          <w:i/>
          <w:iCs/>
          <w:color w:val="222222"/>
          <w:sz w:val="24"/>
          <w:szCs w:val="24"/>
          <w:shd w:val="clear" w:color="auto" w:fill="FFFFFF"/>
          <w:lang w:val="en-GB"/>
        </w:rPr>
        <w:t>25</w:t>
      </w:r>
      <w:r w:rsidRPr="00A42282">
        <w:rPr>
          <w:rFonts w:cstheme="minorHAnsi"/>
          <w:color w:val="222222"/>
          <w:sz w:val="24"/>
          <w:szCs w:val="24"/>
          <w:shd w:val="clear" w:color="auto" w:fill="FFFFFF"/>
          <w:lang w:val="en-GB"/>
        </w:rPr>
        <w:t>, pp.1086-1097.</w:t>
      </w:r>
    </w:p>
    <w:p w14:paraId="7F8248C3" w14:textId="77777777" w:rsidR="00A42282" w:rsidRPr="00A42282" w:rsidRDefault="00A42282" w:rsidP="00A42282">
      <w:pPr>
        <w:spacing w:line="360" w:lineRule="auto"/>
        <w:jc w:val="both"/>
        <w:rPr>
          <w:rFonts w:eastAsia="Times New Roman" w:cstheme="minorHAnsi"/>
          <w:sz w:val="24"/>
          <w:szCs w:val="24"/>
          <w:lang w:val="en-GB"/>
        </w:rPr>
      </w:pPr>
      <w:r w:rsidRPr="00A42282">
        <w:rPr>
          <w:rFonts w:cstheme="minorHAnsi"/>
          <w:color w:val="222222"/>
          <w:sz w:val="24"/>
          <w:szCs w:val="24"/>
          <w:shd w:val="clear" w:color="auto" w:fill="FFFFFF"/>
          <w:lang w:val="en-GB"/>
        </w:rPr>
        <w:t>Piquero, A.R., Jennings, W.G. and Farrington, D.P., 2010. On the malleability of self‐control: Theoretical and policy implications regarding a general theory of crime. </w:t>
      </w:r>
      <w:r w:rsidRPr="00A42282">
        <w:rPr>
          <w:rFonts w:cstheme="minorHAnsi"/>
          <w:i/>
          <w:iCs/>
          <w:color w:val="222222"/>
          <w:sz w:val="24"/>
          <w:szCs w:val="24"/>
          <w:shd w:val="clear" w:color="auto" w:fill="FFFFFF"/>
          <w:lang w:val="en-GB"/>
        </w:rPr>
        <w:t>Justice Quarterly</w:t>
      </w:r>
      <w:r w:rsidRPr="00A42282">
        <w:rPr>
          <w:rFonts w:cstheme="minorHAnsi"/>
          <w:color w:val="222222"/>
          <w:sz w:val="24"/>
          <w:szCs w:val="24"/>
          <w:shd w:val="clear" w:color="auto" w:fill="FFFFFF"/>
          <w:lang w:val="en-GB"/>
        </w:rPr>
        <w:t>, </w:t>
      </w:r>
      <w:r w:rsidRPr="00A42282">
        <w:rPr>
          <w:rFonts w:cstheme="minorHAnsi"/>
          <w:i/>
          <w:iCs/>
          <w:color w:val="222222"/>
          <w:sz w:val="24"/>
          <w:szCs w:val="24"/>
          <w:shd w:val="clear" w:color="auto" w:fill="FFFFFF"/>
          <w:lang w:val="en-GB"/>
        </w:rPr>
        <w:t>27</w:t>
      </w:r>
      <w:r w:rsidRPr="00A42282">
        <w:rPr>
          <w:rFonts w:cstheme="minorHAnsi"/>
          <w:color w:val="222222"/>
          <w:sz w:val="24"/>
          <w:szCs w:val="24"/>
          <w:shd w:val="clear" w:color="auto" w:fill="FFFFFF"/>
          <w:lang w:val="en-GB"/>
        </w:rPr>
        <w:t>(6), pp.803-834.</w:t>
      </w:r>
    </w:p>
    <w:p w14:paraId="442E57E7" w14:textId="3DD22564" w:rsidR="00A42282" w:rsidRPr="00A42282" w:rsidRDefault="00A42282" w:rsidP="00A42282">
      <w:pPr>
        <w:spacing w:line="360" w:lineRule="auto"/>
        <w:jc w:val="both"/>
        <w:rPr>
          <w:rFonts w:eastAsia="Times New Roman" w:cstheme="minorHAnsi"/>
          <w:sz w:val="24"/>
          <w:szCs w:val="24"/>
          <w:lang w:val="en-GB" w:eastAsia="en-GB"/>
        </w:rPr>
      </w:pPr>
      <w:proofErr w:type="spellStart"/>
      <w:r w:rsidRPr="00A42282">
        <w:rPr>
          <w:rFonts w:eastAsia="Times New Roman" w:cstheme="minorHAnsi"/>
          <w:sz w:val="24"/>
          <w:szCs w:val="24"/>
          <w:lang w:val="en-GB" w:eastAsia="en-GB"/>
        </w:rPr>
        <w:t>Pusch</w:t>
      </w:r>
      <w:proofErr w:type="spellEnd"/>
      <w:r w:rsidRPr="00A42282">
        <w:rPr>
          <w:rFonts w:eastAsia="Times New Roman" w:cstheme="minorHAnsi"/>
          <w:sz w:val="24"/>
          <w:szCs w:val="24"/>
          <w:lang w:val="en-GB" w:eastAsia="en-GB"/>
        </w:rPr>
        <w:t xml:space="preserve">, N. and </w:t>
      </w:r>
      <w:proofErr w:type="spellStart"/>
      <w:r w:rsidRPr="00A42282">
        <w:rPr>
          <w:rFonts w:eastAsia="Times New Roman" w:cstheme="minorHAnsi"/>
          <w:sz w:val="24"/>
          <w:szCs w:val="24"/>
          <w:lang w:val="en-GB" w:eastAsia="en-GB"/>
        </w:rPr>
        <w:t>Holtfreter</w:t>
      </w:r>
      <w:proofErr w:type="spellEnd"/>
      <w:r w:rsidRPr="00A42282">
        <w:rPr>
          <w:rFonts w:eastAsia="Times New Roman" w:cstheme="minorHAnsi"/>
          <w:sz w:val="24"/>
          <w:szCs w:val="24"/>
          <w:lang w:val="en-GB" w:eastAsia="en-GB"/>
        </w:rPr>
        <w:t xml:space="preserve">, K., 2018. Gender and risk assessment in juvenile offenders: A meta-analysis. Criminal justice and </w:t>
      </w:r>
      <w:r w:rsidR="00461A17">
        <w:rPr>
          <w:rFonts w:eastAsia="Times New Roman" w:cstheme="minorHAnsi"/>
          <w:sz w:val="24"/>
          <w:szCs w:val="24"/>
          <w:lang w:val="en-GB" w:eastAsia="en-GB"/>
        </w:rPr>
        <w:t>behaviour</w:t>
      </w:r>
      <w:r w:rsidRPr="00A42282">
        <w:rPr>
          <w:rFonts w:eastAsia="Times New Roman" w:cstheme="minorHAnsi"/>
          <w:sz w:val="24"/>
          <w:szCs w:val="24"/>
          <w:lang w:val="en-GB" w:eastAsia="en-GB"/>
        </w:rPr>
        <w:t>, 45(1), pp.56-81.</w:t>
      </w:r>
    </w:p>
    <w:p w14:paraId="40EF0485" w14:textId="77777777" w:rsidR="00A42282" w:rsidRPr="00A42282" w:rsidRDefault="00A42282" w:rsidP="00A42282">
      <w:pPr>
        <w:spacing w:line="360" w:lineRule="auto"/>
        <w:jc w:val="both"/>
        <w:rPr>
          <w:rFonts w:eastAsia="Times New Roman" w:cstheme="minorHAnsi"/>
          <w:sz w:val="24"/>
          <w:szCs w:val="24"/>
          <w:lang w:val="en-GB" w:eastAsia="en-GB"/>
        </w:rPr>
      </w:pPr>
      <w:r w:rsidRPr="00A42282">
        <w:rPr>
          <w:rFonts w:eastAsia="Times New Roman" w:cstheme="minorHAnsi"/>
          <w:sz w:val="24"/>
          <w:szCs w:val="24"/>
          <w:lang w:val="en-GB" w:eastAsia="en-GB"/>
        </w:rPr>
        <w:t xml:space="preserve">Ross, A., Duckworth, K., Smith, D.J., </w:t>
      </w:r>
      <w:proofErr w:type="spellStart"/>
      <w:r w:rsidRPr="00A42282">
        <w:rPr>
          <w:rFonts w:eastAsia="Times New Roman" w:cstheme="minorHAnsi"/>
          <w:sz w:val="24"/>
          <w:szCs w:val="24"/>
          <w:lang w:val="en-GB" w:eastAsia="en-GB"/>
        </w:rPr>
        <w:t>Wyness</w:t>
      </w:r>
      <w:proofErr w:type="spellEnd"/>
      <w:r w:rsidRPr="00A42282">
        <w:rPr>
          <w:rFonts w:eastAsia="Times New Roman" w:cstheme="minorHAnsi"/>
          <w:sz w:val="24"/>
          <w:szCs w:val="24"/>
          <w:lang w:val="en-GB" w:eastAsia="en-GB"/>
        </w:rPr>
        <w:t>, G. and Schoon, I., 2011. Prevention and Reduction: A review of strategies for intervening early to prevent or reduce youth crime and anti-social behaviour. Centre for Analysis of Youth Transitions, Department of Education.</w:t>
      </w:r>
    </w:p>
    <w:p w14:paraId="2C8D46B9" w14:textId="7C8163F6" w:rsidR="00A42282" w:rsidRPr="00A42282" w:rsidRDefault="00A42282" w:rsidP="00A42282">
      <w:pPr>
        <w:spacing w:line="360" w:lineRule="auto"/>
        <w:jc w:val="both"/>
        <w:rPr>
          <w:rFonts w:eastAsia="Times New Roman" w:cstheme="minorHAnsi"/>
          <w:sz w:val="24"/>
          <w:szCs w:val="24"/>
          <w:lang w:val="en-GB" w:eastAsia="en-GB"/>
        </w:rPr>
      </w:pPr>
      <w:r w:rsidRPr="00A42282">
        <w:rPr>
          <w:rFonts w:eastAsia="Times New Roman" w:cstheme="minorHAnsi"/>
          <w:sz w:val="24"/>
          <w:szCs w:val="24"/>
          <w:lang w:val="en-GB" w:eastAsia="en-GB"/>
        </w:rPr>
        <w:t xml:space="preserve">Walker, H.M., Severson, H., Stiller, B., Williams, G., Haring, N., Shinn, M. and </w:t>
      </w:r>
      <w:proofErr w:type="spellStart"/>
      <w:r w:rsidRPr="00A42282">
        <w:rPr>
          <w:rFonts w:eastAsia="Times New Roman" w:cstheme="minorHAnsi"/>
          <w:sz w:val="24"/>
          <w:szCs w:val="24"/>
          <w:lang w:val="en-GB" w:eastAsia="en-GB"/>
        </w:rPr>
        <w:t>Todis</w:t>
      </w:r>
      <w:proofErr w:type="spellEnd"/>
      <w:r w:rsidRPr="00A42282">
        <w:rPr>
          <w:rFonts w:eastAsia="Times New Roman" w:cstheme="minorHAnsi"/>
          <w:sz w:val="24"/>
          <w:szCs w:val="24"/>
          <w:lang w:val="en-GB" w:eastAsia="en-GB"/>
        </w:rPr>
        <w:t xml:space="preserve">, B., 1988. Systematic screening of pupils in the elementary age </w:t>
      </w:r>
      <w:r w:rsidR="00461A17">
        <w:rPr>
          <w:rFonts w:eastAsia="Times New Roman" w:cstheme="minorHAnsi"/>
          <w:sz w:val="24"/>
          <w:szCs w:val="24"/>
          <w:lang w:val="en-GB" w:eastAsia="en-GB"/>
        </w:rPr>
        <w:t>ranges</w:t>
      </w:r>
      <w:r w:rsidRPr="00A42282">
        <w:rPr>
          <w:rFonts w:eastAsia="Times New Roman" w:cstheme="minorHAnsi"/>
          <w:sz w:val="24"/>
          <w:szCs w:val="24"/>
          <w:lang w:val="en-GB" w:eastAsia="en-GB"/>
        </w:rPr>
        <w:t xml:space="preserve"> at risk for </w:t>
      </w:r>
      <w:r w:rsidR="00461A17">
        <w:rPr>
          <w:rFonts w:eastAsia="Times New Roman" w:cstheme="minorHAnsi"/>
          <w:sz w:val="24"/>
          <w:szCs w:val="24"/>
          <w:lang w:val="en-GB" w:eastAsia="en-GB"/>
        </w:rPr>
        <w:t>behaviour</w:t>
      </w:r>
      <w:r w:rsidRPr="00A42282">
        <w:rPr>
          <w:rFonts w:eastAsia="Times New Roman" w:cstheme="minorHAnsi"/>
          <w:sz w:val="24"/>
          <w:szCs w:val="24"/>
          <w:lang w:val="en-GB" w:eastAsia="en-GB"/>
        </w:rPr>
        <w:t xml:space="preserve"> disorders: Development and trial testing of multiple gating </w:t>
      </w:r>
      <w:r w:rsidR="00461A17">
        <w:rPr>
          <w:rFonts w:eastAsia="Times New Roman" w:cstheme="minorHAnsi"/>
          <w:sz w:val="24"/>
          <w:szCs w:val="24"/>
          <w:lang w:val="en-GB" w:eastAsia="en-GB"/>
        </w:rPr>
        <w:t>models</w:t>
      </w:r>
      <w:r w:rsidRPr="00A42282">
        <w:rPr>
          <w:rFonts w:eastAsia="Times New Roman" w:cstheme="minorHAnsi"/>
          <w:sz w:val="24"/>
          <w:szCs w:val="24"/>
          <w:lang w:val="en-GB" w:eastAsia="en-GB"/>
        </w:rPr>
        <w:t>. Remedial and Special Education, 9(3), pp.8-20.</w:t>
      </w:r>
    </w:p>
    <w:p w14:paraId="42DEE9F8" w14:textId="77777777" w:rsidR="00A42282" w:rsidRPr="00A42282" w:rsidRDefault="00A42282" w:rsidP="00A42282">
      <w:pPr>
        <w:spacing w:line="360" w:lineRule="auto"/>
        <w:jc w:val="both"/>
        <w:rPr>
          <w:rFonts w:eastAsia="Times New Roman" w:cstheme="minorHAnsi"/>
          <w:sz w:val="24"/>
          <w:szCs w:val="24"/>
          <w:lang w:val="en-GB"/>
        </w:rPr>
      </w:pPr>
      <w:r w:rsidRPr="00A42282">
        <w:rPr>
          <w:rFonts w:cstheme="minorHAnsi"/>
          <w:color w:val="222222"/>
          <w:sz w:val="24"/>
          <w:szCs w:val="24"/>
          <w:shd w:val="clear" w:color="auto" w:fill="FFFFFF"/>
          <w:lang w:val="en-GB"/>
        </w:rPr>
        <w:lastRenderedPageBreak/>
        <w:t xml:space="preserve">Welsh, B.C., Lipsey, M.W., </w:t>
      </w:r>
      <w:proofErr w:type="spellStart"/>
      <w:r w:rsidRPr="00A42282">
        <w:rPr>
          <w:rFonts w:cstheme="minorHAnsi"/>
          <w:color w:val="222222"/>
          <w:sz w:val="24"/>
          <w:szCs w:val="24"/>
          <w:shd w:val="clear" w:color="auto" w:fill="FFFFFF"/>
          <w:lang w:val="en-GB"/>
        </w:rPr>
        <w:t>Rivara</w:t>
      </w:r>
      <w:proofErr w:type="spellEnd"/>
      <w:r w:rsidRPr="00A42282">
        <w:rPr>
          <w:rFonts w:cstheme="minorHAnsi"/>
          <w:color w:val="222222"/>
          <w:sz w:val="24"/>
          <w:szCs w:val="24"/>
          <w:shd w:val="clear" w:color="auto" w:fill="FFFFFF"/>
          <w:lang w:val="en-GB"/>
        </w:rPr>
        <w:t xml:space="preserve">, F.P., Hawkins, J.D., </w:t>
      </w:r>
      <w:proofErr w:type="spellStart"/>
      <w:r w:rsidRPr="00A42282">
        <w:rPr>
          <w:rFonts w:cstheme="minorHAnsi"/>
          <w:color w:val="222222"/>
          <w:sz w:val="24"/>
          <w:szCs w:val="24"/>
          <w:shd w:val="clear" w:color="auto" w:fill="FFFFFF"/>
          <w:lang w:val="en-GB"/>
        </w:rPr>
        <w:t>Aos</w:t>
      </w:r>
      <w:proofErr w:type="spellEnd"/>
      <w:r w:rsidRPr="00A42282">
        <w:rPr>
          <w:rFonts w:cstheme="minorHAnsi"/>
          <w:color w:val="222222"/>
          <w:sz w:val="24"/>
          <w:szCs w:val="24"/>
          <w:shd w:val="clear" w:color="auto" w:fill="FFFFFF"/>
          <w:lang w:val="en-GB"/>
        </w:rPr>
        <w:t>, S. and Hollis-Peel, M.E., 2012. Promoting change, changing lives. </w:t>
      </w:r>
      <w:r w:rsidRPr="00A42282">
        <w:rPr>
          <w:rFonts w:cstheme="minorHAnsi"/>
          <w:i/>
          <w:iCs/>
          <w:color w:val="222222"/>
          <w:sz w:val="24"/>
          <w:szCs w:val="24"/>
          <w:shd w:val="clear" w:color="auto" w:fill="FFFFFF"/>
          <w:lang w:val="en-GB"/>
        </w:rPr>
        <w:t>From juvenile delinquency to adult crime: Criminal careers, justice policy and prevention</w:t>
      </w:r>
      <w:r w:rsidRPr="00A42282">
        <w:rPr>
          <w:rFonts w:cstheme="minorHAnsi"/>
          <w:color w:val="222222"/>
          <w:sz w:val="24"/>
          <w:szCs w:val="24"/>
          <w:shd w:val="clear" w:color="auto" w:fill="FFFFFF"/>
          <w:lang w:val="en-GB"/>
        </w:rPr>
        <w:t>, p.245.</w:t>
      </w:r>
    </w:p>
    <w:p w14:paraId="02947750" w14:textId="77777777" w:rsidR="00465130" w:rsidRDefault="00465130" w:rsidP="00A42282">
      <w:pPr>
        <w:spacing w:before="100" w:beforeAutospacing="1" w:after="0" w:line="360" w:lineRule="auto"/>
        <w:jc w:val="both"/>
        <w:rPr>
          <w:rFonts w:eastAsia="Times New Roman" w:cstheme="minorHAnsi"/>
          <w:b/>
          <w:bCs/>
          <w:color w:val="000000"/>
          <w:sz w:val="24"/>
          <w:szCs w:val="24"/>
          <w:lang w:val="en-GB"/>
        </w:rPr>
      </w:pPr>
    </w:p>
    <w:p w14:paraId="6C076C61" w14:textId="09CFC3BA" w:rsidR="00FB11DC" w:rsidRPr="00A42282" w:rsidRDefault="00FB11DC" w:rsidP="00A42282">
      <w:pPr>
        <w:spacing w:before="100" w:beforeAutospacing="1" w:after="0" w:line="360" w:lineRule="auto"/>
        <w:jc w:val="both"/>
        <w:rPr>
          <w:rFonts w:eastAsia="Times New Roman" w:cstheme="minorHAnsi"/>
          <w:b/>
          <w:bCs/>
          <w:color w:val="000000"/>
          <w:sz w:val="24"/>
          <w:szCs w:val="24"/>
          <w:lang w:val="en-GB"/>
        </w:rPr>
        <w:sectPr w:rsidR="00FB11DC" w:rsidRPr="00A42282">
          <w:pgSz w:w="11906" w:h="16838"/>
          <w:pgMar w:top="1440" w:right="1440" w:bottom="1440" w:left="1440" w:header="708" w:footer="708" w:gutter="0"/>
          <w:cols w:space="708"/>
          <w:docGrid w:linePitch="360"/>
        </w:sectPr>
      </w:pPr>
    </w:p>
    <w:p w14:paraId="04FFAF12" w14:textId="38A05AB4" w:rsidR="009B4C08" w:rsidRPr="00A42282" w:rsidRDefault="009B4C08" w:rsidP="00A42282">
      <w:pPr>
        <w:pStyle w:val="Heading1"/>
        <w:jc w:val="both"/>
        <w:rPr>
          <w:rFonts w:asciiTheme="minorHAnsi" w:hAnsiTheme="minorHAnsi" w:cstheme="minorHAnsi"/>
          <w:sz w:val="24"/>
          <w:szCs w:val="24"/>
          <w:lang w:val="en-GB"/>
        </w:rPr>
      </w:pPr>
      <w:r w:rsidRPr="00A42282">
        <w:rPr>
          <w:rFonts w:asciiTheme="minorHAnsi" w:hAnsiTheme="minorHAnsi" w:cstheme="minorHAnsi"/>
          <w:sz w:val="24"/>
          <w:szCs w:val="24"/>
          <w:lang w:val="en-GB"/>
        </w:rPr>
        <w:lastRenderedPageBreak/>
        <w:t>Essay 4</w:t>
      </w:r>
    </w:p>
    <w:p w14:paraId="43B95A70" w14:textId="40407CC7" w:rsidR="00255C03" w:rsidRPr="00A42282" w:rsidRDefault="00255C03" w:rsidP="00A42282">
      <w:pPr>
        <w:spacing w:before="240" w:line="360" w:lineRule="auto"/>
        <w:jc w:val="both"/>
        <w:rPr>
          <w:rFonts w:cstheme="minorHAnsi"/>
          <w:b/>
          <w:bCs/>
          <w:sz w:val="24"/>
          <w:szCs w:val="24"/>
          <w:lang w:val="en-GB"/>
        </w:rPr>
      </w:pPr>
      <w:r w:rsidRPr="00A42282">
        <w:rPr>
          <w:rFonts w:cstheme="minorHAnsi"/>
          <w:b/>
          <w:bCs/>
          <w:sz w:val="24"/>
          <w:szCs w:val="24"/>
          <w:lang w:val="en-GB"/>
        </w:rPr>
        <w:t>Are partner approaches the most effective means of rehabilitating offenders?</w:t>
      </w:r>
    </w:p>
    <w:p w14:paraId="6EB2E9D8" w14:textId="2049B2CE" w:rsidR="006C7807" w:rsidRPr="00A42282" w:rsidRDefault="001D48B2" w:rsidP="00A42282">
      <w:pPr>
        <w:spacing w:line="360" w:lineRule="auto"/>
        <w:jc w:val="both"/>
        <w:rPr>
          <w:rFonts w:cstheme="minorHAnsi"/>
          <w:sz w:val="24"/>
          <w:szCs w:val="24"/>
          <w:lang w:val="en-GB"/>
        </w:rPr>
      </w:pPr>
      <w:r w:rsidRPr="00A42282">
        <w:rPr>
          <w:rFonts w:cstheme="minorHAnsi"/>
          <w:sz w:val="24"/>
          <w:szCs w:val="24"/>
          <w:lang w:val="en-GB"/>
        </w:rPr>
        <w:t xml:space="preserve">Rehabilitation plays an important role in </w:t>
      </w:r>
      <w:r w:rsidR="00461A17">
        <w:rPr>
          <w:rFonts w:cstheme="minorHAnsi"/>
          <w:sz w:val="24"/>
          <w:szCs w:val="24"/>
          <w:lang w:val="en-GB"/>
        </w:rPr>
        <w:t xml:space="preserve">an </w:t>
      </w:r>
      <w:r w:rsidRPr="00A42282">
        <w:rPr>
          <w:rFonts w:cstheme="minorHAnsi"/>
          <w:sz w:val="24"/>
          <w:szCs w:val="24"/>
          <w:lang w:val="en-GB"/>
        </w:rPr>
        <w:t xml:space="preserve">offender’s life, ultimately having a positive impact on society. It is well-known that a truly rehabilitative program would produce more successful individuals for society, effective means of rehabilitating offenders therefore are of great significance. </w:t>
      </w:r>
      <w:r w:rsidR="00255C03" w:rsidRPr="00A42282">
        <w:rPr>
          <w:rFonts w:cstheme="minorHAnsi"/>
          <w:sz w:val="24"/>
          <w:szCs w:val="24"/>
          <w:lang w:val="en-GB"/>
        </w:rPr>
        <w:t xml:space="preserve">The </w:t>
      </w:r>
      <w:r w:rsidRPr="00A42282">
        <w:rPr>
          <w:rFonts w:cstheme="minorHAnsi"/>
          <w:sz w:val="24"/>
          <w:szCs w:val="24"/>
          <w:lang w:val="en-GB"/>
        </w:rPr>
        <w:t>essay</w:t>
      </w:r>
      <w:r w:rsidR="00255C03" w:rsidRPr="00A42282">
        <w:rPr>
          <w:rFonts w:cstheme="minorHAnsi"/>
          <w:sz w:val="24"/>
          <w:szCs w:val="24"/>
          <w:lang w:val="en-GB"/>
        </w:rPr>
        <w:t xml:space="preserve"> </w:t>
      </w:r>
      <w:r w:rsidRPr="00A42282">
        <w:rPr>
          <w:rFonts w:cstheme="minorHAnsi"/>
          <w:sz w:val="24"/>
          <w:szCs w:val="24"/>
          <w:lang w:val="en-GB"/>
        </w:rPr>
        <w:t xml:space="preserve">will outline the primary approaches of rehabilitating offenders, further describe </w:t>
      </w:r>
      <w:r w:rsidR="009B4C08" w:rsidRPr="00A42282">
        <w:rPr>
          <w:rFonts w:cstheme="minorHAnsi"/>
          <w:sz w:val="24"/>
          <w:szCs w:val="24"/>
          <w:lang w:val="en-GB"/>
        </w:rPr>
        <w:t>partner approaches for rehabilitation and</w:t>
      </w:r>
      <w:r w:rsidR="00F53685" w:rsidRPr="00A42282">
        <w:rPr>
          <w:rFonts w:cstheme="minorHAnsi"/>
          <w:sz w:val="24"/>
          <w:szCs w:val="24"/>
          <w:lang w:val="en-GB"/>
        </w:rPr>
        <w:t xml:space="preserve"> finally illustrate the effectiveness of partner collaboration in rehabilitating individuals and </w:t>
      </w:r>
      <w:r w:rsidR="00255C03" w:rsidRPr="00A42282">
        <w:rPr>
          <w:rFonts w:cstheme="minorHAnsi"/>
          <w:sz w:val="24"/>
          <w:szCs w:val="24"/>
          <w:lang w:val="en-GB"/>
        </w:rPr>
        <w:t xml:space="preserve">reducing recidivism rates in the United Kingdom. </w:t>
      </w:r>
    </w:p>
    <w:p w14:paraId="695C329C" w14:textId="096243DA" w:rsidR="00D17643" w:rsidRPr="00A42282" w:rsidRDefault="00F53685" w:rsidP="00A42282">
      <w:pPr>
        <w:spacing w:line="360" w:lineRule="auto"/>
        <w:jc w:val="both"/>
        <w:rPr>
          <w:rFonts w:cstheme="minorHAnsi"/>
          <w:sz w:val="24"/>
          <w:szCs w:val="24"/>
          <w:lang w:val="en-GB"/>
        </w:rPr>
      </w:pPr>
      <w:r w:rsidRPr="00A42282">
        <w:rPr>
          <w:rFonts w:cstheme="minorHAnsi"/>
          <w:sz w:val="24"/>
          <w:szCs w:val="24"/>
          <w:lang w:val="en-GB"/>
        </w:rPr>
        <w:t>England and Wales provide rehabilitation services primarily via prison and probation services</w:t>
      </w:r>
      <w:r w:rsidR="00382B5C" w:rsidRPr="00A42282">
        <w:rPr>
          <w:rFonts w:cstheme="minorHAnsi"/>
          <w:sz w:val="24"/>
          <w:szCs w:val="24"/>
          <w:lang w:val="en-GB"/>
        </w:rPr>
        <w:t>, aiming to reduce the probability of reoffending.</w:t>
      </w:r>
      <w:r w:rsidR="00B24C86" w:rsidRPr="00A42282">
        <w:rPr>
          <w:rFonts w:cstheme="minorHAnsi"/>
          <w:sz w:val="24"/>
          <w:szCs w:val="24"/>
          <w:lang w:val="en-GB"/>
        </w:rPr>
        <w:t xml:space="preserve"> Regarding rehabilitation in prison, a case manager and a custody plan will be allocated for the prisoners, addressing their needs and risk of harm, and reducing the likelihood of recidivism. Services include educational and vocational programmes, which can be tailored on </w:t>
      </w:r>
      <w:r w:rsidR="00461A17">
        <w:rPr>
          <w:rFonts w:cstheme="minorHAnsi"/>
          <w:sz w:val="24"/>
          <w:szCs w:val="24"/>
          <w:lang w:val="en-GB"/>
        </w:rPr>
        <w:t>a group</w:t>
      </w:r>
      <w:r w:rsidR="00B24C86" w:rsidRPr="00A42282">
        <w:rPr>
          <w:rFonts w:cstheme="minorHAnsi"/>
          <w:sz w:val="24"/>
          <w:szCs w:val="24"/>
          <w:lang w:val="en-GB"/>
        </w:rPr>
        <w:t xml:space="preserve"> or one-to-one basis. The aims are to train and support prisoners to develop pro-social attitudes and new skills e.g. numeracy and literacy for future prospects. Interventions for drug and alcohol addiction are provided to the prisoners, </w:t>
      </w:r>
      <w:r w:rsidR="00D17643" w:rsidRPr="00A42282">
        <w:rPr>
          <w:rFonts w:cstheme="minorHAnsi"/>
          <w:sz w:val="24"/>
          <w:szCs w:val="24"/>
          <w:lang w:val="en-GB"/>
        </w:rPr>
        <w:t>ensuring</w:t>
      </w:r>
      <w:r w:rsidR="00B24C86" w:rsidRPr="00A42282">
        <w:rPr>
          <w:rFonts w:cstheme="minorHAnsi"/>
          <w:sz w:val="24"/>
          <w:szCs w:val="24"/>
          <w:lang w:val="en-GB"/>
        </w:rPr>
        <w:t xml:space="preserve"> a full recovery from addiction upon prison release. </w:t>
      </w:r>
      <w:r w:rsidR="00D17643" w:rsidRPr="00A42282">
        <w:rPr>
          <w:rFonts w:cstheme="minorHAnsi"/>
          <w:sz w:val="24"/>
          <w:szCs w:val="24"/>
          <w:lang w:val="en-GB"/>
        </w:rPr>
        <w:t xml:space="preserve">Rehabilitation services in the community are primarily provided by the probation services such as house and employment support. </w:t>
      </w:r>
    </w:p>
    <w:p w14:paraId="2A9EDE99" w14:textId="52FBB373" w:rsidR="00676236" w:rsidRPr="00A42282" w:rsidRDefault="00382B5C" w:rsidP="00A42282">
      <w:pPr>
        <w:spacing w:line="360" w:lineRule="auto"/>
        <w:jc w:val="both"/>
        <w:rPr>
          <w:rFonts w:cstheme="minorHAnsi"/>
          <w:sz w:val="24"/>
          <w:szCs w:val="24"/>
          <w:lang w:val="en-GB"/>
        </w:rPr>
      </w:pPr>
      <w:r w:rsidRPr="00A42282">
        <w:rPr>
          <w:rFonts w:cstheme="minorHAnsi"/>
          <w:sz w:val="24"/>
          <w:szCs w:val="24"/>
          <w:lang w:val="en-GB"/>
        </w:rPr>
        <w:t xml:space="preserve">In May 2013, Transforming Rehabilitation was published by the Ministry of Justice to provide measures </w:t>
      </w:r>
      <w:r w:rsidR="00774B93" w:rsidRPr="00A42282">
        <w:rPr>
          <w:rFonts w:cstheme="minorHAnsi"/>
          <w:sz w:val="24"/>
          <w:szCs w:val="24"/>
          <w:lang w:val="en-GB"/>
        </w:rPr>
        <w:t>to increase the effectiveness of rehabilitation approaches (McNeill, 2013). However</w:t>
      </w:r>
      <w:r w:rsidRPr="00A42282">
        <w:rPr>
          <w:rFonts w:cstheme="minorHAnsi"/>
          <w:sz w:val="24"/>
          <w:szCs w:val="24"/>
          <w:lang w:val="en-GB"/>
        </w:rPr>
        <w:t xml:space="preserve">, it has been </w:t>
      </w:r>
      <w:r w:rsidR="00774B93" w:rsidRPr="00A42282">
        <w:rPr>
          <w:rFonts w:cstheme="minorHAnsi"/>
          <w:sz w:val="24"/>
          <w:szCs w:val="24"/>
          <w:lang w:val="en-GB"/>
        </w:rPr>
        <w:t xml:space="preserve">reported that the reoffending rate between April and June 2020 was 29%, which has </w:t>
      </w:r>
      <w:r w:rsidR="00A42282">
        <w:rPr>
          <w:rFonts w:cstheme="minorHAnsi"/>
          <w:sz w:val="24"/>
          <w:szCs w:val="24"/>
          <w:lang w:val="en-GB"/>
        </w:rPr>
        <w:t>increased</w:t>
      </w:r>
      <w:r w:rsidR="00774B93" w:rsidRPr="00A42282">
        <w:rPr>
          <w:rFonts w:cstheme="minorHAnsi"/>
          <w:sz w:val="24"/>
          <w:szCs w:val="24"/>
          <w:lang w:val="en-GB"/>
        </w:rPr>
        <w:t xml:space="preserve"> </w:t>
      </w:r>
      <w:r w:rsidR="00461A17">
        <w:rPr>
          <w:rFonts w:cstheme="minorHAnsi"/>
          <w:sz w:val="24"/>
          <w:szCs w:val="24"/>
          <w:lang w:val="en-GB"/>
        </w:rPr>
        <w:t xml:space="preserve">by </w:t>
      </w:r>
      <w:r w:rsidR="00774B93" w:rsidRPr="00A42282">
        <w:rPr>
          <w:rFonts w:cstheme="minorHAnsi"/>
          <w:sz w:val="24"/>
          <w:szCs w:val="24"/>
          <w:lang w:val="en-GB"/>
        </w:rPr>
        <w:t>2.7% from the same quarter in 2019</w:t>
      </w:r>
      <w:r w:rsidR="004113E3" w:rsidRPr="00A42282">
        <w:rPr>
          <w:rFonts w:cstheme="minorHAnsi"/>
          <w:sz w:val="24"/>
          <w:szCs w:val="24"/>
          <w:lang w:val="en-GB"/>
        </w:rPr>
        <w:t xml:space="preserve"> (National </w:t>
      </w:r>
      <w:r w:rsidR="00461A17">
        <w:rPr>
          <w:rFonts w:cstheme="minorHAnsi"/>
          <w:sz w:val="24"/>
          <w:szCs w:val="24"/>
          <w:lang w:val="en-GB"/>
        </w:rPr>
        <w:t>Statistics</w:t>
      </w:r>
      <w:r w:rsidR="004113E3" w:rsidRPr="00A42282">
        <w:rPr>
          <w:rFonts w:cstheme="minorHAnsi"/>
          <w:sz w:val="24"/>
          <w:szCs w:val="24"/>
          <w:lang w:val="en-GB"/>
        </w:rPr>
        <w:t>, 2022)</w:t>
      </w:r>
      <w:r w:rsidR="00774B93" w:rsidRPr="00A42282">
        <w:rPr>
          <w:rFonts w:cstheme="minorHAnsi"/>
          <w:sz w:val="24"/>
          <w:szCs w:val="24"/>
          <w:lang w:val="en-GB"/>
        </w:rPr>
        <w:t xml:space="preserve">. In addition, the </w:t>
      </w:r>
      <w:r w:rsidR="004113E3" w:rsidRPr="00A42282">
        <w:rPr>
          <w:rFonts w:cstheme="minorHAnsi"/>
          <w:sz w:val="24"/>
          <w:szCs w:val="24"/>
          <w:lang w:val="en-GB"/>
        </w:rPr>
        <w:t>Ministry</w:t>
      </w:r>
      <w:r w:rsidR="00774B93" w:rsidRPr="00A42282">
        <w:rPr>
          <w:rFonts w:cstheme="minorHAnsi"/>
          <w:sz w:val="24"/>
          <w:szCs w:val="24"/>
          <w:lang w:val="en-GB"/>
        </w:rPr>
        <w:t xml:space="preserve"> of Justice</w:t>
      </w:r>
      <w:r w:rsidR="004113E3" w:rsidRPr="00A42282">
        <w:rPr>
          <w:rFonts w:cstheme="minorHAnsi"/>
          <w:sz w:val="24"/>
          <w:szCs w:val="24"/>
          <w:lang w:val="en-GB"/>
        </w:rPr>
        <w:t xml:space="preserve"> has</w:t>
      </w:r>
      <w:r w:rsidR="00774B93" w:rsidRPr="00A42282">
        <w:rPr>
          <w:rFonts w:cstheme="minorHAnsi"/>
          <w:sz w:val="24"/>
          <w:szCs w:val="24"/>
          <w:lang w:val="en-GB"/>
        </w:rPr>
        <w:t xml:space="preserve"> raised a significant concern </w:t>
      </w:r>
      <w:r w:rsidR="004113E3" w:rsidRPr="00A42282">
        <w:rPr>
          <w:rFonts w:cstheme="minorHAnsi"/>
          <w:sz w:val="24"/>
          <w:szCs w:val="24"/>
          <w:lang w:val="en-GB"/>
        </w:rPr>
        <w:t>regarding the significantly high</w:t>
      </w:r>
      <w:r w:rsidRPr="00A42282">
        <w:rPr>
          <w:rFonts w:cstheme="minorHAnsi"/>
          <w:sz w:val="24"/>
          <w:szCs w:val="24"/>
          <w:lang w:val="en-GB"/>
        </w:rPr>
        <w:t xml:space="preserve"> proportion of prisoners who </w:t>
      </w:r>
      <w:r w:rsidR="00461A17">
        <w:rPr>
          <w:rFonts w:cstheme="minorHAnsi"/>
          <w:sz w:val="24"/>
          <w:szCs w:val="24"/>
          <w:lang w:val="en-GB"/>
        </w:rPr>
        <w:t>re-offend</w:t>
      </w:r>
      <w:r w:rsidRPr="00A42282">
        <w:rPr>
          <w:rFonts w:cstheme="minorHAnsi"/>
          <w:sz w:val="24"/>
          <w:szCs w:val="24"/>
          <w:lang w:val="en-GB"/>
        </w:rPr>
        <w:t xml:space="preserve"> upon release from prison.</w:t>
      </w:r>
      <w:r w:rsidR="004113E3" w:rsidRPr="00A42282">
        <w:rPr>
          <w:rFonts w:cstheme="minorHAnsi"/>
          <w:sz w:val="24"/>
          <w:szCs w:val="24"/>
          <w:lang w:val="en-GB"/>
        </w:rPr>
        <w:t xml:space="preserve"> This </w:t>
      </w:r>
      <w:r w:rsidR="00A42282">
        <w:rPr>
          <w:rFonts w:cstheme="minorHAnsi"/>
          <w:sz w:val="24"/>
          <w:szCs w:val="24"/>
          <w:lang w:val="en-GB"/>
        </w:rPr>
        <w:t>motivated</w:t>
      </w:r>
      <w:r w:rsidR="004113E3" w:rsidRPr="00A42282">
        <w:rPr>
          <w:rFonts w:cstheme="minorHAnsi"/>
          <w:sz w:val="24"/>
          <w:szCs w:val="24"/>
          <w:lang w:val="en-GB"/>
        </w:rPr>
        <w:t xml:space="preserve"> a publication of a white paper called Prison, Safety and Reform, which innovates new methods of tracking the progress of prison</w:t>
      </w:r>
      <w:r w:rsidR="00A42282">
        <w:rPr>
          <w:rFonts w:cstheme="minorHAnsi"/>
          <w:sz w:val="24"/>
          <w:szCs w:val="24"/>
          <w:lang w:val="en-GB"/>
        </w:rPr>
        <w:t>ers</w:t>
      </w:r>
      <w:r w:rsidR="004113E3" w:rsidRPr="00A42282">
        <w:rPr>
          <w:rFonts w:cstheme="minorHAnsi"/>
          <w:sz w:val="24"/>
          <w:szCs w:val="24"/>
          <w:lang w:val="en-GB"/>
        </w:rPr>
        <w:t xml:space="preserve"> throughout their sentencing course (Ministry of Justice, 2016). </w:t>
      </w:r>
      <w:r w:rsidR="000D73A8" w:rsidRPr="00A42282">
        <w:rPr>
          <w:rFonts w:cstheme="minorHAnsi"/>
          <w:sz w:val="24"/>
          <w:szCs w:val="24"/>
          <w:lang w:val="en-GB"/>
        </w:rPr>
        <w:t xml:space="preserve">It emphasises the need to provide </w:t>
      </w:r>
      <w:r w:rsidR="00676236" w:rsidRPr="00A42282">
        <w:rPr>
          <w:rFonts w:cstheme="minorHAnsi"/>
          <w:sz w:val="24"/>
          <w:szCs w:val="24"/>
          <w:lang w:val="en-GB"/>
        </w:rPr>
        <w:t xml:space="preserve">customised and </w:t>
      </w:r>
      <w:r w:rsidR="000D73A8" w:rsidRPr="00A42282">
        <w:rPr>
          <w:rFonts w:cstheme="minorHAnsi"/>
          <w:sz w:val="24"/>
          <w:szCs w:val="24"/>
          <w:lang w:val="en-GB"/>
        </w:rPr>
        <w:t>sustained support to</w:t>
      </w:r>
      <w:r w:rsidR="00676236" w:rsidRPr="00A42282">
        <w:rPr>
          <w:rFonts w:cstheme="minorHAnsi"/>
          <w:sz w:val="24"/>
          <w:szCs w:val="24"/>
          <w:lang w:val="en-GB"/>
        </w:rPr>
        <w:t xml:space="preserve"> </w:t>
      </w:r>
      <w:r w:rsidR="000D73A8" w:rsidRPr="00A42282">
        <w:rPr>
          <w:rFonts w:cstheme="minorHAnsi"/>
          <w:sz w:val="24"/>
          <w:szCs w:val="24"/>
          <w:lang w:val="en-GB"/>
        </w:rPr>
        <w:t>offenders throughout the journey (custody-prison-resettlement in society)</w:t>
      </w:r>
      <w:r w:rsidR="00676236" w:rsidRPr="00A42282">
        <w:rPr>
          <w:rFonts w:cstheme="minorHAnsi"/>
          <w:sz w:val="24"/>
          <w:szCs w:val="24"/>
          <w:lang w:val="en-GB"/>
        </w:rPr>
        <w:t xml:space="preserve">. It involves setting clear </w:t>
      </w:r>
      <w:r w:rsidR="00676236" w:rsidRPr="00A42282">
        <w:rPr>
          <w:rFonts w:cstheme="minorHAnsi"/>
          <w:sz w:val="24"/>
          <w:szCs w:val="24"/>
          <w:lang w:val="en-GB"/>
        </w:rPr>
        <w:lastRenderedPageBreak/>
        <w:t xml:space="preserve">goals for </w:t>
      </w:r>
      <w:r w:rsidR="001953E7">
        <w:rPr>
          <w:rFonts w:cstheme="minorHAnsi"/>
          <w:sz w:val="24"/>
          <w:szCs w:val="24"/>
          <w:lang w:val="en-GB"/>
        </w:rPr>
        <w:t xml:space="preserve">the </w:t>
      </w:r>
      <w:r w:rsidR="00676236" w:rsidRPr="00A42282">
        <w:rPr>
          <w:rFonts w:cstheme="minorHAnsi"/>
          <w:sz w:val="24"/>
          <w:szCs w:val="24"/>
          <w:lang w:val="en-GB"/>
        </w:rPr>
        <w:t xml:space="preserve">prison system and giving all governors the authority to deliver these services at their best practice, enabling a greater reflection for offenders and smooth resettlement. </w:t>
      </w:r>
    </w:p>
    <w:p w14:paraId="10FA8F67" w14:textId="67B42CCB" w:rsidR="00B132E9" w:rsidRPr="00A42282" w:rsidRDefault="00676236" w:rsidP="00A42282">
      <w:pPr>
        <w:spacing w:line="360" w:lineRule="auto"/>
        <w:jc w:val="both"/>
        <w:rPr>
          <w:rFonts w:cstheme="minorHAnsi"/>
          <w:sz w:val="24"/>
          <w:szCs w:val="24"/>
          <w:lang w:val="en-GB"/>
        </w:rPr>
      </w:pPr>
      <w:r w:rsidRPr="00A42282">
        <w:rPr>
          <w:rFonts w:cstheme="minorHAnsi"/>
          <w:sz w:val="24"/>
          <w:szCs w:val="24"/>
          <w:lang w:val="en-GB"/>
        </w:rPr>
        <w:t xml:space="preserve">In </w:t>
      </w:r>
      <w:r w:rsidR="003E21E5" w:rsidRPr="00A42282">
        <w:rPr>
          <w:rFonts w:cstheme="minorHAnsi"/>
          <w:sz w:val="24"/>
          <w:szCs w:val="24"/>
          <w:lang w:val="en-GB"/>
        </w:rPr>
        <w:t xml:space="preserve">August </w:t>
      </w:r>
      <w:r w:rsidRPr="00A42282">
        <w:rPr>
          <w:rFonts w:cstheme="minorHAnsi"/>
          <w:sz w:val="24"/>
          <w:szCs w:val="24"/>
          <w:lang w:val="en-GB"/>
        </w:rPr>
        <w:t>2017, a report entitled Importance of Strengthening Prisoners’ Family Ties to Prevent Reoffending and Reduce Intergenerational Crime has been released to highlight the importance of a dynamic framework between social ties and the Government to deliver effective rehabilitation approaches</w:t>
      </w:r>
      <w:r w:rsidR="003E21E5" w:rsidRPr="00A42282">
        <w:rPr>
          <w:rFonts w:cstheme="minorHAnsi"/>
          <w:sz w:val="24"/>
          <w:szCs w:val="24"/>
          <w:lang w:val="en-GB"/>
        </w:rPr>
        <w:t xml:space="preserve"> (Farmer, 2017)</w:t>
      </w:r>
      <w:r w:rsidRPr="00A42282">
        <w:rPr>
          <w:rFonts w:cstheme="minorHAnsi"/>
          <w:sz w:val="24"/>
          <w:szCs w:val="24"/>
          <w:lang w:val="en-GB"/>
        </w:rPr>
        <w:t xml:space="preserve">. </w:t>
      </w:r>
      <w:r w:rsidR="003E21E5" w:rsidRPr="00A42282">
        <w:rPr>
          <w:rFonts w:cstheme="minorHAnsi"/>
          <w:sz w:val="24"/>
          <w:szCs w:val="24"/>
          <w:lang w:val="en-GB"/>
        </w:rPr>
        <w:t xml:space="preserve">Since then, </w:t>
      </w:r>
      <w:r w:rsidR="00461A17">
        <w:rPr>
          <w:rFonts w:cstheme="minorHAnsi"/>
          <w:sz w:val="24"/>
          <w:szCs w:val="24"/>
          <w:lang w:val="en-GB"/>
        </w:rPr>
        <w:t>several</w:t>
      </w:r>
      <w:r w:rsidR="003E21E5" w:rsidRPr="00A42282">
        <w:rPr>
          <w:rFonts w:cstheme="minorHAnsi"/>
          <w:sz w:val="24"/>
          <w:szCs w:val="24"/>
          <w:lang w:val="en-GB"/>
        </w:rPr>
        <w:t xml:space="preserve"> studies and literature journals from different sectors </w:t>
      </w:r>
      <w:proofErr w:type="gramStart"/>
      <w:r w:rsidR="003E21E5" w:rsidRPr="00A42282">
        <w:rPr>
          <w:rFonts w:cstheme="minorHAnsi"/>
          <w:sz w:val="24"/>
          <w:szCs w:val="24"/>
          <w:lang w:val="en-GB"/>
        </w:rPr>
        <w:t>e.g.</w:t>
      </w:r>
      <w:proofErr w:type="gramEnd"/>
      <w:r w:rsidR="003E21E5" w:rsidRPr="00A42282">
        <w:rPr>
          <w:rFonts w:cstheme="minorHAnsi"/>
          <w:sz w:val="24"/>
          <w:szCs w:val="24"/>
          <w:lang w:val="en-GB"/>
        </w:rPr>
        <w:t xml:space="preserve"> </w:t>
      </w:r>
      <w:r w:rsidR="00461A17">
        <w:rPr>
          <w:rFonts w:cstheme="minorHAnsi"/>
          <w:sz w:val="24"/>
          <w:szCs w:val="24"/>
          <w:lang w:val="en-GB"/>
        </w:rPr>
        <w:t xml:space="preserve">the </w:t>
      </w:r>
      <w:r w:rsidR="003E21E5" w:rsidRPr="00A42282">
        <w:rPr>
          <w:rFonts w:cstheme="minorHAnsi"/>
          <w:sz w:val="24"/>
          <w:szCs w:val="24"/>
          <w:lang w:val="en-GB"/>
        </w:rPr>
        <w:t xml:space="preserve">scientific community, </w:t>
      </w:r>
      <w:r w:rsidR="00461A17">
        <w:rPr>
          <w:rFonts w:cstheme="minorHAnsi"/>
          <w:sz w:val="24"/>
          <w:szCs w:val="24"/>
          <w:lang w:val="en-GB"/>
        </w:rPr>
        <w:t xml:space="preserve">and </w:t>
      </w:r>
      <w:r w:rsidR="003E21E5" w:rsidRPr="00A42282">
        <w:rPr>
          <w:rFonts w:cstheme="minorHAnsi"/>
          <w:sz w:val="24"/>
          <w:szCs w:val="24"/>
          <w:lang w:val="en-GB"/>
        </w:rPr>
        <w:t xml:space="preserve">NHS, have been produced to further increase the effectiveness of rehabilitation services. For example, </w:t>
      </w:r>
      <w:r w:rsidR="00D23422" w:rsidRPr="00A42282">
        <w:rPr>
          <w:rFonts w:cstheme="minorHAnsi"/>
          <w:sz w:val="24"/>
          <w:szCs w:val="24"/>
          <w:lang w:val="en-GB"/>
        </w:rPr>
        <w:t xml:space="preserve">a joint study between the Ministry of Justice and Public Health England </w:t>
      </w:r>
      <w:r w:rsidR="00481AD8" w:rsidRPr="00A42282">
        <w:rPr>
          <w:rFonts w:cstheme="minorHAnsi"/>
          <w:sz w:val="24"/>
          <w:szCs w:val="24"/>
          <w:lang w:val="en-GB"/>
        </w:rPr>
        <w:t>(</w:t>
      </w:r>
      <w:r w:rsidR="00D23422" w:rsidRPr="00A42282">
        <w:rPr>
          <w:rFonts w:cstheme="minorHAnsi"/>
          <w:sz w:val="24"/>
          <w:szCs w:val="24"/>
          <w:lang w:val="en-GB"/>
        </w:rPr>
        <w:t>2017</w:t>
      </w:r>
      <w:r w:rsidR="00481AD8" w:rsidRPr="00A42282">
        <w:rPr>
          <w:rFonts w:cstheme="minorHAnsi"/>
          <w:sz w:val="24"/>
          <w:szCs w:val="24"/>
          <w:lang w:val="en-GB"/>
        </w:rPr>
        <w:t>)</w:t>
      </w:r>
      <w:r w:rsidR="00D23422" w:rsidRPr="00A42282">
        <w:rPr>
          <w:rFonts w:cstheme="minorHAnsi"/>
          <w:sz w:val="24"/>
          <w:szCs w:val="24"/>
          <w:lang w:val="en-GB"/>
        </w:rPr>
        <w:t xml:space="preserve"> has given insights </w:t>
      </w:r>
      <w:r w:rsidR="001953E7">
        <w:rPr>
          <w:rFonts w:cstheme="minorHAnsi"/>
          <w:sz w:val="24"/>
          <w:szCs w:val="24"/>
          <w:lang w:val="en-GB"/>
        </w:rPr>
        <w:t xml:space="preserve">into </w:t>
      </w:r>
      <w:r w:rsidR="00D23422" w:rsidRPr="00A42282">
        <w:rPr>
          <w:rFonts w:cstheme="minorHAnsi"/>
          <w:sz w:val="24"/>
          <w:szCs w:val="24"/>
          <w:lang w:val="en-GB"/>
        </w:rPr>
        <w:t>the association between community</w:t>
      </w:r>
      <w:r w:rsidR="00481AD8" w:rsidRPr="00A42282">
        <w:rPr>
          <w:rFonts w:cstheme="minorHAnsi"/>
          <w:sz w:val="24"/>
          <w:szCs w:val="24"/>
          <w:lang w:val="en-GB"/>
        </w:rPr>
        <w:t xml:space="preserve"> partner approaches and the risk of reoffending. It showed a reduction of 33% in reoffence within a cohort of offenders who </w:t>
      </w:r>
      <w:r w:rsidR="00461A17">
        <w:rPr>
          <w:rFonts w:cstheme="minorHAnsi"/>
          <w:sz w:val="24"/>
          <w:szCs w:val="24"/>
          <w:lang w:val="en-GB"/>
        </w:rPr>
        <w:t xml:space="preserve">had </w:t>
      </w:r>
      <w:r w:rsidR="00481AD8" w:rsidRPr="00A42282">
        <w:rPr>
          <w:rFonts w:cstheme="minorHAnsi"/>
          <w:sz w:val="24"/>
          <w:szCs w:val="24"/>
          <w:lang w:val="en-GB"/>
        </w:rPr>
        <w:t xml:space="preserve">undergone community medical and psychological treatment. It also suggested that individuals, who completed the treatment and continued to receive treatment with sustained mental support from the community, are less likely to re-offend. On the other </w:t>
      </w:r>
      <w:r w:rsidR="00461A17">
        <w:rPr>
          <w:rFonts w:cstheme="minorHAnsi"/>
          <w:sz w:val="24"/>
          <w:szCs w:val="24"/>
          <w:lang w:val="en-GB"/>
        </w:rPr>
        <w:t>hand</w:t>
      </w:r>
      <w:r w:rsidR="00481AD8" w:rsidRPr="00A42282">
        <w:rPr>
          <w:rFonts w:cstheme="minorHAnsi"/>
          <w:sz w:val="24"/>
          <w:szCs w:val="24"/>
          <w:lang w:val="en-GB"/>
        </w:rPr>
        <w:t xml:space="preserve">, those who are homeless and with </w:t>
      </w:r>
      <w:r w:rsidR="001953E7">
        <w:rPr>
          <w:rFonts w:cstheme="minorHAnsi"/>
          <w:sz w:val="24"/>
          <w:szCs w:val="24"/>
          <w:lang w:val="en-GB"/>
        </w:rPr>
        <w:t xml:space="preserve">drug addiction </w:t>
      </w:r>
      <w:r w:rsidR="00481AD8" w:rsidRPr="00A42282">
        <w:rPr>
          <w:rFonts w:cstheme="minorHAnsi"/>
          <w:sz w:val="24"/>
          <w:szCs w:val="24"/>
          <w:lang w:val="en-GB"/>
        </w:rPr>
        <w:t xml:space="preserve">are more likely to </w:t>
      </w:r>
      <w:r w:rsidR="00461A17">
        <w:rPr>
          <w:rFonts w:cstheme="minorHAnsi"/>
          <w:sz w:val="24"/>
          <w:szCs w:val="24"/>
          <w:lang w:val="en-GB"/>
        </w:rPr>
        <w:t>re-offend</w:t>
      </w:r>
      <w:r w:rsidR="00481AD8" w:rsidRPr="00A42282">
        <w:rPr>
          <w:rFonts w:cstheme="minorHAnsi"/>
          <w:sz w:val="24"/>
          <w:szCs w:val="24"/>
          <w:lang w:val="en-GB"/>
        </w:rPr>
        <w:t>. This illustrates the importance of collaboration</w:t>
      </w:r>
      <w:r w:rsidR="00B132E9" w:rsidRPr="00A42282">
        <w:rPr>
          <w:rFonts w:cstheme="minorHAnsi"/>
          <w:sz w:val="24"/>
          <w:szCs w:val="24"/>
          <w:lang w:val="en-GB"/>
        </w:rPr>
        <w:t xml:space="preserve"> between police, probation services and community team in aiding the resettlement </w:t>
      </w:r>
      <w:r w:rsidR="00461A17">
        <w:rPr>
          <w:rFonts w:cstheme="minorHAnsi"/>
          <w:sz w:val="24"/>
          <w:szCs w:val="24"/>
          <w:lang w:val="en-GB"/>
        </w:rPr>
        <w:t>of</w:t>
      </w:r>
      <w:r w:rsidR="00B132E9" w:rsidRPr="00A42282">
        <w:rPr>
          <w:rFonts w:cstheme="minorHAnsi"/>
          <w:sz w:val="24"/>
          <w:szCs w:val="24"/>
          <w:lang w:val="en-GB"/>
        </w:rPr>
        <w:t xml:space="preserve"> offenders </w:t>
      </w:r>
      <w:proofErr w:type="gramStart"/>
      <w:r w:rsidR="00B132E9" w:rsidRPr="00A42282">
        <w:rPr>
          <w:rFonts w:cstheme="minorHAnsi"/>
          <w:sz w:val="24"/>
          <w:szCs w:val="24"/>
          <w:lang w:val="en-GB"/>
        </w:rPr>
        <w:t>e.g.</w:t>
      </w:r>
      <w:proofErr w:type="gramEnd"/>
      <w:r w:rsidR="00B132E9" w:rsidRPr="00A42282">
        <w:rPr>
          <w:rFonts w:cstheme="minorHAnsi"/>
          <w:sz w:val="24"/>
          <w:szCs w:val="24"/>
          <w:lang w:val="en-GB"/>
        </w:rPr>
        <w:t xml:space="preserve"> support for accommodation, employment, continued therapeutics, and mental/behavioural management.</w:t>
      </w:r>
    </w:p>
    <w:p w14:paraId="778C2E39" w14:textId="224218D8" w:rsidR="00AC34C2" w:rsidRPr="00A42282" w:rsidRDefault="000D73A8" w:rsidP="00A42282">
      <w:pPr>
        <w:spacing w:line="360" w:lineRule="auto"/>
        <w:jc w:val="both"/>
        <w:rPr>
          <w:rFonts w:cstheme="minorHAnsi"/>
          <w:sz w:val="24"/>
          <w:szCs w:val="24"/>
          <w:lang w:val="en-GB"/>
        </w:rPr>
      </w:pPr>
      <w:r w:rsidRPr="00A42282">
        <w:rPr>
          <w:rFonts w:cstheme="minorHAnsi"/>
          <w:sz w:val="24"/>
          <w:szCs w:val="24"/>
          <w:lang w:val="en-GB"/>
        </w:rPr>
        <w:t>On the 23</w:t>
      </w:r>
      <w:r w:rsidRPr="00A42282">
        <w:rPr>
          <w:rFonts w:cstheme="minorHAnsi"/>
          <w:sz w:val="24"/>
          <w:szCs w:val="24"/>
          <w:vertAlign w:val="superscript"/>
          <w:lang w:val="en-GB"/>
        </w:rPr>
        <w:t>rd</w:t>
      </w:r>
      <w:r w:rsidRPr="00A42282">
        <w:rPr>
          <w:rFonts w:cstheme="minorHAnsi"/>
          <w:sz w:val="24"/>
          <w:szCs w:val="24"/>
          <w:lang w:val="en-GB"/>
        </w:rPr>
        <w:t xml:space="preserve"> </w:t>
      </w:r>
      <w:r w:rsidR="00461A17">
        <w:rPr>
          <w:rFonts w:cstheme="minorHAnsi"/>
          <w:sz w:val="24"/>
          <w:szCs w:val="24"/>
          <w:lang w:val="en-GB"/>
        </w:rPr>
        <w:t xml:space="preserve">of </w:t>
      </w:r>
      <w:r w:rsidRPr="00A42282">
        <w:rPr>
          <w:rFonts w:cstheme="minorHAnsi"/>
          <w:sz w:val="24"/>
          <w:szCs w:val="24"/>
          <w:lang w:val="en-GB"/>
        </w:rPr>
        <w:t xml:space="preserve">July 2019, the Ministry of Justice, its executive agency Her Majesty’s Prison and </w:t>
      </w:r>
      <w:r w:rsidR="00461A17">
        <w:rPr>
          <w:rFonts w:cstheme="minorHAnsi"/>
          <w:sz w:val="24"/>
          <w:szCs w:val="24"/>
          <w:lang w:val="en-GB"/>
        </w:rPr>
        <w:t xml:space="preserve">the </w:t>
      </w:r>
      <w:r w:rsidRPr="00A42282">
        <w:rPr>
          <w:rFonts w:cstheme="minorHAnsi"/>
          <w:sz w:val="24"/>
          <w:szCs w:val="24"/>
          <w:lang w:val="en-GB"/>
        </w:rPr>
        <w:t xml:space="preserve">Department of Work and Pensions released a joint agreement to drive rehabilitation and reduce recidivism. This National Partnership Agreement </w:t>
      </w:r>
      <w:r w:rsidR="00B132E9" w:rsidRPr="00A42282">
        <w:rPr>
          <w:rFonts w:cstheme="minorHAnsi"/>
          <w:sz w:val="24"/>
          <w:szCs w:val="24"/>
          <w:lang w:val="en-GB"/>
        </w:rPr>
        <w:t>further acknowledges and appreciates a multidisciplinary approach from partners</w:t>
      </w:r>
      <w:r w:rsidRPr="00A42282">
        <w:rPr>
          <w:rFonts w:cstheme="minorHAnsi"/>
          <w:sz w:val="24"/>
          <w:szCs w:val="24"/>
          <w:lang w:val="en-GB"/>
        </w:rPr>
        <w:t xml:space="preserve"> to</w:t>
      </w:r>
      <w:r w:rsidR="00B132E9" w:rsidRPr="00A42282">
        <w:rPr>
          <w:rFonts w:cstheme="minorHAnsi"/>
          <w:sz w:val="24"/>
          <w:szCs w:val="24"/>
          <w:lang w:val="en-GB"/>
        </w:rPr>
        <w:t xml:space="preserve"> boost offender rehabilitation.</w:t>
      </w:r>
      <w:r w:rsidR="00E23144" w:rsidRPr="00A42282">
        <w:rPr>
          <w:rFonts w:cstheme="minorHAnsi"/>
          <w:sz w:val="24"/>
          <w:szCs w:val="24"/>
          <w:lang w:val="en-GB"/>
        </w:rPr>
        <w:t xml:space="preserve"> Given the </w:t>
      </w:r>
      <w:r w:rsidRPr="00A42282">
        <w:rPr>
          <w:rFonts w:cstheme="minorHAnsi"/>
          <w:sz w:val="24"/>
          <w:szCs w:val="24"/>
          <w:lang w:val="en-GB"/>
        </w:rPr>
        <w:t xml:space="preserve">support </w:t>
      </w:r>
      <w:r w:rsidR="00E23144" w:rsidRPr="00A42282">
        <w:rPr>
          <w:rFonts w:cstheme="minorHAnsi"/>
          <w:sz w:val="24"/>
          <w:szCs w:val="24"/>
          <w:lang w:val="en-GB"/>
        </w:rPr>
        <w:t xml:space="preserve">to </w:t>
      </w:r>
      <w:r w:rsidRPr="00A42282">
        <w:rPr>
          <w:rFonts w:cstheme="minorHAnsi"/>
          <w:sz w:val="24"/>
          <w:szCs w:val="24"/>
          <w:lang w:val="en-GB"/>
        </w:rPr>
        <w:t xml:space="preserve">the </w:t>
      </w:r>
      <w:r w:rsidR="00461A17">
        <w:rPr>
          <w:rFonts w:cstheme="minorHAnsi"/>
          <w:sz w:val="24"/>
          <w:szCs w:val="24"/>
          <w:lang w:val="en-GB"/>
        </w:rPr>
        <w:t>prisoner’s</w:t>
      </w:r>
      <w:r w:rsidRPr="00A42282">
        <w:rPr>
          <w:rFonts w:cstheme="minorHAnsi"/>
          <w:sz w:val="24"/>
          <w:szCs w:val="24"/>
          <w:lang w:val="en-GB"/>
        </w:rPr>
        <w:t xml:space="preserve"> journey from custody to the community</w:t>
      </w:r>
      <w:r w:rsidR="00E23144" w:rsidRPr="00A42282">
        <w:rPr>
          <w:rFonts w:cstheme="minorHAnsi"/>
          <w:sz w:val="24"/>
          <w:szCs w:val="24"/>
          <w:lang w:val="en-GB"/>
        </w:rPr>
        <w:t xml:space="preserve"> is fundamental, the public sectors and voluntary settings working closely together will successfully tackle the reoffence rate and provide better care for offenders with allocated necessary funds and opportunities to offenders and their families. For example, </w:t>
      </w:r>
      <w:r w:rsidR="00AC34C2" w:rsidRPr="00A42282">
        <w:rPr>
          <w:rFonts w:cstheme="minorHAnsi"/>
          <w:sz w:val="24"/>
          <w:szCs w:val="24"/>
          <w:lang w:val="en-GB"/>
        </w:rPr>
        <w:t xml:space="preserve">the HM Prison and Probation Services (HMPPS) are taken </w:t>
      </w:r>
      <w:r w:rsidR="00461A17">
        <w:rPr>
          <w:rFonts w:cstheme="minorHAnsi"/>
          <w:sz w:val="24"/>
          <w:szCs w:val="24"/>
          <w:lang w:val="en-GB"/>
        </w:rPr>
        <w:t>advice</w:t>
      </w:r>
      <w:r w:rsidR="00AC34C2" w:rsidRPr="00A42282">
        <w:rPr>
          <w:rFonts w:cstheme="minorHAnsi"/>
          <w:sz w:val="24"/>
          <w:szCs w:val="24"/>
          <w:lang w:val="en-GB"/>
        </w:rPr>
        <w:t xml:space="preserve"> from </w:t>
      </w:r>
      <w:r w:rsidR="00E23144" w:rsidRPr="00A42282">
        <w:rPr>
          <w:rFonts w:cstheme="minorHAnsi"/>
          <w:sz w:val="24"/>
          <w:szCs w:val="24"/>
          <w:lang w:val="en-GB"/>
        </w:rPr>
        <w:t>the Correctional Service Advice and Accreditation Panel (CSAAP</w:t>
      </w:r>
      <w:r w:rsidR="00AC34C2" w:rsidRPr="00A42282">
        <w:rPr>
          <w:rFonts w:cstheme="minorHAnsi"/>
          <w:sz w:val="24"/>
          <w:szCs w:val="24"/>
          <w:lang w:val="en-GB"/>
        </w:rPr>
        <w:t>) and the Core Panel to form valuable accredited programmes</w:t>
      </w:r>
      <w:r w:rsidR="00B05B96" w:rsidRPr="00A42282">
        <w:rPr>
          <w:rFonts w:cstheme="minorHAnsi"/>
          <w:sz w:val="24"/>
          <w:szCs w:val="24"/>
          <w:lang w:val="en-GB"/>
        </w:rPr>
        <w:t xml:space="preserve"> (Ministry of Justice, 2021)</w:t>
      </w:r>
      <w:r w:rsidR="00AC34C2" w:rsidRPr="00A42282">
        <w:rPr>
          <w:rFonts w:cstheme="minorHAnsi"/>
          <w:sz w:val="24"/>
          <w:szCs w:val="24"/>
          <w:lang w:val="en-GB"/>
        </w:rPr>
        <w:t xml:space="preserve">. The CSAAP provides independent evidence-based advice where the members are comprised of international academics and </w:t>
      </w:r>
      <w:r w:rsidR="00461A17">
        <w:rPr>
          <w:rFonts w:cstheme="minorHAnsi"/>
          <w:sz w:val="24"/>
          <w:szCs w:val="24"/>
          <w:lang w:val="en-GB"/>
        </w:rPr>
        <w:t>practitioners</w:t>
      </w:r>
      <w:r w:rsidR="00AC34C2" w:rsidRPr="00A42282">
        <w:rPr>
          <w:rFonts w:cstheme="minorHAnsi"/>
          <w:sz w:val="24"/>
          <w:szCs w:val="24"/>
          <w:lang w:val="en-GB"/>
        </w:rPr>
        <w:t xml:space="preserve"> from various disciplines such as criminology, psychology, </w:t>
      </w:r>
      <w:r w:rsidR="00461A17">
        <w:rPr>
          <w:rFonts w:cstheme="minorHAnsi"/>
          <w:sz w:val="24"/>
          <w:szCs w:val="24"/>
          <w:lang w:val="en-GB"/>
        </w:rPr>
        <w:t xml:space="preserve">and </w:t>
      </w:r>
      <w:r w:rsidR="00AC34C2" w:rsidRPr="00A42282">
        <w:rPr>
          <w:rFonts w:cstheme="minorHAnsi"/>
          <w:sz w:val="24"/>
          <w:szCs w:val="24"/>
          <w:lang w:val="en-GB"/>
        </w:rPr>
        <w:t xml:space="preserve">sociology, while the Core Panel reviews </w:t>
      </w:r>
      <w:r w:rsidR="00CE7AC2" w:rsidRPr="00A42282">
        <w:rPr>
          <w:rFonts w:cstheme="minorHAnsi"/>
          <w:sz w:val="24"/>
          <w:szCs w:val="24"/>
          <w:lang w:val="en-GB"/>
        </w:rPr>
        <w:t xml:space="preserve">and evaluates </w:t>
      </w:r>
      <w:r w:rsidR="00AC34C2" w:rsidRPr="00A42282">
        <w:rPr>
          <w:rFonts w:cstheme="minorHAnsi"/>
          <w:sz w:val="24"/>
          <w:szCs w:val="24"/>
          <w:lang w:val="en-GB"/>
        </w:rPr>
        <w:t xml:space="preserve">the </w:t>
      </w:r>
      <w:r w:rsidR="00AC34C2" w:rsidRPr="00A42282">
        <w:rPr>
          <w:rFonts w:cstheme="minorHAnsi"/>
          <w:sz w:val="24"/>
          <w:szCs w:val="24"/>
          <w:lang w:val="en-GB"/>
        </w:rPr>
        <w:lastRenderedPageBreak/>
        <w:t>HMPPS programmes to ensure a high standard of practice</w:t>
      </w:r>
      <w:r w:rsidR="00CE7AC2" w:rsidRPr="00A42282">
        <w:rPr>
          <w:rFonts w:cstheme="minorHAnsi"/>
          <w:sz w:val="24"/>
          <w:szCs w:val="24"/>
          <w:lang w:val="en-GB"/>
        </w:rPr>
        <w:t xml:space="preserve"> and quality.</w:t>
      </w:r>
      <w:r w:rsidR="00AC34C2" w:rsidRPr="00A42282">
        <w:rPr>
          <w:rFonts w:cstheme="minorHAnsi"/>
          <w:sz w:val="24"/>
          <w:szCs w:val="24"/>
          <w:lang w:val="en-GB"/>
        </w:rPr>
        <w:t xml:space="preserve"> </w:t>
      </w:r>
      <w:r w:rsidR="00CE7AC2" w:rsidRPr="00A42282">
        <w:rPr>
          <w:rFonts w:cstheme="minorHAnsi"/>
          <w:sz w:val="24"/>
          <w:szCs w:val="24"/>
          <w:lang w:val="en-GB"/>
        </w:rPr>
        <w:t xml:space="preserve">Examples of HMPPS accredited </w:t>
      </w:r>
      <w:r w:rsidR="00461A17">
        <w:rPr>
          <w:rFonts w:cstheme="minorHAnsi"/>
          <w:sz w:val="24"/>
          <w:szCs w:val="24"/>
          <w:lang w:val="en-GB"/>
        </w:rPr>
        <w:t>programmes</w:t>
      </w:r>
      <w:r w:rsidR="00CE7AC2" w:rsidRPr="00A42282">
        <w:rPr>
          <w:rFonts w:cstheme="minorHAnsi"/>
          <w:sz w:val="24"/>
          <w:szCs w:val="24"/>
          <w:lang w:val="en-GB"/>
        </w:rPr>
        <w:t xml:space="preserve"> are </w:t>
      </w:r>
      <w:r w:rsidR="00461A17">
        <w:rPr>
          <w:rFonts w:cstheme="minorHAnsi"/>
          <w:sz w:val="24"/>
          <w:szCs w:val="24"/>
          <w:lang w:val="en-GB"/>
        </w:rPr>
        <w:t xml:space="preserve">the </w:t>
      </w:r>
      <w:r w:rsidR="00CE7AC2" w:rsidRPr="00A42282">
        <w:rPr>
          <w:rFonts w:cstheme="minorHAnsi"/>
          <w:sz w:val="24"/>
          <w:szCs w:val="24"/>
          <w:lang w:val="en-GB"/>
        </w:rPr>
        <w:t xml:space="preserve">Alcohol Dependence Treatment Programme, which provides group therapy, peer support, and individual support to </w:t>
      </w:r>
      <w:r w:rsidR="00461A17">
        <w:rPr>
          <w:rFonts w:cstheme="minorHAnsi"/>
          <w:sz w:val="24"/>
          <w:szCs w:val="24"/>
          <w:lang w:val="en-GB"/>
        </w:rPr>
        <w:t xml:space="preserve">a </w:t>
      </w:r>
      <w:r w:rsidR="00CE7AC2" w:rsidRPr="00A42282">
        <w:rPr>
          <w:rFonts w:cstheme="minorHAnsi"/>
          <w:sz w:val="24"/>
          <w:szCs w:val="24"/>
          <w:lang w:val="en-GB"/>
        </w:rPr>
        <w:t xml:space="preserve">medium-high risk of reoffending individuals with alcohol dependence. Becoming New Me + is another example of programmes for high-risk men with learning </w:t>
      </w:r>
      <w:r w:rsidR="00461A17">
        <w:rPr>
          <w:rFonts w:cstheme="minorHAnsi"/>
          <w:sz w:val="24"/>
          <w:szCs w:val="24"/>
          <w:lang w:val="en-GB"/>
        </w:rPr>
        <w:t>disabilities</w:t>
      </w:r>
      <w:r w:rsidR="00CE7AC2" w:rsidRPr="00A42282">
        <w:rPr>
          <w:rFonts w:cstheme="minorHAnsi"/>
          <w:sz w:val="24"/>
          <w:szCs w:val="24"/>
          <w:lang w:val="en-GB"/>
        </w:rPr>
        <w:t xml:space="preserve"> or challenges that have been convicted of sexual, intimate partner violence or general violent offence, it focuses on supporting individuals to develop optimism and skills to strengthen pro-social identity. </w:t>
      </w:r>
      <w:r w:rsidR="00461A17">
        <w:rPr>
          <w:rFonts w:cstheme="minorHAnsi"/>
          <w:sz w:val="24"/>
          <w:szCs w:val="24"/>
          <w:lang w:val="en-GB"/>
        </w:rPr>
        <w:t>Several</w:t>
      </w:r>
      <w:r w:rsidR="00B05B96" w:rsidRPr="00A42282">
        <w:rPr>
          <w:rFonts w:cstheme="minorHAnsi"/>
          <w:sz w:val="24"/>
          <w:szCs w:val="24"/>
          <w:lang w:val="en-GB"/>
        </w:rPr>
        <w:t xml:space="preserve"> more accredited programmes are updated and published on the HMPPS Government site, each with specified focused </w:t>
      </w:r>
      <w:r w:rsidR="00461A17">
        <w:rPr>
          <w:rFonts w:cstheme="minorHAnsi"/>
          <w:sz w:val="24"/>
          <w:szCs w:val="24"/>
          <w:lang w:val="en-GB"/>
        </w:rPr>
        <w:t>groups</w:t>
      </w:r>
      <w:r w:rsidR="00B05B96" w:rsidRPr="00A42282">
        <w:rPr>
          <w:rFonts w:cstheme="minorHAnsi"/>
          <w:sz w:val="24"/>
          <w:szCs w:val="24"/>
          <w:lang w:val="en-GB"/>
        </w:rPr>
        <w:t xml:space="preserve"> and tailored </w:t>
      </w:r>
      <w:r w:rsidR="00461A17">
        <w:rPr>
          <w:rFonts w:cstheme="minorHAnsi"/>
          <w:sz w:val="24"/>
          <w:szCs w:val="24"/>
          <w:lang w:val="en-GB"/>
        </w:rPr>
        <w:t>designs</w:t>
      </w:r>
      <w:r w:rsidR="00B05B96" w:rsidRPr="00A42282">
        <w:rPr>
          <w:rFonts w:cstheme="minorHAnsi"/>
          <w:sz w:val="24"/>
          <w:szCs w:val="24"/>
          <w:lang w:val="en-GB"/>
        </w:rPr>
        <w:t xml:space="preserve"> to meet </w:t>
      </w:r>
      <w:r w:rsidR="00461A17">
        <w:rPr>
          <w:rFonts w:cstheme="minorHAnsi"/>
          <w:sz w:val="24"/>
          <w:szCs w:val="24"/>
          <w:lang w:val="en-GB"/>
        </w:rPr>
        <w:t>individual</w:t>
      </w:r>
      <w:r w:rsidR="00B05B96" w:rsidRPr="00A42282">
        <w:rPr>
          <w:rFonts w:cstheme="minorHAnsi"/>
          <w:sz w:val="24"/>
          <w:szCs w:val="24"/>
          <w:lang w:val="en-GB"/>
        </w:rPr>
        <w:t xml:space="preserve"> needs. This allows a greater reflection on </w:t>
      </w:r>
      <w:r w:rsidR="00602801" w:rsidRPr="00A42282">
        <w:rPr>
          <w:rFonts w:cstheme="minorHAnsi"/>
          <w:sz w:val="24"/>
          <w:szCs w:val="24"/>
          <w:lang w:val="en-GB"/>
        </w:rPr>
        <w:t xml:space="preserve">a diverse background of offenders with various crime </w:t>
      </w:r>
      <w:r w:rsidR="00461A17">
        <w:rPr>
          <w:rFonts w:cstheme="minorHAnsi"/>
          <w:sz w:val="24"/>
          <w:szCs w:val="24"/>
          <w:lang w:val="en-GB"/>
        </w:rPr>
        <w:t>charges</w:t>
      </w:r>
      <w:r w:rsidR="00602801" w:rsidRPr="00A42282">
        <w:rPr>
          <w:rFonts w:cstheme="minorHAnsi"/>
          <w:sz w:val="24"/>
          <w:szCs w:val="24"/>
          <w:lang w:val="en-GB"/>
        </w:rPr>
        <w:t xml:space="preserve"> to enhance </w:t>
      </w:r>
      <w:r w:rsidR="00461A17">
        <w:rPr>
          <w:rFonts w:cstheme="minorHAnsi"/>
          <w:sz w:val="24"/>
          <w:szCs w:val="24"/>
          <w:lang w:val="en-GB"/>
        </w:rPr>
        <w:t xml:space="preserve">the </w:t>
      </w:r>
      <w:r w:rsidR="00602801" w:rsidRPr="00A42282">
        <w:rPr>
          <w:rFonts w:cstheme="minorHAnsi"/>
          <w:sz w:val="24"/>
          <w:szCs w:val="24"/>
          <w:lang w:val="en-GB"/>
        </w:rPr>
        <w:t xml:space="preserve">effectiveness of rehabilitation and prevention of offence. </w:t>
      </w:r>
    </w:p>
    <w:p w14:paraId="32092EBD" w14:textId="793CA3F0" w:rsidR="00602801" w:rsidRPr="00A42282" w:rsidRDefault="00602801" w:rsidP="00A42282">
      <w:pPr>
        <w:spacing w:line="360" w:lineRule="auto"/>
        <w:jc w:val="both"/>
        <w:rPr>
          <w:rFonts w:cstheme="minorHAnsi"/>
          <w:sz w:val="24"/>
          <w:szCs w:val="24"/>
          <w:lang w:val="en-GB"/>
        </w:rPr>
      </w:pPr>
      <w:r w:rsidRPr="00A42282">
        <w:rPr>
          <w:rFonts w:cstheme="minorHAnsi"/>
          <w:sz w:val="24"/>
          <w:szCs w:val="24"/>
          <w:lang w:val="en-GB"/>
        </w:rPr>
        <w:t xml:space="preserve">In conclusion, partner approaches can be considered the most effective means of rehabilitating offenders as opposed to traditional approaches primarily managed by the Ministry of Justice. An appreciation of great collaboration from the public sectors, community groups, voluntary programmes, </w:t>
      </w:r>
      <w:r w:rsidR="00461A17">
        <w:rPr>
          <w:rFonts w:cstheme="minorHAnsi"/>
          <w:sz w:val="24"/>
          <w:szCs w:val="24"/>
          <w:lang w:val="en-GB"/>
        </w:rPr>
        <w:t xml:space="preserve">and </w:t>
      </w:r>
      <w:r w:rsidRPr="00A42282">
        <w:rPr>
          <w:rFonts w:cstheme="minorHAnsi"/>
          <w:sz w:val="24"/>
          <w:szCs w:val="24"/>
          <w:lang w:val="en-GB"/>
        </w:rPr>
        <w:t>scientific evidence leverages the rehabilitation services and delineates opportunities for offenders to resettle and contribute to society.</w:t>
      </w:r>
    </w:p>
    <w:p w14:paraId="0849E2F3" w14:textId="77777777" w:rsidR="00FB11DC" w:rsidRDefault="00FB11DC" w:rsidP="00A42282">
      <w:pPr>
        <w:spacing w:line="360" w:lineRule="auto"/>
        <w:jc w:val="both"/>
        <w:rPr>
          <w:rFonts w:cstheme="minorHAnsi"/>
          <w:b/>
          <w:bCs/>
          <w:color w:val="2E2E2E"/>
          <w:sz w:val="24"/>
          <w:szCs w:val="24"/>
          <w:lang w:val="en-GB"/>
        </w:rPr>
      </w:pPr>
    </w:p>
    <w:p w14:paraId="7251171A" w14:textId="77777777" w:rsidR="00FB11DC" w:rsidRDefault="00FB11DC" w:rsidP="00A42282">
      <w:pPr>
        <w:spacing w:line="360" w:lineRule="auto"/>
        <w:jc w:val="both"/>
        <w:rPr>
          <w:rFonts w:cstheme="minorHAnsi"/>
          <w:b/>
          <w:bCs/>
          <w:color w:val="2E2E2E"/>
          <w:sz w:val="24"/>
          <w:szCs w:val="24"/>
          <w:lang w:val="en-GB"/>
        </w:rPr>
      </w:pPr>
    </w:p>
    <w:p w14:paraId="38942D28" w14:textId="77777777" w:rsidR="00FB11DC" w:rsidRDefault="00FB11DC" w:rsidP="00A42282">
      <w:pPr>
        <w:spacing w:line="360" w:lineRule="auto"/>
        <w:jc w:val="both"/>
        <w:rPr>
          <w:rFonts w:cstheme="minorHAnsi"/>
          <w:b/>
          <w:bCs/>
          <w:color w:val="2E2E2E"/>
          <w:sz w:val="24"/>
          <w:szCs w:val="24"/>
          <w:lang w:val="en-GB"/>
        </w:rPr>
      </w:pPr>
    </w:p>
    <w:p w14:paraId="2071883F" w14:textId="77777777" w:rsidR="00FB11DC" w:rsidRDefault="00FB11DC" w:rsidP="00A42282">
      <w:pPr>
        <w:spacing w:line="360" w:lineRule="auto"/>
        <w:jc w:val="both"/>
        <w:rPr>
          <w:rFonts w:cstheme="minorHAnsi"/>
          <w:b/>
          <w:bCs/>
          <w:color w:val="2E2E2E"/>
          <w:sz w:val="24"/>
          <w:szCs w:val="24"/>
          <w:lang w:val="en-GB"/>
        </w:rPr>
      </w:pPr>
    </w:p>
    <w:p w14:paraId="02DAC5FB" w14:textId="77777777" w:rsidR="00FB11DC" w:rsidRDefault="00FB11DC" w:rsidP="00A42282">
      <w:pPr>
        <w:spacing w:line="360" w:lineRule="auto"/>
        <w:jc w:val="both"/>
        <w:rPr>
          <w:rFonts w:cstheme="minorHAnsi"/>
          <w:b/>
          <w:bCs/>
          <w:color w:val="2E2E2E"/>
          <w:sz w:val="24"/>
          <w:szCs w:val="24"/>
          <w:lang w:val="en-GB"/>
        </w:rPr>
      </w:pPr>
    </w:p>
    <w:p w14:paraId="2FF60868" w14:textId="77777777" w:rsidR="00FB11DC" w:rsidRDefault="00FB11DC" w:rsidP="00A42282">
      <w:pPr>
        <w:spacing w:line="360" w:lineRule="auto"/>
        <w:jc w:val="both"/>
        <w:rPr>
          <w:rFonts w:cstheme="minorHAnsi"/>
          <w:b/>
          <w:bCs/>
          <w:color w:val="2E2E2E"/>
          <w:sz w:val="24"/>
          <w:szCs w:val="24"/>
          <w:lang w:val="en-GB"/>
        </w:rPr>
      </w:pPr>
    </w:p>
    <w:p w14:paraId="702CCA42" w14:textId="77777777" w:rsidR="00FB11DC" w:rsidRDefault="00FB11DC" w:rsidP="00A42282">
      <w:pPr>
        <w:spacing w:line="360" w:lineRule="auto"/>
        <w:jc w:val="both"/>
        <w:rPr>
          <w:rFonts w:cstheme="minorHAnsi"/>
          <w:b/>
          <w:bCs/>
          <w:color w:val="2E2E2E"/>
          <w:sz w:val="24"/>
          <w:szCs w:val="24"/>
          <w:lang w:val="en-GB"/>
        </w:rPr>
      </w:pPr>
    </w:p>
    <w:p w14:paraId="33695A5F" w14:textId="77777777" w:rsidR="00FB11DC" w:rsidRDefault="00FB11DC" w:rsidP="00A42282">
      <w:pPr>
        <w:spacing w:line="360" w:lineRule="auto"/>
        <w:jc w:val="both"/>
        <w:rPr>
          <w:rFonts w:cstheme="minorHAnsi"/>
          <w:b/>
          <w:bCs/>
          <w:color w:val="2E2E2E"/>
          <w:sz w:val="24"/>
          <w:szCs w:val="24"/>
          <w:lang w:val="en-GB"/>
        </w:rPr>
      </w:pPr>
    </w:p>
    <w:p w14:paraId="432B6FB5" w14:textId="77777777" w:rsidR="00FB11DC" w:rsidRDefault="00FB11DC" w:rsidP="00A42282">
      <w:pPr>
        <w:spacing w:line="360" w:lineRule="auto"/>
        <w:jc w:val="both"/>
        <w:rPr>
          <w:rFonts w:cstheme="minorHAnsi"/>
          <w:b/>
          <w:bCs/>
          <w:color w:val="2E2E2E"/>
          <w:sz w:val="24"/>
          <w:szCs w:val="24"/>
          <w:lang w:val="en-GB"/>
        </w:rPr>
      </w:pPr>
    </w:p>
    <w:p w14:paraId="05E8BDB0" w14:textId="77777777" w:rsidR="00FB11DC" w:rsidRDefault="00FB11DC" w:rsidP="00A42282">
      <w:pPr>
        <w:spacing w:line="360" w:lineRule="auto"/>
        <w:jc w:val="both"/>
        <w:rPr>
          <w:rFonts w:cstheme="minorHAnsi"/>
          <w:b/>
          <w:bCs/>
          <w:color w:val="2E2E2E"/>
          <w:sz w:val="24"/>
          <w:szCs w:val="24"/>
          <w:lang w:val="en-GB"/>
        </w:rPr>
      </w:pPr>
    </w:p>
    <w:p w14:paraId="411AEC86" w14:textId="77777777" w:rsidR="00FB11DC" w:rsidRDefault="00FB11DC" w:rsidP="00A42282">
      <w:pPr>
        <w:spacing w:line="360" w:lineRule="auto"/>
        <w:jc w:val="both"/>
        <w:rPr>
          <w:rFonts w:cstheme="minorHAnsi"/>
          <w:b/>
          <w:bCs/>
          <w:color w:val="2E2E2E"/>
          <w:sz w:val="24"/>
          <w:szCs w:val="24"/>
          <w:lang w:val="en-GB"/>
        </w:rPr>
      </w:pPr>
    </w:p>
    <w:p w14:paraId="6BC3CDD6" w14:textId="29D8F4EB" w:rsidR="00255C03" w:rsidRPr="00A42282" w:rsidRDefault="00637E7B" w:rsidP="00A42282">
      <w:pPr>
        <w:spacing w:line="360" w:lineRule="auto"/>
        <w:jc w:val="both"/>
        <w:rPr>
          <w:rFonts w:cstheme="minorHAnsi"/>
          <w:b/>
          <w:bCs/>
          <w:color w:val="2E2E2E"/>
          <w:sz w:val="24"/>
          <w:szCs w:val="24"/>
          <w:lang w:val="en-GB"/>
        </w:rPr>
      </w:pPr>
      <w:r w:rsidRPr="00A42282">
        <w:rPr>
          <w:rFonts w:cstheme="minorHAnsi"/>
          <w:b/>
          <w:bCs/>
          <w:color w:val="2E2E2E"/>
          <w:sz w:val="24"/>
          <w:szCs w:val="24"/>
          <w:lang w:val="en-GB"/>
        </w:rPr>
        <w:lastRenderedPageBreak/>
        <w:t>Reference</w:t>
      </w:r>
      <w:r w:rsidR="00FB11DC">
        <w:rPr>
          <w:rFonts w:cstheme="minorHAnsi"/>
          <w:b/>
          <w:bCs/>
          <w:color w:val="2E2E2E"/>
          <w:sz w:val="24"/>
          <w:szCs w:val="24"/>
          <w:lang w:val="en-GB"/>
        </w:rPr>
        <w:t xml:space="preserve">s </w:t>
      </w:r>
    </w:p>
    <w:p w14:paraId="6E34EA0F" w14:textId="7AA25C12" w:rsidR="00A42282" w:rsidRPr="00FB11DC" w:rsidRDefault="00A42282" w:rsidP="00A42282">
      <w:pPr>
        <w:spacing w:line="360" w:lineRule="auto"/>
        <w:jc w:val="both"/>
        <w:rPr>
          <w:rFonts w:cstheme="minorHAnsi"/>
          <w:sz w:val="24"/>
          <w:szCs w:val="24"/>
          <w:lang w:val="en-GB"/>
        </w:rPr>
      </w:pPr>
      <w:r w:rsidRPr="00A42282">
        <w:rPr>
          <w:rFonts w:cstheme="minorHAnsi"/>
          <w:bCs/>
          <w:color w:val="2E2E2E"/>
          <w:sz w:val="24"/>
          <w:szCs w:val="24"/>
          <w:lang w:val="en-GB"/>
        </w:rPr>
        <w:t xml:space="preserve">Farmer, L., 2017. </w:t>
      </w:r>
      <w:r w:rsidRPr="00A42282">
        <w:rPr>
          <w:rFonts w:cstheme="minorHAnsi"/>
          <w:sz w:val="24"/>
          <w:szCs w:val="24"/>
          <w:lang w:val="en-GB"/>
        </w:rPr>
        <w:t>Importance of Strengthening Prisoners’ Family Ties to Prevent Reoffending and</w:t>
      </w:r>
      <w:r w:rsidR="00FB11DC">
        <w:rPr>
          <w:rFonts w:cstheme="minorHAnsi"/>
          <w:sz w:val="24"/>
          <w:szCs w:val="24"/>
          <w:lang w:val="en-GB"/>
        </w:rPr>
        <w:t xml:space="preserve"> </w:t>
      </w:r>
      <w:r w:rsidRPr="00A42282">
        <w:rPr>
          <w:rFonts w:cstheme="minorHAnsi"/>
          <w:sz w:val="24"/>
          <w:szCs w:val="24"/>
          <w:lang w:val="en-GB"/>
        </w:rPr>
        <w:t xml:space="preserve">Reduce Intergenerational Crime. Available via: </w:t>
      </w:r>
      <w:hyperlink r:id="rId14" w:history="1">
        <w:r w:rsidRPr="00A42282">
          <w:rPr>
            <w:rStyle w:val="Hyperlink"/>
            <w:rFonts w:cstheme="minorHAnsi"/>
            <w:sz w:val="24"/>
            <w:szCs w:val="24"/>
            <w:lang w:val="en-GB"/>
          </w:rPr>
          <w:t>https://www.gov.uk/government/publications/importance-of-strengthening-prisoners-family-ties-to-prevent-reoffending-and-reduce-intergenerational-crime</w:t>
        </w:r>
      </w:hyperlink>
      <w:r w:rsidRPr="00A42282">
        <w:rPr>
          <w:rFonts w:cstheme="minorHAnsi"/>
          <w:sz w:val="24"/>
          <w:szCs w:val="24"/>
          <w:lang w:val="en-GB"/>
        </w:rPr>
        <w:t>. Accessed 30</w:t>
      </w:r>
      <w:r w:rsidRPr="00A42282">
        <w:rPr>
          <w:rFonts w:cstheme="minorHAnsi"/>
          <w:sz w:val="24"/>
          <w:szCs w:val="24"/>
          <w:vertAlign w:val="superscript"/>
          <w:lang w:val="en-GB"/>
        </w:rPr>
        <w:t>th</w:t>
      </w:r>
      <w:r w:rsidRPr="00A42282">
        <w:rPr>
          <w:rFonts w:cstheme="minorHAnsi"/>
          <w:sz w:val="24"/>
          <w:szCs w:val="24"/>
          <w:lang w:val="en-GB"/>
        </w:rPr>
        <w:t xml:space="preserve"> April</w:t>
      </w:r>
    </w:p>
    <w:p w14:paraId="7F042EEA" w14:textId="77777777" w:rsidR="00A42282" w:rsidRPr="00A42282" w:rsidRDefault="00A42282" w:rsidP="00A42282">
      <w:pPr>
        <w:spacing w:line="360" w:lineRule="auto"/>
        <w:jc w:val="both"/>
        <w:rPr>
          <w:rFonts w:cstheme="minorHAnsi"/>
          <w:color w:val="222222"/>
          <w:sz w:val="24"/>
          <w:szCs w:val="24"/>
          <w:shd w:val="clear" w:color="auto" w:fill="FFFFFF"/>
          <w:lang w:val="en-GB"/>
        </w:rPr>
      </w:pPr>
      <w:r w:rsidRPr="00A42282">
        <w:rPr>
          <w:rFonts w:cstheme="minorHAnsi"/>
          <w:color w:val="222222"/>
          <w:sz w:val="24"/>
          <w:szCs w:val="24"/>
          <w:shd w:val="clear" w:color="auto" w:fill="FFFFFF"/>
          <w:lang w:val="en-GB"/>
        </w:rPr>
        <w:t>Marsden, J., Eastwood, B., Bradbury, C., Dale-Perera, A., Farrell, M., Hammond, P., Knight, J., Randhawa, K. and Wright, C., 2009. Effectiveness of community treatments for heroin and crack cocaine addiction in England: a prospective, in-treatment cohort study. </w:t>
      </w:r>
      <w:r w:rsidRPr="00A42282">
        <w:rPr>
          <w:rFonts w:cstheme="minorHAnsi"/>
          <w:i/>
          <w:iCs/>
          <w:color w:val="222222"/>
          <w:sz w:val="24"/>
          <w:szCs w:val="24"/>
          <w:shd w:val="clear" w:color="auto" w:fill="FFFFFF"/>
          <w:lang w:val="en-GB"/>
        </w:rPr>
        <w:t>The Lancet</w:t>
      </w:r>
      <w:r w:rsidRPr="00A42282">
        <w:rPr>
          <w:rFonts w:cstheme="minorHAnsi"/>
          <w:color w:val="222222"/>
          <w:sz w:val="24"/>
          <w:szCs w:val="24"/>
          <w:shd w:val="clear" w:color="auto" w:fill="FFFFFF"/>
          <w:lang w:val="en-GB"/>
        </w:rPr>
        <w:t>, </w:t>
      </w:r>
      <w:r w:rsidRPr="00A42282">
        <w:rPr>
          <w:rFonts w:cstheme="minorHAnsi"/>
          <w:i/>
          <w:iCs/>
          <w:color w:val="222222"/>
          <w:sz w:val="24"/>
          <w:szCs w:val="24"/>
          <w:shd w:val="clear" w:color="auto" w:fill="FFFFFF"/>
          <w:lang w:val="en-GB"/>
        </w:rPr>
        <w:t>374</w:t>
      </w:r>
      <w:r w:rsidRPr="00A42282">
        <w:rPr>
          <w:rFonts w:cstheme="minorHAnsi"/>
          <w:color w:val="222222"/>
          <w:sz w:val="24"/>
          <w:szCs w:val="24"/>
          <w:shd w:val="clear" w:color="auto" w:fill="FFFFFF"/>
          <w:lang w:val="en-GB"/>
        </w:rPr>
        <w:t>(9697), pp.1262-1270.</w:t>
      </w:r>
    </w:p>
    <w:p w14:paraId="5E88D5BF" w14:textId="77777777" w:rsidR="00A42282" w:rsidRPr="00A42282" w:rsidRDefault="00A42282" w:rsidP="00A42282">
      <w:pPr>
        <w:spacing w:line="360" w:lineRule="auto"/>
        <w:jc w:val="both"/>
        <w:rPr>
          <w:rFonts w:cstheme="minorHAnsi"/>
          <w:color w:val="222222"/>
          <w:sz w:val="24"/>
          <w:szCs w:val="24"/>
          <w:shd w:val="clear" w:color="auto" w:fill="FFFFFF"/>
          <w:lang w:val="en-GB"/>
        </w:rPr>
      </w:pPr>
      <w:r w:rsidRPr="00A42282">
        <w:rPr>
          <w:rFonts w:cstheme="minorHAnsi"/>
          <w:color w:val="222222"/>
          <w:sz w:val="24"/>
          <w:szCs w:val="24"/>
          <w:shd w:val="clear" w:color="auto" w:fill="FFFFFF"/>
          <w:lang w:val="en-GB"/>
        </w:rPr>
        <w:t>McNeill, F., 2013. Transforming Rehabilitation: Evidence, values and ideology. </w:t>
      </w:r>
      <w:r w:rsidRPr="00A42282">
        <w:rPr>
          <w:rFonts w:cstheme="minorHAnsi"/>
          <w:i/>
          <w:iCs/>
          <w:color w:val="222222"/>
          <w:sz w:val="24"/>
          <w:szCs w:val="24"/>
          <w:shd w:val="clear" w:color="auto" w:fill="FFFFFF"/>
          <w:lang w:val="en-GB"/>
        </w:rPr>
        <w:t>British Journal of Community Justice</w:t>
      </w:r>
      <w:r w:rsidRPr="00A42282">
        <w:rPr>
          <w:rFonts w:cstheme="minorHAnsi"/>
          <w:color w:val="222222"/>
          <w:sz w:val="24"/>
          <w:szCs w:val="24"/>
          <w:shd w:val="clear" w:color="auto" w:fill="FFFFFF"/>
          <w:lang w:val="en-GB"/>
        </w:rPr>
        <w:t>, </w:t>
      </w:r>
      <w:r w:rsidRPr="00A42282">
        <w:rPr>
          <w:rFonts w:cstheme="minorHAnsi"/>
          <w:i/>
          <w:iCs/>
          <w:color w:val="222222"/>
          <w:sz w:val="24"/>
          <w:szCs w:val="24"/>
          <w:shd w:val="clear" w:color="auto" w:fill="FFFFFF"/>
          <w:lang w:val="en-GB"/>
        </w:rPr>
        <w:t>11</w:t>
      </w:r>
      <w:r w:rsidRPr="00A42282">
        <w:rPr>
          <w:rFonts w:cstheme="minorHAnsi"/>
          <w:color w:val="222222"/>
          <w:sz w:val="24"/>
          <w:szCs w:val="24"/>
          <w:shd w:val="clear" w:color="auto" w:fill="FFFFFF"/>
          <w:lang w:val="en-GB"/>
        </w:rPr>
        <w:t>(2-3), pp.83-86.</w:t>
      </w:r>
    </w:p>
    <w:p w14:paraId="427CDB46" w14:textId="77777777" w:rsidR="00A42282" w:rsidRPr="00A42282" w:rsidRDefault="00A42282" w:rsidP="00A42282">
      <w:pPr>
        <w:spacing w:line="360" w:lineRule="auto"/>
        <w:jc w:val="both"/>
        <w:rPr>
          <w:rFonts w:cstheme="minorHAnsi"/>
          <w:color w:val="222222"/>
          <w:sz w:val="24"/>
          <w:szCs w:val="24"/>
          <w:shd w:val="clear" w:color="auto" w:fill="FFFFFF"/>
          <w:lang w:val="en-GB"/>
        </w:rPr>
      </w:pPr>
      <w:r w:rsidRPr="00A42282">
        <w:rPr>
          <w:rFonts w:cstheme="minorHAnsi"/>
          <w:color w:val="222222"/>
          <w:sz w:val="24"/>
          <w:szCs w:val="24"/>
          <w:shd w:val="clear" w:color="auto" w:fill="FFFFFF"/>
          <w:lang w:val="en-GB"/>
        </w:rPr>
        <w:t xml:space="preserve">Ministry of Justice and Public Health England, 2017. The impact of community-based drug and alcohol treatment on re-offending. Available via: </w:t>
      </w:r>
      <w:hyperlink r:id="rId15" w:history="1">
        <w:r w:rsidRPr="00A42282">
          <w:rPr>
            <w:rStyle w:val="Hyperlink"/>
            <w:rFonts w:cstheme="minorHAnsi"/>
            <w:sz w:val="24"/>
            <w:szCs w:val="24"/>
            <w:shd w:val="clear" w:color="auto" w:fill="FFFFFF"/>
            <w:lang w:val="en-GB"/>
          </w:rPr>
          <w:t>https://www.gov.uk/government/publications/the-effect-of-drug-and-alcohol-treatment-on-re-offending</w:t>
        </w:r>
      </w:hyperlink>
      <w:r w:rsidRPr="00A42282">
        <w:rPr>
          <w:rFonts w:cstheme="minorHAnsi"/>
          <w:color w:val="222222"/>
          <w:sz w:val="24"/>
          <w:szCs w:val="24"/>
          <w:shd w:val="clear" w:color="auto" w:fill="FFFFFF"/>
          <w:lang w:val="en-GB"/>
        </w:rPr>
        <w:t>. Accessed 29</w:t>
      </w:r>
      <w:r w:rsidRPr="00A42282">
        <w:rPr>
          <w:rFonts w:cstheme="minorHAnsi"/>
          <w:color w:val="222222"/>
          <w:sz w:val="24"/>
          <w:szCs w:val="24"/>
          <w:shd w:val="clear" w:color="auto" w:fill="FFFFFF"/>
          <w:vertAlign w:val="superscript"/>
          <w:lang w:val="en-GB"/>
        </w:rPr>
        <w:t>th</w:t>
      </w:r>
      <w:r w:rsidRPr="00A42282">
        <w:rPr>
          <w:rFonts w:cstheme="minorHAnsi"/>
          <w:color w:val="222222"/>
          <w:sz w:val="24"/>
          <w:szCs w:val="24"/>
          <w:shd w:val="clear" w:color="auto" w:fill="FFFFFF"/>
          <w:lang w:val="en-GB"/>
        </w:rPr>
        <w:t xml:space="preserve"> April 2023</w:t>
      </w:r>
    </w:p>
    <w:p w14:paraId="4AF4F2EE" w14:textId="77777777" w:rsidR="00A42282" w:rsidRPr="00A42282" w:rsidRDefault="00A42282" w:rsidP="00A42282">
      <w:pPr>
        <w:spacing w:line="360" w:lineRule="auto"/>
        <w:jc w:val="both"/>
        <w:rPr>
          <w:rFonts w:cstheme="minorHAnsi"/>
          <w:bCs/>
          <w:color w:val="2E2E2E"/>
          <w:sz w:val="24"/>
          <w:szCs w:val="24"/>
          <w:lang w:val="en-GB"/>
        </w:rPr>
      </w:pPr>
      <w:r w:rsidRPr="00A42282">
        <w:rPr>
          <w:rFonts w:cstheme="minorHAnsi"/>
          <w:bCs/>
          <w:color w:val="2E2E2E"/>
          <w:sz w:val="24"/>
          <w:szCs w:val="24"/>
          <w:lang w:val="en-GB"/>
        </w:rPr>
        <w:t xml:space="preserve">Ministry of Justice, 2016. Prison Safety and Reform. Available via: </w:t>
      </w:r>
      <w:hyperlink r:id="rId16" w:history="1">
        <w:r w:rsidRPr="00A42282">
          <w:rPr>
            <w:rStyle w:val="Hyperlink"/>
            <w:rFonts w:cstheme="minorHAnsi"/>
            <w:bCs/>
            <w:sz w:val="24"/>
            <w:szCs w:val="24"/>
            <w:lang w:val="en-GB"/>
          </w:rPr>
          <w:t>https://www.gov.uk/government/publications/prison-safety-and-reform</w:t>
        </w:r>
      </w:hyperlink>
      <w:r w:rsidRPr="00A42282">
        <w:rPr>
          <w:rFonts w:cstheme="minorHAnsi"/>
          <w:bCs/>
          <w:color w:val="2E2E2E"/>
          <w:sz w:val="24"/>
          <w:szCs w:val="24"/>
          <w:lang w:val="en-GB"/>
        </w:rPr>
        <w:t>. Accessed 20</w:t>
      </w:r>
      <w:r w:rsidRPr="00A42282">
        <w:rPr>
          <w:rFonts w:cstheme="minorHAnsi"/>
          <w:bCs/>
          <w:color w:val="2E2E2E"/>
          <w:sz w:val="24"/>
          <w:szCs w:val="24"/>
          <w:vertAlign w:val="superscript"/>
          <w:lang w:val="en-GB"/>
        </w:rPr>
        <w:t>th</w:t>
      </w:r>
      <w:r w:rsidRPr="00A42282">
        <w:rPr>
          <w:rFonts w:cstheme="minorHAnsi"/>
          <w:bCs/>
          <w:color w:val="2E2E2E"/>
          <w:sz w:val="24"/>
          <w:szCs w:val="24"/>
          <w:lang w:val="en-GB"/>
        </w:rPr>
        <w:t xml:space="preserve"> April 2023</w:t>
      </w:r>
    </w:p>
    <w:p w14:paraId="1E286467" w14:textId="77777777" w:rsidR="00461A17" w:rsidRDefault="00A42282" w:rsidP="00A42282">
      <w:pPr>
        <w:spacing w:line="360" w:lineRule="auto"/>
        <w:jc w:val="both"/>
        <w:rPr>
          <w:rFonts w:cstheme="minorHAnsi"/>
          <w:color w:val="222222"/>
          <w:sz w:val="24"/>
          <w:szCs w:val="24"/>
          <w:shd w:val="clear" w:color="auto" w:fill="FFFFFF"/>
          <w:lang w:val="en-GB"/>
        </w:rPr>
      </w:pPr>
      <w:r w:rsidRPr="00A42282">
        <w:rPr>
          <w:rFonts w:cstheme="minorHAnsi"/>
          <w:color w:val="222222"/>
          <w:sz w:val="24"/>
          <w:szCs w:val="24"/>
          <w:shd w:val="clear" w:color="auto" w:fill="FFFFFF"/>
          <w:lang w:val="en-GB"/>
        </w:rPr>
        <w:t xml:space="preserve">Ministry of Justice, 2021. HMPPS Annual Digest. Available via: </w:t>
      </w:r>
      <w:hyperlink r:id="rId17" w:history="1">
        <w:r w:rsidRPr="00A42282">
          <w:rPr>
            <w:rStyle w:val="Hyperlink"/>
            <w:rFonts w:cstheme="minorHAnsi"/>
            <w:sz w:val="24"/>
            <w:szCs w:val="24"/>
            <w:shd w:val="clear" w:color="auto" w:fill="FFFFFF"/>
            <w:lang w:val="en-GB"/>
          </w:rPr>
          <w:t>https://www.gov.uk/government/statistics/hmpps-annual-digest-april-2020-to-march-2021</w:t>
        </w:r>
      </w:hyperlink>
      <w:r w:rsidRPr="00A42282">
        <w:rPr>
          <w:rFonts w:cstheme="minorHAnsi"/>
          <w:color w:val="222222"/>
          <w:sz w:val="24"/>
          <w:szCs w:val="24"/>
          <w:shd w:val="clear" w:color="auto" w:fill="FFFFFF"/>
          <w:lang w:val="en-GB"/>
        </w:rPr>
        <w:t>. Accessed 1</w:t>
      </w:r>
      <w:r w:rsidRPr="00A42282">
        <w:rPr>
          <w:rFonts w:cstheme="minorHAnsi"/>
          <w:color w:val="222222"/>
          <w:sz w:val="24"/>
          <w:szCs w:val="24"/>
          <w:shd w:val="clear" w:color="auto" w:fill="FFFFFF"/>
          <w:vertAlign w:val="superscript"/>
          <w:lang w:val="en-GB"/>
        </w:rPr>
        <w:t>st</w:t>
      </w:r>
      <w:r w:rsidRPr="00A42282">
        <w:rPr>
          <w:rFonts w:cstheme="minorHAnsi"/>
          <w:color w:val="222222"/>
          <w:sz w:val="24"/>
          <w:szCs w:val="24"/>
          <w:shd w:val="clear" w:color="auto" w:fill="FFFFFF"/>
          <w:lang w:val="en-GB"/>
        </w:rPr>
        <w:t xml:space="preserve"> May 2023</w:t>
      </w:r>
    </w:p>
    <w:p w14:paraId="71153192" w14:textId="507E73AC" w:rsidR="00A42282" w:rsidRPr="00A42282" w:rsidRDefault="00A42282" w:rsidP="00A42282">
      <w:pPr>
        <w:spacing w:line="360" w:lineRule="auto"/>
        <w:jc w:val="both"/>
        <w:rPr>
          <w:rFonts w:cstheme="minorHAnsi"/>
          <w:color w:val="222222"/>
          <w:sz w:val="24"/>
          <w:szCs w:val="24"/>
          <w:shd w:val="clear" w:color="auto" w:fill="FFFFFF"/>
          <w:lang w:val="en-GB"/>
        </w:rPr>
      </w:pPr>
      <w:r w:rsidRPr="00A42282">
        <w:rPr>
          <w:rFonts w:cstheme="minorHAnsi"/>
          <w:color w:val="222222"/>
          <w:sz w:val="24"/>
          <w:szCs w:val="24"/>
          <w:shd w:val="clear" w:color="auto" w:fill="FFFFFF"/>
          <w:lang w:val="en-GB"/>
        </w:rPr>
        <w:t xml:space="preserve">Ministry of Justice, Department for Work and Pensions, and HM Prison and Probation Services, 2019. National Partnership Agreement for </w:t>
      </w:r>
      <w:r w:rsidR="00461A17">
        <w:rPr>
          <w:rFonts w:cstheme="minorHAnsi"/>
          <w:color w:val="222222"/>
          <w:sz w:val="24"/>
          <w:szCs w:val="24"/>
          <w:shd w:val="clear" w:color="auto" w:fill="FFFFFF"/>
          <w:lang w:val="en-GB"/>
        </w:rPr>
        <w:t>Employment</w:t>
      </w:r>
      <w:r w:rsidRPr="00A42282">
        <w:rPr>
          <w:rFonts w:cstheme="minorHAnsi"/>
          <w:color w:val="222222"/>
          <w:sz w:val="24"/>
          <w:szCs w:val="24"/>
          <w:shd w:val="clear" w:color="auto" w:fill="FFFFFF"/>
          <w:lang w:val="en-GB"/>
        </w:rPr>
        <w:t xml:space="preserve"> and welfare support</w:t>
      </w:r>
      <w:r w:rsidR="00461A17">
        <w:rPr>
          <w:rFonts w:cstheme="minorHAnsi"/>
          <w:color w:val="222222"/>
          <w:sz w:val="24"/>
          <w:szCs w:val="24"/>
          <w:shd w:val="clear" w:color="auto" w:fill="FFFFFF"/>
          <w:lang w:val="en-GB"/>
        </w:rPr>
        <w:t xml:space="preserve">. </w:t>
      </w:r>
      <w:r w:rsidRPr="00A42282">
        <w:rPr>
          <w:rFonts w:cstheme="minorHAnsi"/>
          <w:color w:val="222222"/>
          <w:sz w:val="24"/>
          <w:szCs w:val="24"/>
          <w:shd w:val="clear" w:color="auto" w:fill="FFFFFF"/>
          <w:lang w:val="en-GB"/>
        </w:rPr>
        <w:t xml:space="preserve"> Available</w:t>
      </w:r>
      <w:r w:rsidR="00461A17">
        <w:rPr>
          <w:rFonts w:cstheme="minorHAnsi"/>
          <w:color w:val="222222"/>
          <w:sz w:val="24"/>
          <w:szCs w:val="24"/>
          <w:shd w:val="clear" w:color="auto" w:fill="FFFFFF"/>
          <w:lang w:val="en-GB"/>
        </w:rPr>
        <w:t xml:space="preserve"> </w:t>
      </w:r>
      <w:r w:rsidRPr="00A42282">
        <w:rPr>
          <w:rFonts w:cstheme="minorHAnsi"/>
          <w:color w:val="222222"/>
          <w:sz w:val="24"/>
          <w:szCs w:val="24"/>
          <w:shd w:val="clear" w:color="auto" w:fill="FFFFFF"/>
          <w:lang w:val="en-GB"/>
        </w:rPr>
        <w:t>via:</w:t>
      </w:r>
      <w:hyperlink r:id="rId18" w:history="1">
        <w:r w:rsidR="00461A17" w:rsidRPr="004F6E6B">
          <w:rPr>
            <w:rStyle w:val="Hyperlink"/>
            <w:rFonts w:cstheme="minorHAnsi"/>
            <w:sz w:val="24"/>
            <w:szCs w:val="24"/>
            <w:shd w:val="clear" w:color="auto" w:fill="FFFFFF"/>
            <w:lang w:val="en-GB"/>
          </w:rPr>
          <w:t>https://www.gov.uk/government/publications/national-partnership-agreement-for-employment-and-welfare-support-in-custody-and-the-community-2019-to-2022</w:t>
        </w:r>
      </w:hyperlink>
      <w:r w:rsidRPr="00A42282">
        <w:rPr>
          <w:rFonts w:cstheme="minorHAnsi"/>
          <w:color w:val="222222"/>
          <w:sz w:val="24"/>
          <w:szCs w:val="24"/>
          <w:shd w:val="clear" w:color="auto" w:fill="FFFFFF"/>
          <w:lang w:val="en-GB"/>
        </w:rPr>
        <w:t>.</w:t>
      </w:r>
      <w:r w:rsidR="00461A17">
        <w:rPr>
          <w:rFonts w:cstheme="minorHAnsi"/>
          <w:color w:val="222222"/>
          <w:sz w:val="24"/>
          <w:szCs w:val="24"/>
          <w:shd w:val="clear" w:color="auto" w:fill="FFFFFF"/>
          <w:lang w:val="en-GB"/>
        </w:rPr>
        <w:t xml:space="preserve"> (</w:t>
      </w:r>
      <w:r w:rsidRPr="00A42282">
        <w:rPr>
          <w:rFonts w:cstheme="minorHAnsi"/>
          <w:color w:val="222222"/>
          <w:sz w:val="24"/>
          <w:szCs w:val="24"/>
          <w:shd w:val="clear" w:color="auto" w:fill="FFFFFF"/>
          <w:lang w:val="en-GB"/>
        </w:rPr>
        <w:t>Accessed 25</w:t>
      </w:r>
      <w:r w:rsidRPr="00A42282">
        <w:rPr>
          <w:rFonts w:cstheme="minorHAnsi"/>
          <w:color w:val="222222"/>
          <w:sz w:val="24"/>
          <w:szCs w:val="24"/>
          <w:shd w:val="clear" w:color="auto" w:fill="FFFFFF"/>
          <w:vertAlign w:val="superscript"/>
          <w:lang w:val="en-GB"/>
        </w:rPr>
        <w:t>th</w:t>
      </w:r>
      <w:r w:rsidRPr="00A42282">
        <w:rPr>
          <w:rFonts w:cstheme="minorHAnsi"/>
          <w:color w:val="222222"/>
          <w:sz w:val="24"/>
          <w:szCs w:val="24"/>
          <w:shd w:val="clear" w:color="auto" w:fill="FFFFFF"/>
          <w:lang w:val="en-GB"/>
        </w:rPr>
        <w:t xml:space="preserve"> April</w:t>
      </w:r>
      <w:r w:rsidR="00461A17">
        <w:rPr>
          <w:rFonts w:cstheme="minorHAnsi"/>
          <w:color w:val="222222"/>
          <w:sz w:val="24"/>
          <w:szCs w:val="24"/>
          <w:shd w:val="clear" w:color="auto" w:fill="FFFFFF"/>
          <w:lang w:val="en-GB"/>
        </w:rPr>
        <w:t xml:space="preserve">). </w:t>
      </w:r>
    </w:p>
    <w:p w14:paraId="551B9537" w14:textId="77777777" w:rsidR="00A42282" w:rsidRPr="00A42282" w:rsidRDefault="00A42282" w:rsidP="00A42282">
      <w:pPr>
        <w:spacing w:line="360" w:lineRule="auto"/>
        <w:jc w:val="both"/>
        <w:rPr>
          <w:rFonts w:cstheme="minorHAnsi"/>
          <w:bCs/>
          <w:color w:val="2E2E2E"/>
          <w:sz w:val="24"/>
          <w:szCs w:val="24"/>
          <w:lang w:val="en-GB"/>
        </w:rPr>
      </w:pPr>
      <w:r w:rsidRPr="00A42282">
        <w:rPr>
          <w:rFonts w:cstheme="minorHAnsi"/>
          <w:bCs/>
          <w:color w:val="2E2E2E"/>
          <w:sz w:val="24"/>
          <w:szCs w:val="24"/>
          <w:lang w:val="en-GB"/>
        </w:rPr>
        <w:t xml:space="preserve">National Statistics, 2022. Proven reoffending statistics: April to June 2020. Available via: </w:t>
      </w:r>
      <w:hyperlink r:id="rId19" w:history="1">
        <w:r w:rsidRPr="00A42282">
          <w:rPr>
            <w:rStyle w:val="Hyperlink"/>
            <w:rFonts w:cstheme="minorHAnsi"/>
            <w:bCs/>
            <w:sz w:val="24"/>
            <w:szCs w:val="24"/>
            <w:lang w:val="en-GB"/>
          </w:rPr>
          <w:t>https://www.gov.uk/government/statistics/proven-reoffending-statistics-april-to-june-2020/proven-reoffending-statistics-april-to-june-2020</w:t>
        </w:r>
      </w:hyperlink>
      <w:r w:rsidRPr="00A42282">
        <w:rPr>
          <w:rFonts w:cstheme="minorHAnsi"/>
          <w:bCs/>
          <w:color w:val="2E2E2E"/>
          <w:sz w:val="24"/>
          <w:szCs w:val="24"/>
          <w:lang w:val="en-GB"/>
        </w:rPr>
        <w:t>. Accessed 18</w:t>
      </w:r>
      <w:r w:rsidRPr="00A42282">
        <w:rPr>
          <w:rFonts w:cstheme="minorHAnsi"/>
          <w:bCs/>
          <w:color w:val="2E2E2E"/>
          <w:sz w:val="24"/>
          <w:szCs w:val="24"/>
          <w:vertAlign w:val="superscript"/>
          <w:lang w:val="en-GB"/>
        </w:rPr>
        <w:t>th</w:t>
      </w:r>
      <w:r w:rsidRPr="00A42282">
        <w:rPr>
          <w:rFonts w:cstheme="minorHAnsi"/>
          <w:bCs/>
          <w:color w:val="2E2E2E"/>
          <w:sz w:val="24"/>
          <w:szCs w:val="24"/>
          <w:lang w:val="en-GB"/>
        </w:rPr>
        <w:t xml:space="preserve"> April 2023</w:t>
      </w:r>
    </w:p>
    <w:p w14:paraId="46653788" w14:textId="77777777" w:rsidR="00255C03" w:rsidRPr="00A42282" w:rsidRDefault="00255C03" w:rsidP="00A42282">
      <w:pPr>
        <w:spacing w:line="360" w:lineRule="auto"/>
        <w:jc w:val="both"/>
        <w:rPr>
          <w:rFonts w:cstheme="minorHAnsi"/>
          <w:b/>
          <w:bCs/>
          <w:color w:val="FF0000"/>
          <w:sz w:val="24"/>
          <w:szCs w:val="24"/>
          <w:lang w:val="en-GB"/>
        </w:rPr>
      </w:pPr>
    </w:p>
    <w:p w14:paraId="341023E4" w14:textId="77777777" w:rsidR="00255C03" w:rsidRPr="00A42282" w:rsidRDefault="00255C03" w:rsidP="00A42282">
      <w:pPr>
        <w:spacing w:line="360" w:lineRule="auto"/>
        <w:jc w:val="both"/>
        <w:rPr>
          <w:rFonts w:cstheme="minorHAnsi"/>
          <w:b/>
          <w:bCs/>
          <w:color w:val="FF0000"/>
          <w:sz w:val="24"/>
          <w:szCs w:val="24"/>
          <w:lang w:val="en-GB"/>
        </w:rPr>
      </w:pPr>
    </w:p>
    <w:p w14:paraId="26647237" w14:textId="6A3DA03E" w:rsidR="00465130" w:rsidRPr="00A42282" w:rsidRDefault="00465130" w:rsidP="00A42282">
      <w:pPr>
        <w:tabs>
          <w:tab w:val="left" w:pos="1128"/>
        </w:tabs>
        <w:spacing w:before="100" w:beforeAutospacing="1" w:after="0" w:line="360" w:lineRule="auto"/>
        <w:jc w:val="both"/>
        <w:rPr>
          <w:rFonts w:eastAsia="Times New Roman" w:cstheme="minorHAnsi"/>
          <w:b/>
          <w:bCs/>
          <w:color w:val="000000"/>
          <w:sz w:val="24"/>
          <w:szCs w:val="24"/>
          <w:lang w:val="en-GB"/>
        </w:rPr>
      </w:pPr>
    </w:p>
    <w:p w14:paraId="795DAEFB" w14:textId="767E5FE0" w:rsidR="00255C03" w:rsidRPr="00A42282" w:rsidRDefault="00255C03" w:rsidP="00A42282">
      <w:pPr>
        <w:tabs>
          <w:tab w:val="left" w:pos="1128"/>
        </w:tabs>
        <w:spacing w:line="360" w:lineRule="auto"/>
        <w:jc w:val="both"/>
        <w:rPr>
          <w:rFonts w:eastAsia="Times New Roman" w:cstheme="minorHAnsi"/>
          <w:sz w:val="24"/>
          <w:szCs w:val="24"/>
          <w:lang w:val="en-GB"/>
        </w:rPr>
        <w:sectPr w:rsidR="00255C03" w:rsidRPr="00A42282">
          <w:pgSz w:w="11906" w:h="16838"/>
          <w:pgMar w:top="1440" w:right="1440" w:bottom="1440" w:left="1440" w:header="708" w:footer="708" w:gutter="0"/>
          <w:cols w:space="708"/>
          <w:docGrid w:linePitch="360"/>
        </w:sectPr>
      </w:pPr>
      <w:r w:rsidRPr="00A42282">
        <w:rPr>
          <w:rFonts w:eastAsia="Times New Roman" w:cstheme="minorHAnsi"/>
          <w:sz w:val="24"/>
          <w:szCs w:val="24"/>
          <w:lang w:val="en-GB"/>
        </w:rPr>
        <w:tab/>
      </w:r>
    </w:p>
    <w:p w14:paraId="3531404C" w14:textId="77777777" w:rsidR="00F318F4" w:rsidRPr="00A42282" w:rsidRDefault="00F318F4" w:rsidP="00A42282">
      <w:pPr>
        <w:spacing w:line="360" w:lineRule="auto"/>
        <w:jc w:val="both"/>
        <w:rPr>
          <w:rFonts w:eastAsia="Times New Roman" w:cstheme="minorHAnsi"/>
          <w:b/>
          <w:bCs/>
          <w:color w:val="374151"/>
          <w:sz w:val="24"/>
          <w:szCs w:val="24"/>
          <w:lang w:val="en-GB"/>
        </w:rPr>
      </w:pPr>
    </w:p>
    <w:p w14:paraId="23E16860" w14:textId="77777777" w:rsidR="00F318F4" w:rsidRPr="00A42282" w:rsidRDefault="00F318F4" w:rsidP="00A42282">
      <w:pPr>
        <w:spacing w:line="360" w:lineRule="auto"/>
        <w:jc w:val="both"/>
        <w:rPr>
          <w:rFonts w:eastAsia="Times New Roman" w:cstheme="minorHAnsi"/>
          <w:b/>
          <w:bCs/>
          <w:color w:val="374151"/>
          <w:sz w:val="24"/>
          <w:szCs w:val="24"/>
          <w:lang w:val="en-GB"/>
        </w:rPr>
      </w:pPr>
    </w:p>
    <w:p w14:paraId="196DE818" w14:textId="77777777" w:rsidR="00F318F4" w:rsidRPr="00A42282" w:rsidRDefault="00F318F4" w:rsidP="00A42282">
      <w:pPr>
        <w:spacing w:line="360" w:lineRule="auto"/>
        <w:jc w:val="both"/>
        <w:rPr>
          <w:rFonts w:eastAsia="Times New Roman" w:cstheme="minorHAnsi"/>
          <w:b/>
          <w:bCs/>
          <w:color w:val="374151"/>
          <w:sz w:val="24"/>
          <w:szCs w:val="24"/>
          <w:lang w:val="en-GB"/>
        </w:rPr>
      </w:pPr>
    </w:p>
    <w:p w14:paraId="1D791A74" w14:textId="77777777" w:rsidR="00F318F4" w:rsidRPr="00A42282" w:rsidRDefault="00F318F4" w:rsidP="00A42282">
      <w:pPr>
        <w:spacing w:line="360" w:lineRule="auto"/>
        <w:jc w:val="both"/>
        <w:rPr>
          <w:rFonts w:cstheme="minorHAnsi"/>
          <w:b/>
          <w:bCs/>
          <w:sz w:val="24"/>
          <w:szCs w:val="24"/>
          <w:lang w:val="en-GB"/>
        </w:rPr>
      </w:pPr>
    </w:p>
    <w:sectPr w:rsidR="00F318F4" w:rsidRPr="00A422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FA8DD" w14:textId="77777777" w:rsidR="00CB520B" w:rsidRDefault="00CB520B" w:rsidP="007614E3">
      <w:pPr>
        <w:spacing w:after="0" w:line="240" w:lineRule="auto"/>
      </w:pPr>
      <w:r>
        <w:separator/>
      </w:r>
    </w:p>
  </w:endnote>
  <w:endnote w:type="continuationSeparator" w:id="0">
    <w:p w14:paraId="0CA17C23" w14:textId="77777777" w:rsidR="00CB520B" w:rsidRDefault="00CB520B" w:rsidP="0076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3CDCE" w14:textId="77777777" w:rsidR="00CB520B" w:rsidRDefault="00CB520B" w:rsidP="007614E3">
      <w:pPr>
        <w:spacing w:after="0" w:line="240" w:lineRule="auto"/>
      </w:pPr>
      <w:r>
        <w:separator/>
      </w:r>
    </w:p>
  </w:footnote>
  <w:footnote w:type="continuationSeparator" w:id="0">
    <w:p w14:paraId="2FD61654" w14:textId="77777777" w:rsidR="00CB520B" w:rsidRDefault="00CB520B" w:rsidP="0076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11D7B"/>
    <w:multiLevelType w:val="hybridMultilevel"/>
    <w:tmpl w:val="81926050"/>
    <w:lvl w:ilvl="0" w:tplc="02561E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836F5F"/>
    <w:multiLevelType w:val="hybridMultilevel"/>
    <w:tmpl w:val="49D04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936535">
    <w:abstractNumId w:val="1"/>
  </w:num>
  <w:num w:numId="2" w16cid:durableId="1107507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8F4"/>
    <w:rsid w:val="00013A4D"/>
    <w:rsid w:val="00053C52"/>
    <w:rsid w:val="000D260C"/>
    <w:rsid w:val="000D73A8"/>
    <w:rsid w:val="00187CEA"/>
    <w:rsid w:val="001953E7"/>
    <w:rsid w:val="001D48B2"/>
    <w:rsid w:val="00255C03"/>
    <w:rsid w:val="002C4786"/>
    <w:rsid w:val="00382B5C"/>
    <w:rsid w:val="003E21E5"/>
    <w:rsid w:val="004113E3"/>
    <w:rsid w:val="00457887"/>
    <w:rsid w:val="00461A17"/>
    <w:rsid w:val="00465130"/>
    <w:rsid w:val="00481AD8"/>
    <w:rsid w:val="00494293"/>
    <w:rsid w:val="004B5F61"/>
    <w:rsid w:val="005E2D44"/>
    <w:rsid w:val="00602801"/>
    <w:rsid w:val="00637E7B"/>
    <w:rsid w:val="00676236"/>
    <w:rsid w:val="006C7807"/>
    <w:rsid w:val="006E6CB6"/>
    <w:rsid w:val="006F40B6"/>
    <w:rsid w:val="00753ADE"/>
    <w:rsid w:val="007614E3"/>
    <w:rsid w:val="00774B93"/>
    <w:rsid w:val="008828B4"/>
    <w:rsid w:val="0090205B"/>
    <w:rsid w:val="00932C4C"/>
    <w:rsid w:val="009B4C08"/>
    <w:rsid w:val="009E57FF"/>
    <w:rsid w:val="00A42282"/>
    <w:rsid w:val="00AC34C2"/>
    <w:rsid w:val="00B05B96"/>
    <w:rsid w:val="00B132E9"/>
    <w:rsid w:val="00B24C86"/>
    <w:rsid w:val="00BA302B"/>
    <w:rsid w:val="00BB343F"/>
    <w:rsid w:val="00C00A54"/>
    <w:rsid w:val="00C444C9"/>
    <w:rsid w:val="00C56053"/>
    <w:rsid w:val="00CB520B"/>
    <w:rsid w:val="00CE7AC2"/>
    <w:rsid w:val="00D17643"/>
    <w:rsid w:val="00D23422"/>
    <w:rsid w:val="00D2688F"/>
    <w:rsid w:val="00D67F2D"/>
    <w:rsid w:val="00D725E9"/>
    <w:rsid w:val="00DA55BD"/>
    <w:rsid w:val="00DE5900"/>
    <w:rsid w:val="00E23144"/>
    <w:rsid w:val="00E71B78"/>
    <w:rsid w:val="00F318F4"/>
    <w:rsid w:val="00F53685"/>
    <w:rsid w:val="00F61083"/>
    <w:rsid w:val="00FA7002"/>
    <w:rsid w:val="00FB11DC"/>
    <w:rsid w:val="00FB33CF"/>
    <w:rsid w:val="00FB3B21"/>
    <w:rsid w:val="00FF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D8A0C"/>
  <w15:chartTrackingRefBased/>
  <w15:docId w15:val="{53E76D31-096C-439B-BE13-F39F66578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8F4"/>
    <w:rPr>
      <w:kern w:val="0"/>
      <w14:ligatures w14:val="none"/>
    </w:rPr>
  </w:style>
  <w:style w:type="paragraph" w:styleId="Heading1">
    <w:name w:val="heading 1"/>
    <w:basedOn w:val="Normal"/>
    <w:next w:val="Normal"/>
    <w:link w:val="Heading1Char"/>
    <w:uiPriority w:val="9"/>
    <w:qFormat/>
    <w:rsid w:val="009B4C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18F4"/>
    <w:rPr>
      <w:color w:val="0563C1" w:themeColor="hyperlink"/>
      <w:u w:val="single"/>
    </w:rPr>
  </w:style>
  <w:style w:type="paragraph" w:styleId="Revision">
    <w:name w:val="Revision"/>
    <w:hidden/>
    <w:uiPriority w:val="99"/>
    <w:semiHidden/>
    <w:rsid w:val="00D2688F"/>
    <w:pPr>
      <w:spacing w:after="0" w:line="240" w:lineRule="auto"/>
    </w:pPr>
    <w:rPr>
      <w:kern w:val="0"/>
      <w14:ligatures w14:val="none"/>
    </w:rPr>
  </w:style>
  <w:style w:type="paragraph" w:styleId="Header">
    <w:name w:val="header"/>
    <w:basedOn w:val="Normal"/>
    <w:link w:val="HeaderChar"/>
    <w:uiPriority w:val="99"/>
    <w:unhideWhenUsed/>
    <w:rsid w:val="00761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4E3"/>
    <w:rPr>
      <w:kern w:val="0"/>
      <w14:ligatures w14:val="none"/>
    </w:rPr>
  </w:style>
  <w:style w:type="paragraph" w:styleId="Footer">
    <w:name w:val="footer"/>
    <w:basedOn w:val="Normal"/>
    <w:link w:val="FooterChar"/>
    <w:uiPriority w:val="99"/>
    <w:unhideWhenUsed/>
    <w:rsid w:val="00761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4E3"/>
    <w:rPr>
      <w:kern w:val="0"/>
      <w14:ligatures w14:val="none"/>
    </w:rPr>
  </w:style>
  <w:style w:type="paragraph" w:styleId="ListParagraph">
    <w:name w:val="List Paragraph"/>
    <w:basedOn w:val="Normal"/>
    <w:uiPriority w:val="34"/>
    <w:qFormat/>
    <w:rsid w:val="00465130"/>
    <w:pPr>
      <w:ind w:left="720"/>
      <w:contextualSpacing/>
    </w:pPr>
    <w:rPr>
      <w:rFonts w:eastAsiaTheme="minorEastAsia"/>
      <w:lang w:val="en-GB" w:eastAsia="zh-CN"/>
    </w:rPr>
  </w:style>
  <w:style w:type="character" w:styleId="CommentReference">
    <w:name w:val="annotation reference"/>
    <w:basedOn w:val="DefaultParagraphFont"/>
    <w:uiPriority w:val="99"/>
    <w:semiHidden/>
    <w:unhideWhenUsed/>
    <w:rsid w:val="00932C4C"/>
    <w:rPr>
      <w:sz w:val="16"/>
      <w:szCs w:val="16"/>
    </w:rPr>
  </w:style>
  <w:style w:type="paragraph" w:styleId="CommentText">
    <w:name w:val="annotation text"/>
    <w:basedOn w:val="Normal"/>
    <w:link w:val="CommentTextChar"/>
    <w:uiPriority w:val="99"/>
    <w:unhideWhenUsed/>
    <w:rsid w:val="00932C4C"/>
    <w:pPr>
      <w:spacing w:line="240" w:lineRule="auto"/>
    </w:pPr>
    <w:rPr>
      <w:sz w:val="20"/>
      <w:szCs w:val="20"/>
    </w:rPr>
  </w:style>
  <w:style w:type="character" w:customStyle="1" w:styleId="CommentTextChar">
    <w:name w:val="Comment Text Char"/>
    <w:basedOn w:val="DefaultParagraphFont"/>
    <w:link w:val="CommentText"/>
    <w:uiPriority w:val="99"/>
    <w:rsid w:val="00932C4C"/>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32C4C"/>
    <w:rPr>
      <w:b/>
      <w:bCs/>
    </w:rPr>
  </w:style>
  <w:style w:type="character" w:customStyle="1" w:styleId="CommentSubjectChar">
    <w:name w:val="Comment Subject Char"/>
    <w:basedOn w:val="CommentTextChar"/>
    <w:link w:val="CommentSubject"/>
    <w:uiPriority w:val="99"/>
    <w:semiHidden/>
    <w:rsid w:val="00932C4C"/>
    <w:rPr>
      <w:b/>
      <w:bCs/>
      <w:kern w:val="0"/>
      <w:sz w:val="20"/>
      <w:szCs w:val="20"/>
      <w14:ligatures w14:val="none"/>
    </w:rPr>
  </w:style>
  <w:style w:type="paragraph" w:styleId="BalloonText">
    <w:name w:val="Balloon Text"/>
    <w:basedOn w:val="Normal"/>
    <w:link w:val="BalloonTextChar"/>
    <w:uiPriority w:val="99"/>
    <w:semiHidden/>
    <w:unhideWhenUsed/>
    <w:rsid w:val="009B4C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C08"/>
    <w:rPr>
      <w:rFonts w:ascii="Segoe UI" w:hAnsi="Segoe UI" w:cs="Segoe UI"/>
      <w:kern w:val="0"/>
      <w:sz w:val="18"/>
      <w:szCs w:val="18"/>
      <w14:ligatures w14:val="none"/>
    </w:rPr>
  </w:style>
  <w:style w:type="character" w:customStyle="1" w:styleId="Heading1Char">
    <w:name w:val="Heading 1 Char"/>
    <w:basedOn w:val="DefaultParagraphFont"/>
    <w:link w:val="Heading1"/>
    <w:uiPriority w:val="9"/>
    <w:rsid w:val="009B4C08"/>
    <w:rPr>
      <w:rFonts w:asciiTheme="majorHAnsi" w:eastAsiaTheme="majorEastAsia" w:hAnsiTheme="majorHAnsi" w:cstheme="majorBidi"/>
      <w:color w:val="2F5496" w:themeColor="accent1" w:themeShade="BF"/>
      <w:kern w:val="0"/>
      <w:sz w:val="32"/>
      <w:szCs w:val="32"/>
      <w14:ligatures w14:val="none"/>
    </w:rPr>
  </w:style>
  <w:style w:type="character" w:styleId="UnresolvedMention">
    <w:name w:val="Unresolved Mention"/>
    <w:basedOn w:val="DefaultParagraphFont"/>
    <w:uiPriority w:val="99"/>
    <w:semiHidden/>
    <w:unhideWhenUsed/>
    <w:rsid w:val="00411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546981">
      <w:bodyDiv w:val="1"/>
      <w:marLeft w:val="0"/>
      <w:marRight w:val="0"/>
      <w:marTop w:val="0"/>
      <w:marBottom w:val="0"/>
      <w:divBdr>
        <w:top w:val="none" w:sz="0" w:space="0" w:color="auto"/>
        <w:left w:val="none" w:sz="0" w:space="0" w:color="auto"/>
        <w:bottom w:val="none" w:sz="0" w:space="0" w:color="auto"/>
        <w:right w:val="none" w:sz="0" w:space="0" w:color="auto"/>
      </w:divBdr>
    </w:div>
    <w:div w:id="1629974702">
      <w:bodyDiv w:val="1"/>
      <w:marLeft w:val="0"/>
      <w:marRight w:val="0"/>
      <w:marTop w:val="0"/>
      <w:marBottom w:val="0"/>
      <w:divBdr>
        <w:top w:val="none" w:sz="0" w:space="0" w:color="auto"/>
        <w:left w:val="none" w:sz="0" w:space="0" w:color="auto"/>
        <w:bottom w:val="none" w:sz="0" w:space="0" w:color="auto"/>
        <w:right w:val="none" w:sz="0" w:space="0" w:color="auto"/>
      </w:divBdr>
    </w:div>
    <w:div w:id="1668636232">
      <w:bodyDiv w:val="1"/>
      <w:marLeft w:val="0"/>
      <w:marRight w:val="0"/>
      <w:marTop w:val="0"/>
      <w:marBottom w:val="0"/>
      <w:divBdr>
        <w:top w:val="none" w:sz="0" w:space="0" w:color="auto"/>
        <w:left w:val="none" w:sz="0" w:space="0" w:color="auto"/>
        <w:bottom w:val="none" w:sz="0" w:space="0" w:color="auto"/>
        <w:right w:val="none" w:sz="0" w:space="0" w:color="auto"/>
      </w:divBdr>
    </w:div>
    <w:div w:id="1876044952">
      <w:bodyDiv w:val="1"/>
      <w:marLeft w:val="0"/>
      <w:marRight w:val="0"/>
      <w:marTop w:val="0"/>
      <w:marBottom w:val="0"/>
      <w:divBdr>
        <w:top w:val="none" w:sz="0" w:space="0" w:color="auto"/>
        <w:left w:val="none" w:sz="0" w:space="0" w:color="auto"/>
        <w:bottom w:val="none" w:sz="0" w:space="0" w:color="auto"/>
        <w:right w:val="none" w:sz="0" w:space="0" w:color="auto"/>
      </w:divBdr>
    </w:div>
    <w:div w:id="192846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27251.2012.670995" TargetMode="External"/><Relationship Id="rId13" Type="http://schemas.openxmlformats.org/officeDocument/2006/relationships/hyperlink" Target="https://www.gov.uk/age-of-criminal-responsibility" TargetMode="External"/><Relationship Id="rId18" Type="http://schemas.openxmlformats.org/officeDocument/2006/relationships/hyperlink" Target="https://www.gov.uk/government/publications/national-partnership-agreement-for-employment-and-welfare-support-in-custody-and-the-community-2019-to-202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111/rssa.12839" TargetMode="External"/><Relationship Id="rId12" Type="http://schemas.openxmlformats.org/officeDocument/2006/relationships/hyperlink" Target="https://doi.org/10.1350/pojo.2014.87.2.671" TargetMode="External"/><Relationship Id="rId17" Type="http://schemas.openxmlformats.org/officeDocument/2006/relationships/hyperlink" Target="https://www.gov.uk/government/statistics/hmpps-annual-digest-april-2020-to-march-2021" TargetMode="External"/><Relationship Id="rId2" Type="http://schemas.openxmlformats.org/officeDocument/2006/relationships/styles" Target="styles.xml"/><Relationship Id="rId16" Type="http://schemas.openxmlformats.org/officeDocument/2006/relationships/hyperlink" Target="https://www.gov.uk/government/publications/prison-safety-and-refor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bjc/azx085" TargetMode="External"/><Relationship Id="rId5" Type="http://schemas.openxmlformats.org/officeDocument/2006/relationships/footnotes" Target="footnotes.xml"/><Relationship Id="rId15" Type="http://schemas.openxmlformats.org/officeDocument/2006/relationships/hyperlink" Target="https://www.gov.uk/government/publications/the-effect-of-drug-and-alcohol-treatment-on-re-offending" TargetMode="External"/><Relationship Id="rId10" Type="http://schemas.openxmlformats.org/officeDocument/2006/relationships/hyperlink" Target="https://doi.org/10.1111/1745-9133.12524" TargetMode="External"/><Relationship Id="rId19" Type="http://schemas.openxmlformats.org/officeDocument/2006/relationships/hyperlink" Target="https://www.gov.uk/government/statistics/proven-reoffending-statistics-april-to-june-2020/proven-reoffending-statistics-april-to-june-2020" TargetMode="External"/><Relationship Id="rId4" Type="http://schemas.openxmlformats.org/officeDocument/2006/relationships/webSettings" Target="webSettings.xml"/><Relationship Id="rId9" Type="http://schemas.openxmlformats.org/officeDocument/2006/relationships/hyperlink" Target="https://doi.org/10.1080/10439463.2016.1163359" TargetMode="External"/><Relationship Id="rId14" Type="http://schemas.openxmlformats.org/officeDocument/2006/relationships/hyperlink" Target="https://www.gov.uk/government/publications/importance-of-strengthening-prisoners-family-ties-to-prevent-reoffending-and-reduce-intergenerational-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5042</Words>
  <Characters>28745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Painter</dc:creator>
  <cp:keywords/>
  <dc:description/>
  <cp:lastModifiedBy>Hollie Painter</cp:lastModifiedBy>
  <cp:revision>2</cp:revision>
  <dcterms:created xsi:type="dcterms:W3CDTF">2023-05-07T08:56:00Z</dcterms:created>
  <dcterms:modified xsi:type="dcterms:W3CDTF">2023-05-07T08:56:00Z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9a9b4e37-71e3-4ef8-9ae6-a9dfd266fddb</vt:lpwstr>
  </property>
</Properties>
</file>