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084EF" w14:textId="461D3173" w:rsidR="00556FC2" w:rsidRPr="001B2D78" w:rsidRDefault="00556FC2" w:rsidP="004B0849">
      <w:pPr>
        <w:spacing w:line="480" w:lineRule="auto"/>
        <w:ind w:firstLine="720"/>
        <w:jc w:val="center"/>
        <w:rPr>
          <w:rFonts w:ascii="Times New Roman" w:hAnsi="Times New Roman" w:cs="Times New Roman"/>
          <w:sz w:val="24"/>
          <w:szCs w:val="24"/>
        </w:rPr>
      </w:pPr>
      <w:r w:rsidRPr="001B2D78">
        <w:rPr>
          <w:rFonts w:ascii="Times New Roman" w:hAnsi="Times New Roman" w:cs="Times New Roman"/>
          <w:sz w:val="24"/>
          <w:szCs w:val="24"/>
        </w:rPr>
        <w:t>Chapter 2 – Methodology</w:t>
      </w:r>
      <w:r w:rsidRPr="001B2D78">
        <w:rPr>
          <w:rFonts w:ascii="Times New Roman" w:hAnsi="Times New Roman" w:cs="Times New Roman"/>
          <w:sz w:val="24"/>
          <w:szCs w:val="24"/>
        </w:rPr>
        <w:cr/>
      </w:r>
    </w:p>
    <w:p w14:paraId="5CB88782" w14:textId="77777777" w:rsidR="00556FC2"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2.1 Design:</w:t>
      </w:r>
    </w:p>
    <w:p w14:paraId="162B8E6C" w14:textId="5D4352BF" w:rsidR="00E27961" w:rsidRPr="001B2D78" w:rsidRDefault="00E27961"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A between-subjects design was used. Two independent variables have been present, each with two conditions. The first independent variable was gender (male and female) and the second independent variable was age group (younger and older adults, classified by the average age of the sample). The dependent variables in this study were GAT</w:t>
      </w:r>
      <w:r w:rsidRPr="001B2D78">
        <w:rPr>
          <w:rFonts w:ascii="Times New Roman" w:hAnsi="Times New Roman" w:cs="Times New Roman"/>
          <w:sz w:val="24"/>
          <w:szCs w:val="24"/>
        </w:rPr>
        <w:t>O</w:t>
      </w:r>
      <w:r w:rsidRPr="001B2D78">
        <w:rPr>
          <w:rFonts w:ascii="Times New Roman" w:hAnsi="Times New Roman" w:cs="Times New Roman"/>
          <w:sz w:val="24"/>
          <w:szCs w:val="24"/>
        </w:rPr>
        <w:t>R scores, which measure attitudes towards robots, and Job Security Index scores, which rates people's perceived sense of job insecurity.</w:t>
      </w:r>
      <w:r w:rsidRPr="001B2D78">
        <w:rPr>
          <w:rFonts w:ascii="Times New Roman" w:hAnsi="Times New Roman" w:cs="Times New Roman"/>
          <w:sz w:val="24"/>
          <w:szCs w:val="24"/>
        </w:rPr>
        <w:t xml:space="preserve"> </w:t>
      </w:r>
      <w:r w:rsidRPr="001B2D78">
        <w:rPr>
          <w:rFonts w:ascii="Times New Roman" w:hAnsi="Times New Roman" w:cs="Times New Roman"/>
          <w:sz w:val="24"/>
          <w:szCs w:val="24"/>
        </w:rPr>
        <w:t>To answer the primary study question: ‘Do negative attitudes towards robots in society and their use in the workplace correlate with higher future feelings of job insecurity?’, a Pearson correlation was conducted between the GAT</w:t>
      </w:r>
      <w:r w:rsidRPr="001B2D78">
        <w:rPr>
          <w:rFonts w:ascii="Times New Roman" w:hAnsi="Times New Roman" w:cs="Times New Roman"/>
          <w:sz w:val="24"/>
          <w:szCs w:val="24"/>
        </w:rPr>
        <w:t>O</w:t>
      </w:r>
      <w:r w:rsidRPr="001B2D78">
        <w:rPr>
          <w:rFonts w:ascii="Times New Roman" w:hAnsi="Times New Roman" w:cs="Times New Roman"/>
          <w:sz w:val="24"/>
          <w:szCs w:val="24"/>
        </w:rPr>
        <w:t>R scores and the Job Security Index scores using SPSS software.</w:t>
      </w:r>
      <w:r w:rsidRPr="001B2D78">
        <w:rPr>
          <w:rFonts w:ascii="Times New Roman" w:hAnsi="Times New Roman" w:cs="Times New Roman"/>
          <w:sz w:val="24"/>
          <w:szCs w:val="24"/>
        </w:rPr>
        <w:t xml:space="preserve"> </w:t>
      </w:r>
      <w:r w:rsidRPr="001B2D78">
        <w:rPr>
          <w:rFonts w:ascii="Times New Roman" w:hAnsi="Times New Roman" w:cs="Times New Roman"/>
          <w:sz w:val="24"/>
          <w:szCs w:val="24"/>
        </w:rPr>
        <w:t>For the exploratory analysis: ‘Do men and women and do younger and older adults differ in their attitudes towards robots in society and their use in the workplace?’, two separate t-tests were conducted for independent samples. The first t-test compared the GAT</w:t>
      </w:r>
      <w:r w:rsidRPr="001B2D78">
        <w:rPr>
          <w:rFonts w:ascii="Times New Roman" w:hAnsi="Times New Roman" w:cs="Times New Roman"/>
          <w:sz w:val="24"/>
          <w:szCs w:val="24"/>
        </w:rPr>
        <w:t>O</w:t>
      </w:r>
      <w:r w:rsidRPr="001B2D78">
        <w:rPr>
          <w:rFonts w:ascii="Times New Roman" w:hAnsi="Times New Roman" w:cs="Times New Roman"/>
          <w:sz w:val="24"/>
          <w:szCs w:val="24"/>
        </w:rPr>
        <w:t>R scores of men and women, while the second t-test compared the GAT</w:t>
      </w:r>
      <w:r w:rsidRPr="001B2D78">
        <w:rPr>
          <w:rFonts w:ascii="Times New Roman" w:hAnsi="Times New Roman" w:cs="Times New Roman"/>
          <w:sz w:val="24"/>
          <w:szCs w:val="24"/>
        </w:rPr>
        <w:t>O</w:t>
      </w:r>
      <w:r w:rsidRPr="001B2D78">
        <w:rPr>
          <w:rFonts w:ascii="Times New Roman" w:hAnsi="Times New Roman" w:cs="Times New Roman"/>
          <w:sz w:val="24"/>
          <w:szCs w:val="24"/>
        </w:rPr>
        <w:t>R scores of younger and older adults (classified on the basis of mean age in the sample).</w:t>
      </w:r>
    </w:p>
    <w:p w14:paraId="200385AD" w14:textId="77777777" w:rsidR="00E27961" w:rsidRPr="001B2D78" w:rsidRDefault="00E27961" w:rsidP="004B0849">
      <w:pPr>
        <w:spacing w:line="480" w:lineRule="auto"/>
        <w:ind w:firstLine="720"/>
        <w:rPr>
          <w:rFonts w:ascii="Times New Roman" w:hAnsi="Times New Roman" w:cs="Times New Roman"/>
          <w:sz w:val="24"/>
          <w:szCs w:val="24"/>
        </w:rPr>
      </w:pPr>
    </w:p>
    <w:p w14:paraId="137F129E" w14:textId="77777777" w:rsidR="00556FC2" w:rsidRPr="001B2D78" w:rsidRDefault="00556FC2" w:rsidP="004B0849">
      <w:pPr>
        <w:spacing w:line="480" w:lineRule="auto"/>
        <w:ind w:firstLine="720"/>
        <w:rPr>
          <w:rFonts w:ascii="Times New Roman" w:hAnsi="Times New Roman" w:cs="Times New Roman"/>
          <w:sz w:val="24"/>
          <w:szCs w:val="24"/>
        </w:rPr>
      </w:pPr>
    </w:p>
    <w:p w14:paraId="6EC9FE01" w14:textId="77777777" w:rsidR="00556FC2" w:rsidRPr="001B2D78" w:rsidRDefault="00556FC2" w:rsidP="004B0849">
      <w:pPr>
        <w:spacing w:line="480" w:lineRule="auto"/>
        <w:ind w:firstLine="720"/>
        <w:rPr>
          <w:rFonts w:ascii="Times New Roman" w:hAnsi="Times New Roman" w:cs="Times New Roman"/>
          <w:sz w:val="24"/>
          <w:szCs w:val="24"/>
        </w:rPr>
      </w:pPr>
    </w:p>
    <w:p w14:paraId="02103F9B" w14:textId="77777777" w:rsidR="00556FC2"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2.2 Participants</w:t>
      </w:r>
    </w:p>
    <w:p w14:paraId="050834C6" w14:textId="77777777" w:rsidR="00431DEB" w:rsidRPr="001B2D78" w:rsidRDefault="00431DEB"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 xml:space="preserve">Participants were recruited through the Experiment Management System (EMS) at the University of Wales Trinity Saint David (UWTSD). A link to the online survey, which is </w:t>
      </w:r>
      <w:r w:rsidRPr="001B2D78">
        <w:rPr>
          <w:rFonts w:ascii="Times New Roman" w:hAnsi="Times New Roman" w:cs="Times New Roman"/>
          <w:sz w:val="24"/>
          <w:szCs w:val="24"/>
        </w:rPr>
        <w:lastRenderedPageBreak/>
        <w:t>hosted on Qualtrics, was shared with students enrolled in the psychology and counselling department. After accessing the survey, participants were presented with an information sheet outlining the purpose of the study, tasks, estimated duration and contact details of the researcher and supervisor. Participants were required to give informed consent before taking part in the study.</w:t>
      </w:r>
    </w:p>
    <w:p w14:paraId="26DD3ACA" w14:textId="77777777" w:rsidR="00431DEB" w:rsidRPr="001B2D78" w:rsidRDefault="00431DEB"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Initially, 63 participants took part in the study. However, 8 responses were excluded from the final analysis due to missing demographic data, including participants who did not provide their age or gender, and one participant who identified as non-binary. This resulted in a final sample of 55 participants, of whom forty-six were female and nine were male.</w:t>
      </w:r>
    </w:p>
    <w:p w14:paraId="7D48B01A" w14:textId="6A89CC9F" w:rsidR="00431DEB" w:rsidRPr="001B2D78" w:rsidRDefault="00431DEB"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Ethical approval was granted by the University of Wales Trinity Saint David. Participants were informed that their participation was voluntary and that they could withdraw from the study at any time</w:t>
      </w:r>
      <w:r w:rsidR="00155F99" w:rsidRPr="001B2D78">
        <w:rPr>
          <w:rFonts w:ascii="Times New Roman" w:hAnsi="Times New Roman" w:cs="Times New Roman"/>
          <w:sz w:val="24"/>
          <w:szCs w:val="24"/>
        </w:rPr>
        <w:t xml:space="preserve"> t</w:t>
      </w:r>
      <w:r w:rsidR="00DD79E0" w:rsidRPr="001B2D78">
        <w:rPr>
          <w:rFonts w:ascii="Times New Roman" w:hAnsi="Times New Roman" w:cs="Times New Roman"/>
          <w:sz w:val="24"/>
          <w:szCs w:val="24"/>
        </w:rPr>
        <w:t>o</w:t>
      </w:r>
      <w:r w:rsidRPr="001B2D78">
        <w:rPr>
          <w:rFonts w:ascii="Times New Roman" w:hAnsi="Times New Roman" w:cs="Times New Roman"/>
          <w:sz w:val="24"/>
          <w:szCs w:val="24"/>
        </w:rPr>
        <w:t xml:space="preserve"> maintain anonymity and confidentiality.</w:t>
      </w:r>
    </w:p>
    <w:p w14:paraId="4B967F64" w14:textId="77777777" w:rsidR="00431DEB" w:rsidRPr="001B2D78" w:rsidRDefault="00431DEB" w:rsidP="00DD79E0">
      <w:pPr>
        <w:spacing w:line="480" w:lineRule="auto"/>
        <w:rPr>
          <w:rFonts w:ascii="Times New Roman" w:hAnsi="Times New Roman" w:cs="Times New Roman"/>
          <w:sz w:val="24"/>
          <w:szCs w:val="24"/>
        </w:rPr>
      </w:pPr>
    </w:p>
    <w:p w14:paraId="7DF40D14" w14:textId="77777777" w:rsidR="00556FC2"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2.3 Materials</w:t>
      </w:r>
    </w:p>
    <w:p w14:paraId="6975DB16" w14:textId="394F3625" w:rsidR="00556FC2" w:rsidRPr="001B2D78" w:rsidRDefault="00556FC2" w:rsidP="00C10D15">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The research will be conducted online via Qualtrics. Participants will be recruited</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through the</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Experiment Management System (EMS) from University of Wales Trinity Saint David (UWTSD).</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The participants will be students of the Psychology and Counselling department. Once they</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open survey browser, they will be presented with an Information sheet, which they can</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download and will provide information on the study, what they are asked to do, approximate</w:t>
      </w:r>
      <w:r w:rsidR="00C10D15">
        <w:rPr>
          <w:rFonts w:ascii="Times New Roman" w:hAnsi="Times New Roman" w:cs="Times New Roman"/>
          <w:sz w:val="24"/>
          <w:szCs w:val="24"/>
        </w:rPr>
        <w:t xml:space="preserve"> </w:t>
      </w:r>
      <w:r w:rsidRPr="001B2D78">
        <w:rPr>
          <w:rFonts w:ascii="Times New Roman" w:hAnsi="Times New Roman" w:cs="Times New Roman"/>
          <w:sz w:val="24"/>
          <w:szCs w:val="24"/>
        </w:rPr>
        <w:t>length of time the study will take, and researcher and supervisor contact details. Informed</w:t>
      </w:r>
      <w:r w:rsidR="00C10D15">
        <w:rPr>
          <w:rFonts w:ascii="Times New Roman" w:hAnsi="Times New Roman" w:cs="Times New Roman"/>
          <w:sz w:val="24"/>
          <w:szCs w:val="24"/>
        </w:rPr>
        <w:t xml:space="preserve"> </w:t>
      </w:r>
      <w:r w:rsidRPr="001B2D78">
        <w:rPr>
          <w:rFonts w:ascii="Times New Roman" w:hAnsi="Times New Roman" w:cs="Times New Roman"/>
          <w:sz w:val="24"/>
          <w:szCs w:val="24"/>
        </w:rPr>
        <w:t>consent will then be obtained via tick boxes in Qualtrics. Participants will then be asked to</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provide information on their age and gender and then complete two questionnaires.</w:t>
      </w:r>
    </w:p>
    <w:p w14:paraId="0BE553DD" w14:textId="77777777" w:rsidR="00556FC2" w:rsidRPr="001B2D78" w:rsidRDefault="00556FC2" w:rsidP="004B0849">
      <w:pPr>
        <w:spacing w:line="480" w:lineRule="auto"/>
        <w:ind w:firstLine="720"/>
        <w:rPr>
          <w:rFonts w:ascii="Times New Roman" w:hAnsi="Times New Roman" w:cs="Times New Roman"/>
          <w:sz w:val="24"/>
          <w:szCs w:val="24"/>
        </w:rPr>
      </w:pPr>
    </w:p>
    <w:p w14:paraId="4A6C5D70" w14:textId="030A936B" w:rsidR="00873C6C"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lastRenderedPageBreak/>
        <w:t xml:space="preserve"> General</w:t>
      </w:r>
      <w:r w:rsidRPr="001B2D78">
        <w:rPr>
          <w:rFonts w:ascii="Times New Roman" w:hAnsi="Times New Roman" w:cs="Times New Roman"/>
          <w:sz w:val="24"/>
          <w:szCs w:val="24"/>
        </w:rPr>
        <w:t xml:space="preserve"> </w:t>
      </w:r>
      <w:r w:rsidRPr="001B2D78">
        <w:rPr>
          <w:rFonts w:ascii="Times New Roman" w:hAnsi="Times New Roman" w:cs="Times New Roman"/>
          <w:sz w:val="24"/>
          <w:szCs w:val="24"/>
        </w:rPr>
        <w:t>Attitudes Towards Robots Scale (G</w:t>
      </w:r>
      <w:r w:rsidR="00C10D15">
        <w:rPr>
          <w:rFonts w:ascii="Times New Roman" w:hAnsi="Times New Roman" w:cs="Times New Roman"/>
          <w:sz w:val="24"/>
          <w:szCs w:val="24"/>
        </w:rPr>
        <w:t>A</w:t>
      </w:r>
      <w:r w:rsidRPr="001B2D78">
        <w:rPr>
          <w:rFonts w:ascii="Times New Roman" w:hAnsi="Times New Roman" w:cs="Times New Roman"/>
          <w:sz w:val="24"/>
          <w:szCs w:val="24"/>
        </w:rPr>
        <w:t>T</w:t>
      </w:r>
      <w:r w:rsidR="00431DEB" w:rsidRPr="001B2D78">
        <w:rPr>
          <w:rFonts w:ascii="Times New Roman" w:hAnsi="Times New Roman" w:cs="Times New Roman"/>
          <w:sz w:val="24"/>
          <w:szCs w:val="24"/>
        </w:rPr>
        <w:t>O</w:t>
      </w:r>
      <w:r w:rsidRPr="001B2D78">
        <w:rPr>
          <w:rFonts w:ascii="Times New Roman" w:hAnsi="Times New Roman" w:cs="Times New Roman"/>
          <w:sz w:val="24"/>
          <w:szCs w:val="24"/>
        </w:rPr>
        <w:t xml:space="preserve">RS; </w:t>
      </w:r>
      <w:proofErr w:type="spellStart"/>
      <w:r w:rsidRPr="001B2D78">
        <w:rPr>
          <w:rFonts w:ascii="Times New Roman" w:hAnsi="Times New Roman" w:cs="Times New Roman"/>
          <w:sz w:val="24"/>
          <w:szCs w:val="24"/>
        </w:rPr>
        <w:t>Koverloa</w:t>
      </w:r>
      <w:proofErr w:type="spellEnd"/>
      <w:r w:rsidRPr="001B2D78">
        <w:rPr>
          <w:rFonts w:ascii="Times New Roman" w:hAnsi="Times New Roman" w:cs="Times New Roman"/>
          <w:sz w:val="24"/>
          <w:szCs w:val="24"/>
        </w:rPr>
        <w:t xml:space="preserve"> et al., 2022). The G</w:t>
      </w:r>
      <w:r w:rsidR="00C10D15">
        <w:rPr>
          <w:rFonts w:ascii="Times New Roman" w:hAnsi="Times New Roman" w:cs="Times New Roman"/>
          <w:sz w:val="24"/>
          <w:szCs w:val="24"/>
        </w:rPr>
        <w:t>A</w:t>
      </w:r>
      <w:r w:rsidRPr="001B2D78">
        <w:rPr>
          <w:rFonts w:ascii="Times New Roman" w:hAnsi="Times New Roman" w:cs="Times New Roman"/>
          <w:sz w:val="24"/>
          <w:szCs w:val="24"/>
        </w:rPr>
        <w:t>T</w:t>
      </w:r>
      <w:r w:rsidR="00431DEB" w:rsidRPr="001B2D78">
        <w:rPr>
          <w:rFonts w:ascii="Times New Roman" w:hAnsi="Times New Roman" w:cs="Times New Roman"/>
          <w:sz w:val="24"/>
          <w:szCs w:val="24"/>
        </w:rPr>
        <w:t>O</w:t>
      </w:r>
      <w:r w:rsidRPr="001B2D78">
        <w:rPr>
          <w:rFonts w:ascii="Times New Roman" w:hAnsi="Times New Roman" w:cs="Times New Roman"/>
          <w:sz w:val="24"/>
          <w:szCs w:val="24"/>
        </w:rPr>
        <w:t xml:space="preserve">RS was created </w:t>
      </w:r>
      <w:r w:rsidR="00431DEB" w:rsidRPr="001B2D78">
        <w:rPr>
          <w:rFonts w:ascii="Times New Roman" w:hAnsi="Times New Roman" w:cs="Times New Roman"/>
          <w:sz w:val="24"/>
          <w:szCs w:val="24"/>
        </w:rPr>
        <w:t>with inspiration</w:t>
      </w:r>
      <w:r w:rsidRPr="001B2D78">
        <w:rPr>
          <w:rFonts w:ascii="Times New Roman" w:hAnsi="Times New Roman" w:cs="Times New Roman"/>
          <w:sz w:val="24"/>
          <w:szCs w:val="24"/>
        </w:rPr>
        <w:t xml:space="preserve"> from the NARS, the Robot Perception Scale and the Frankenstein Syndrome</w:t>
      </w:r>
      <w:r w:rsidRPr="001B2D78">
        <w:rPr>
          <w:rFonts w:ascii="Times New Roman" w:hAnsi="Times New Roman" w:cs="Times New Roman"/>
          <w:sz w:val="24"/>
          <w:szCs w:val="24"/>
        </w:rPr>
        <w:t xml:space="preserve"> </w:t>
      </w:r>
      <w:r w:rsidRPr="001B2D78">
        <w:rPr>
          <w:rFonts w:ascii="Times New Roman" w:hAnsi="Times New Roman" w:cs="Times New Roman"/>
          <w:sz w:val="24"/>
          <w:szCs w:val="24"/>
        </w:rPr>
        <w:t>Questionnaire. As NARS only focuses on the negative aspects of robots and the Robot</w:t>
      </w:r>
      <w:r w:rsidR="00E97CD9" w:rsidRPr="001B2D78">
        <w:rPr>
          <w:rFonts w:ascii="Times New Roman" w:hAnsi="Times New Roman" w:cs="Times New Roman"/>
          <w:sz w:val="24"/>
          <w:szCs w:val="24"/>
        </w:rPr>
        <w:t xml:space="preserve"> </w:t>
      </w:r>
      <w:r w:rsidRPr="001B2D78">
        <w:rPr>
          <w:rFonts w:ascii="Times New Roman" w:hAnsi="Times New Roman" w:cs="Times New Roman"/>
          <w:sz w:val="24"/>
          <w:szCs w:val="24"/>
        </w:rPr>
        <w:t>Perception Scale only on human robots, they created their own version of the questionnaire.</w:t>
      </w:r>
      <w:r w:rsidR="00E97CD9" w:rsidRPr="001B2D78">
        <w:rPr>
          <w:rFonts w:ascii="Times New Roman" w:hAnsi="Times New Roman" w:cs="Times New Roman"/>
          <w:sz w:val="24"/>
          <w:szCs w:val="24"/>
        </w:rPr>
        <w:t xml:space="preserve"> </w:t>
      </w:r>
      <w:r w:rsidRPr="001B2D78">
        <w:rPr>
          <w:rFonts w:ascii="Times New Roman" w:hAnsi="Times New Roman" w:cs="Times New Roman"/>
          <w:sz w:val="24"/>
          <w:szCs w:val="24"/>
        </w:rPr>
        <w:t>The items developed follow a four-factor structure, categorising positive and negative attitudes</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into separate factors at both personal and societal levels. Twenty items in total are included in</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the final version (e.g., “Dangerous tasks should primarily be given to robots”, “I fear that a robot</w:t>
      </w:r>
      <w:r w:rsidR="004B0849" w:rsidRPr="001B2D78">
        <w:rPr>
          <w:rFonts w:ascii="Times New Roman" w:hAnsi="Times New Roman" w:cs="Times New Roman"/>
          <w:sz w:val="24"/>
          <w:szCs w:val="24"/>
        </w:rPr>
        <w:t xml:space="preserve"> </w:t>
      </w:r>
      <w:r w:rsidRPr="001B2D78">
        <w:rPr>
          <w:rFonts w:ascii="Times New Roman" w:hAnsi="Times New Roman" w:cs="Times New Roman"/>
          <w:sz w:val="24"/>
          <w:szCs w:val="24"/>
        </w:rPr>
        <w:t>would not understand my commands”) with all items ranging from 1 ('Strongly disagree') to 7</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('Strongly agree'). Job Security Index (JSI, Probst, 2010).</w:t>
      </w:r>
    </w:p>
    <w:p w14:paraId="2E3045E6" w14:textId="77777777" w:rsidR="00873C6C" w:rsidRPr="001B2D78" w:rsidRDefault="00873C6C" w:rsidP="004B0849">
      <w:pPr>
        <w:spacing w:line="480" w:lineRule="auto"/>
        <w:ind w:firstLine="720"/>
        <w:rPr>
          <w:rFonts w:ascii="Times New Roman" w:hAnsi="Times New Roman" w:cs="Times New Roman"/>
          <w:sz w:val="24"/>
          <w:szCs w:val="24"/>
        </w:rPr>
      </w:pPr>
    </w:p>
    <w:p w14:paraId="2AAA3AA2" w14:textId="6ADF15AC" w:rsidR="00556FC2"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 xml:space="preserve"> An adapted version of the Job Security</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Index (JSI) will assess perceptions of the future safety of jobs using a 3-point scale. The scale</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includes use of adjectives and short sentences such as 'my future job is almost guaranteed' or</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 xml:space="preserve">'insecure', with higher scores indicating greater </w:t>
      </w:r>
      <w:r w:rsidR="00016248" w:rsidRPr="001B2D78">
        <w:rPr>
          <w:rFonts w:ascii="Times New Roman" w:hAnsi="Times New Roman" w:cs="Times New Roman"/>
          <w:sz w:val="24"/>
          <w:szCs w:val="24"/>
        </w:rPr>
        <w:t xml:space="preserve">perceived </w:t>
      </w:r>
      <w:r w:rsidRPr="001B2D78">
        <w:rPr>
          <w:rFonts w:ascii="Times New Roman" w:hAnsi="Times New Roman" w:cs="Times New Roman"/>
          <w:sz w:val="24"/>
          <w:szCs w:val="24"/>
        </w:rPr>
        <w:t>job security. The eighteen descriptive</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phrases selected were chosen to avoid judgmental language. Positive and negative items were</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divided equally to prevent response bias. Following study completion, participants will be</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shown a debrief sheet on the screen outlining the purpose of the study and the contact details</w:t>
      </w:r>
      <w:r w:rsidR="00873C6C" w:rsidRPr="001B2D78">
        <w:rPr>
          <w:rFonts w:ascii="Times New Roman" w:hAnsi="Times New Roman" w:cs="Times New Roman"/>
          <w:sz w:val="24"/>
          <w:szCs w:val="24"/>
        </w:rPr>
        <w:t xml:space="preserve"> </w:t>
      </w:r>
      <w:r w:rsidRPr="001B2D78">
        <w:rPr>
          <w:rFonts w:ascii="Times New Roman" w:hAnsi="Times New Roman" w:cs="Times New Roman"/>
          <w:sz w:val="24"/>
          <w:szCs w:val="24"/>
        </w:rPr>
        <w:t>of the researcher and supervisor. This will also be available for download.</w:t>
      </w:r>
    </w:p>
    <w:p w14:paraId="6956C1D7" w14:textId="77777777" w:rsidR="00016248" w:rsidRPr="001B2D78" w:rsidRDefault="00016248" w:rsidP="00DD79E0">
      <w:pPr>
        <w:spacing w:line="480" w:lineRule="auto"/>
        <w:rPr>
          <w:rFonts w:ascii="Times New Roman" w:hAnsi="Times New Roman" w:cs="Times New Roman"/>
          <w:sz w:val="24"/>
          <w:szCs w:val="24"/>
        </w:rPr>
      </w:pPr>
    </w:p>
    <w:p w14:paraId="43E096BD" w14:textId="248A511E" w:rsidR="00556FC2" w:rsidRPr="001B2D78" w:rsidRDefault="00556FC2"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2.4 Procedure</w:t>
      </w:r>
    </w:p>
    <w:p w14:paraId="54DB9BE4" w14:textId="77777777" w:rsidR="00D8605C" w:rsidRPr="001B2D78" w:rsidRDefault="00D8605C"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 xml:space="preserve">The study will be conducted online using the Qualtrics platform. Participants will be recruited via the Experiment Management System (EMS) at University of Wales Trinity Saint David (UWTSD) and will consist of students from the Psychology and Counselling department. Upon accessing the survey, they will be presented with an information sheet, </w:t>
      </w:r>
      <w:r w:rsidRPr="001B2D78">
        <w:rPr>
          <w:rFonts w:ascii="Times New Roman" w:hAnsi="Times New Roman" w:cs="Times New Roman"/>
          <w:sz w:val="24"/>
          <w:szCs w:val="24"/>
        </w:rPr>
        <w:lastRenderedPageBreak/>
        <w:t>which they will have the option to download. This document will outline key details regarding the study, including its purpose, the tasks involved, the estimated duration, and contact details for both the researcher and the supervisor. Participants will be required to provide informed consent by selecting the appropriate tick boxes before proceeding with the study.</w:t>
      </w:r>
    </w:p>
    <w:p w14:paraId="07F86907" w14:textId="77777777" w:rsidR="00D8605C" w:rsidRPr="001B2D78" w:rsidRDefault="00D8605C" w:rsidP="004B0849">
      <w:pPr>
        <w:spacing w:line="480" w:lineRule="auto"/>
        <w:ind w:firstLine="720"/>
        <w:rPr>
          <w:rFonts w:ascii="Times New Roman" w:hAnsi="Times New Roman" w:cs="Times New Roman"/>
          <w:sz w:val="24"/>
          <w:szCs w:val="24"/>
        </w:rPr>
      </w:pPr>
    </w:p>
    <w:p w14:paraId="5FE1D3EF" w14:textId="3F532623" w:rsidR="00D8605C" w:rsidRPr="001B2D78" w:rsidRDefault="00D8605C"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After providing consent, participants will be asked to report demographic information, specifically their age and gender, before completing two questionnaires. The General Attitudes Towards Robots Scale (GAT</w:t>
      </w:r>
      <w:r w:rsidR="004B0849" w:rsidRPr="001B2D78">
        <w:rPr>
          <w:rFonts w:ascii="Times New Roman" w:hAnsi="Times New Roman" w:cs="Times New Roman"/>
          <w:sz w:val="24"/>
          <w:szCs w:val="24"/>
        </w:rPr>
        <w:t>O</w:t>
      </w:r>
      <w:r w:rsidRPr="001B2D78">
        <w:rPr>
          <w:rFonts w:ascii="Times New Roman" w:hAnsi="Times New Roman" w:cs="Times New Roman"/>
          <w:sz w:val="24"/>
          <w:szCs w:val="24"/>
        </w:rPr>
        <w:t xml:space="preserve">RS; </w:t>
      </w:r>
      <w:proofErr w:type="spellStart"/>
      <w:r w:rsidRPr="001B2D78">
        <w:rPr>
          <w:rFonts w:ascii="Times New Roman" w:hAnsi="Times New Roman" w:cs="Times New Roman"/>
          <w:sz w:val="24"/>
          <w:szCs w:val="24"/>
        </w:rPr>
        <w:t>Koverloa</w:t>
      </w:r>
      <w:proofErr w:type="spellEnd"/>
      <w:r w:rsidRPr="001B2D78">
        <w:rPr>
          <w:rFonts w:ascii="Times New Roman" w:hAnsi="Times New Roman" w:cs="Times New Roman"/>
          <w:sz w:val="24"/>
          <w:szCs w:val="24"/>
        </w:rPr>
        <w:t xml:space="preserve"> et al., 2022) will be used to assess their perceptions of robots. This scale was developed as a response to existing measures, such as the Negative Attitudes Towards Robots Scale (NARS) and the Robot Perception Scale, which were limited in scope—NARS primarily focuses on negative perceptions, while the Robot Perception Scale is specific to humanoid robots. GAT</w:t>
      </w:r>
      <w:r w:rsidR="004B0849" w:rsidRPr="001B2D78">
        <w:rPr>
          <w:rFonts w:ascii="Times New Roman" w:hAnsi="Times New Roman" w:cs="Times New Roman"/>
          <w:sz w:val="24"/>
          <w:szCs w:val="24"/>
        </w:rPr>
        <w:t>O</w:t>
      </w:r>
      <w:r w:rsidRPr="001B2D78">
        <w:rPr>
          <w:rFonts w:ascii="Times New Roman" w:hAnsi="Times New Roman" w:cs="Times New Roman"/>
          <w:sz w:val="24"/>
          <w:szCs w:val="24"/>
        </w:rPr>
        <w:t>RS incorporates both positive and negative attitudes across personal and societal dimensions, following a four-factor model. The final scale consists of 20 items, such as “Dangerous tasks should primarily be assigned to robots” and “I fear that a robot would not understand my commands”. Responses are recorded on a 7-point Likert scale ranging from 1 (Strongly Disagree) to 7 (Strongly Agree).</w:t>
      </w:r>
    </w:p>
    <w:p w14:paraId="758C5FF9" w14:textId="77777777" w:rsidR="00D8605C" w:rsidRPr="001B2D78" w:rsidRDefault="00D8605C" w:rsidP="004B0849">
      <w:pPr>
        <w:spacing w:line="480" w:lineRule="auto"/>
        <w:ind w:firstLine="720"/>
        <w:rPr>
          <w:rFonts w:ascii="Times New Roman" w:hAnsi="Times New Roman" w:cs="Times New Roman"/>
          <w:sz w:val="24"/>
          <w:szCs w:val="24"/>
        </w:rPr>
      </w:pPr>
    </w:p>
    <w:p w14:paraId="254ABFBB" w14:textId="77777777" w:rsidR="00D8605C" w:rsidRPr="001B2D78" w:rsidRDefault="00D8605C"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To measure perceptions of job security, an adapted version of the Job Security Index (JSI; Probst, 2010) will be administered. This instrument evaluates future job stability using a 3-point scale. The scale consists of descriptive statements such as “My future job is almost guaranteed” and “My job feels insecure”, where higher scores indicate a greater sense of job security. Care was taken in selecting the 18 descriptive items to ensure a balance of positive and negative statements, minimizing response bias by avoiding overly judgmental language.</w:t>
      </w:r>
    </w:p>
    <w:p w14:paraId="3FAA2E8B" w14:textId="77777777" w:rsidR="00D8605C" w:rsidRPr="001B2D78" w:rsidRDefault="00D8605C" w:rsidP="004B0849">
      <w:pPr>
        <w:spacing w:line="480" w:lineRule="auto"/>
        <w:ind w:firstLine="720"/>
        <w:rPr>
          <w:rFonts w:ascii="Times New Roman" w:hAnsi="Times New Roman" w:cs="Times New Roman"/>
          <w:sz w:val="24"/>
          <w:szCs w:val="24"/>
        </w:rPr>
      </w:pPr>
    </w:p>
    <w:p w14:paraId="15A6CEE1" w14:textId="7EC85A84" w:rsidR="00D8605C" w:rsidRPr="001B2D78" w:rsidRDefault="00D8605C" w:rsidP="004B0849">
      <w:pPr>
        <w:spacing w:line="480" w:lineRule="auto"/>
        <w:ind w:firstLine="720"/>
        <w:rPr>
          <w:rFonts w:ascii="Times New Roman" w:hAnsi="Times New Roman" w:cs="Times New Roman"/>
          <w:sz w:val="24"/>
          <w:szCs w:val="24"/>
        </w:rPr>
      </w:pPr>
      <w:r w:rsidRPr="001B2D78">
        <w:rPr>
          <w:rFonts w:ascii="Times New Roman" w:hAnsi="Times New Roman" w:cs="Times New Roman"/>
          <w:sz w:val="24"/>
          <w:szCs w:val="24"/>
        </w:rPr>
        <w:t>At the conclusion of the study, participants will be presented with a debrief sheet, displayed on the screen, which will provide a summary of the study’s objectives and further details regarding the research. This document will also include contact information for both the researcher and the supervisor and will be available for download.</w:t>
      </w:r>
    </w:p>
    <w:p w14:paraId="3754A77B" w14:textId="77777777" w:rsidR="00D8605C" w:rsidRPr="001B2D78" w:rsidRDefault="00D8605C" w:rsidP="004B0849">
      <w:pPr>
        <w:spacing w:line="480" w:lineRule="auto"/>
        <w:ind w:firstLine="720"/>
        <w:rPr>
          <w:rFonts w:ascii="Times New Roman" w:hAnsi="Times New Roman" w:cs="Times New Roman"/>
          <w:sz w:val="24"/>
          <w:szCs w:val="24"/>
        </w:rPr>
      </w:pPr>
    </w:p>
    <w:p w14:paraId="222A01CA" w14:textId="77777777" w:rsidR="00D8605C" w:rsidRPr="001B2D78" w:rsidRDefault="00D8605C" w:rsidP="004B0849">
      <w:pPr>
        <w:spacing w:line="480" w:lineRule="auto"/>
        <w:ind w:firstLine="720"/>
        <w:rPr>
          <w:rFonts w:ascii="Times New Roman" w:hAnsi="Times New Roman" w:cs="Times New Roman"/>
          <w:sz w:val="24"/>
          <w:szCs w:val="24"/>
        </w:rPr>
      </w:pPr>
    </w:p>
    <w:p w14:paraId="6B4A4C07" w14:textId="77777777" w:rsidR="00717B56" w:rsidRPr="001B2D78" w:rsidRDefault="00717B56" w:rsidP="004B0849">
      <w:pPr>
        <w:spacing w:line="480" w:lineRule="auto"/>
        <w:ind w:firstLine="720"/>
        <w:rPr>
          <w:rFonts w:ascii="Times New Roman" w:hAnsi="Times New Roman" w:cs="Times New Roman"/>
          <w:b/>
          <w:bCs/>
          <w:sz w:val="24"/>
          <w:szCs w:val="24"/>
        </w:rPr>
      </w:pPr>
    </w:p>
    <w:sectPr w:rsidR="00717B56" w:rsidRPr="001B2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FC2"/>
    <w:rsid w:val="00016248"/>
    <w:rsid w:val="00155F99"/>
    <w:rsid w:val="001B2D78"/>
    <w:rsid w:val="003460F1"/>
    <w:rsid w:val="00431DEB"/>
    <w:rsid w:val="004716D9"/>
    <w:rsid w:val="004B0849"/>
    <w:rsid w:val="00556FC2"/>
    <w:rsid w:val="00580952"/>
    <w:rsid w:val="00644759"/>
    <w:rsid w:val="00717B56"/>
    <w:rsid w:val="007E3C94"/>
    <w:rsid w:val="00804B43"/>
    <w:rsid w:val="00873C6C"/>
    <w:rsid w:val="00881DE7"/>
    <w:rsid w:val="009342BC"/>
    <w:rsid w:val="00A5463E"/>
    <w:rsid w:val="00B13E84"/>
    <w:rsid w:val="00BE6317"/>
    <w:rsid w:val="00C10D15"/>
    <w:rsid w:val="00C41C36"/>
    <w:rsid w:val="00CE0C68"/>
    <w:rsid w:val="00D10602"/>
    <w:rsid w:val="00D8605C"/>
    <w:rsid w:val="00DD79E0"/>
    <w:rsid w:val="00E27961"/>
    <w:rsid w:val="00E8115D"/>
    <w:rsid w:val="00E97CD9"/>
    <w:rsid w:val="00EB43E2"/>
    <w:rsid w:val="00FE3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9D4D"/>
  <w15:chartTrackingRefBased/>
  <w15:docId w15:val="{7C0D3AB1-7522-4865-B638-EF5279A44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6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6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6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6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FC2"/>
    <w:rPr>
      <w:rFonts w:eastAsiaTheme="majorEastAsia" w:cstheme="majorBidi"/>
      <w:color w:val="272727" w:themeColor="text1" w:themeTint="D8"/>
    </w:rPr>
  </w:style>
  <w:style w:type="paragraph" w:styleId="Title">
    <w:name w:val="Title"/>
    <w:basedOn w:val="Normal"/>
    <w:next w:val="Normal"/>
    <w:link w:val="TitleChar"/>
    <w:uiPriority w:val="10"/>
    <w:qFormat/>
    <w:rsid w:val="00556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FC2"/>
    <w:pPr>
      <w:spacing w:before="160"/>
      <w:jc w:val="center"/>
    </w:pPr>
    <w:rPr>
      <w:i/>
      <w:iCs/>
      <w:color w:val="404040" w:themeColor="text1" w:themeTint="BF"/>
    </w:rPr>
  </w:style>
  <w:style w:type="character" w:customStyle="1" w:styleId="QuoteChar">
    <w:name w:val="Quote Char"/>
    <w:basedOn w:val="DefaultParagraphFont"/>
    <w:link w:val="Quote"/>
    <w:uiPriority w:val="29"/>
    <w:rsid w:val="00556FC2"/>
    <w:rPr>
      <w:i/>
      <w:iCs/>
      <w:color w:val="404040" w:themeColor="text1" w:themeTint="BF"/>
    </w:rPr>
  </w:style>
  <w:style w:type="paragraph" w:styleId="ListParagraph">
    <w:name w:val="List Paragraph"/>
    <w:basedOn w:val="Normal"/>
    <w:uiPriority w:val="34"/>
    <w:qFormat/>
    <w:rsid w:val="00556FC2"/>
    <w:pPr>
      <w:ind w:left="720"/>
      <w:contextualSpacing/>
    </w:pPr>
  </w:style>
  <w:style w:type="character" w:styleId="IntenseEmphasis">
    <w:name w:val="Intense Emphasis"/>
    <w:basedOn w:val="DefaultParagraphFont"/>
    <w:uiPriority w:val="21"/>
    <w:qFormat/>
    <w:rsid w:val="00556FC2"/>
    <w:rPr>
      <w:i/>
      <w:iCs/>
      <w:color w:val="0F4761" w:themeColor="accent1" w:themeShade="BF"/>
    </w:rPr>
  </w:style>
  <w:style w:type="paragraph" w:styleId="IntenseQuote">
    <w:name w:val="Intense Quote"/>
    <w:basedOn w:val="Normal"/>
    <w:next w:val="Normal"/>
    <w:link w:val="IntenseQuoteChar"/>
    <w:uiPriority w:val="30"/>
    <w:qFormat/>
    <w:rsid w:val="00556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FC2"/>
    <w:rPr>
      <w:i/>
      <w:iCs/>
      <w:color w:val="0F4761" w:themeColor="accent1" w:themeShade="BF"/>
    </w:rPr>
  </w:style>
  <w:style w:type="character" w:styleId="IntenseReference">
    <w:name w:val="Intense Reference"/>
    <w:basedOn w:val="DefaultParagraphFont"/>
    <w:uiPriority w:val="32"/>
    <w:qFormat/>
    <w:rsid w:val="00556F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8f976c7d786178bc71e06c2fbf3427d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46d2c376d8315db923cf409c529c02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8D50A833-42E8-48ED-9FB9-47DF009C02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71641-9565-4534-9251-E0583B69DF4F}">
  <ds:schemaRefs>
    <ds:schemaRef ds:uri="http://schemas.microsoft.com/sharepoint/v3/contenttype/forms"/>
  </ds:schemaRefs>
</ds:datastoreItem>
</file>

<file path=customXml/itemProps3.xml><?xml version="1.0" encoding="utf-8"?>
<ds:datastoreItem xmlns:ds="http://schemas.openxmlformats.org/officeDocument/2006/customXml" ds:itemID="{2EC32FA4-B43C-47A1-BBDD-0FFF9EA84770}">
  <ds:schemaRefs>
    <ds:schemaRef ds:uri="http://purl.org/dc/elements/1.1/"/>
    <ds:schemaRef ds:uri="http://purl.org/dc/dcmitype/"/>
    <ds:schemaRef ds:uri="95817cb9-f0eb-4f4d-892c-47ab9f8957c0"/>
    <ds:schemaRef ds:uri="http://schemas.microsoft.com/office/2006/documentManagement/types"/>
    <ds:schemaRef ds:uri="http://schemas.microsoft.com/office/infopath/2007/PartnerControls"/>
    <ds:schemaRef ds:uri="http://schemas.microsoft.com/office/2006/metadata/properties"/>
    <ds:schemaRef ds:uri="http://www.w3.org/XML/1998/namespace"/>
    <ds:schemaRef ds:uri="http://schemas.openxmlformats.org/package/2006/metadata/core-properties"/>
    <ds:schemaRef ds:uri="9823f8e4-81f3-4a59-a026-c1a9717271f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5</Pages>
  <Words>1079</Words>
  <Characters>6155</Characters>
  <Application>Microsoft Office Word</Application>
  <DocSecurity>0</DocSecurity>
  <Lines>51</Lines>
  <Paragraphs>14</Paragraphs>
  <ScaleCrop>false</ScaleCrop>
  <Company/>
  <LinksUpToDate>false</LinksUpToDate>
  <CharactersWithSpaces>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Kadewska (2105813)</dc:creator>
  <cp:keywords/>
  <dc:description/>
  <cp:lastModifiedBy>Sylwia Kadewska (2105813)</cp:lastModifiedBy>
  <cp:revision>2</cp:revision>
  <dcterms:created xsi:type="dcterms:W3CDTF">2025-03-02T21:02:00Z</dcterms:created>
  <dcterms:modified xsi:type="dcterms:W3CDTF">2025-03-02T21:02:00Z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