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11757" w:rsidRDefault="00715990" w:rsidP="00A11757">
      <w:pPr>
        <w:spacing w:line="360" w:lineRule="auto"/>
        <w:jc w:val="center"/>
        <w:rPr>
          <w:rFonts w:ascii="Arial" w:hAnsi="Arial" w:cs="Arial"/>
          <w:b/>
          <w:bCs/>
          <w:szCs w:val="24"/>
        </w:rPr>
      </w:pPr>
      <w:r w:rsidRPr="00A11757">
        <w:rPr>
          <w:rFonts w:ascii="Arial" w:hAnsi="Arial" w:cs="Arial"/>
          <w:b/>
          <w:bCs/>
          <w:szCs w:val="24"/>
        </w:rPr>
        <w:t>BSc (Hons) Health and Social Care</w:t>
      </w:r>
    </w:p>
    <w:p w14:paraId="358C7E62" w14:textId="77777777" w:rsidR="00AD0E8D" w:rsidRPr="00A11757" w:rsidRDefault="00AD0E8D" w:rsidP="00A11757">
      <w:pPr>
        <w:spacing w:line="360" w:lineRule="auto"/>
        <w:jc w:val="center"/>
        <w:rPr>
          <w:rFonts w:ascii="Arial" w:hAnsi="Arial" w:cs="Arial"/>
          <w:b/>
          <w:bCs/>
          <w:szCs w:val="24"/>
        </w:rPr>
      </w:pPr>
    </w:p>
    <w:p w14:paraId="7680A4B0" w14:textId="3F72E373" w:rsidR="00715990" w:rsidRPr="00A11757" w:rsidRDefault="00715990" w:rsidP="00A11757">
      <w:pPr>
        <w:spacing w:line="360" w:lineRule="auto"/>
        <w:jc w:val="center"/>
        <w:rPr>
          <w:rFonts w:ascii="Arial" w:hAnsi="Arial" w:cs="Arial"/>
          <w:b/>
          <w:bCs/>
          <w:szCs w:val="24"/>
        </w:rPr>
      </w:pPr>
      <w:r w:rsidRPr="00A11757">
        <w:rPr>
          <w:rFonts w:ascii="Arial" w:hAnsi="Arial" w:cs="Arial"/>
          <w:b/>
          <w:bCs/>
          <w:szCs w:val="24"/>
        </w:rPr>
        <w:t xml:space="preserve">Module: </w:t>
      </w:r>
      <w:r w:rsidR="00AD0E8D" w:rsidRPr="00A11757">
        <w:rPr>
          <w:rFonts w:ascii="Arial" w:hAnsi="Arial" w:cs="Arial"/>
          <w:b/>
          <w:bCs/>
          <w:szCs w:val="24"/>
        </w:rPr>
        <w:t>Introduction to Independent Research Skills</w:t>
      </w:r>
      <w:r w:rsidRPr="00A11757">
        <w:rPr>
          <w:rFonts w:ascii="Arial" w:hAnsi="Arial" w:cs="Arial"/>
          <w:b/>
          <w:bCs/>
          <w:szCs w:val="24"/>
        </w:rPr>
        <w:t xml:space="preserve"> (BMHP</w:t>
      </w:r>
      <w:r w:rsidR="00AD0E8D" w:rsidRPr="00A11757">
        <w:rPr>
          <w:rFonts w:ascii="Arial" w:hAnsi="Arial" w:cs="Arial"/>
          <w:b/>
          <w:bCs/>
          <w:szCs w:val="24"/>
        </w:rPr>
        <w:t>5019</w:t>
      </w:r>
      <w:r w:rsidRPr="00A11757">
        <w:rPr>
          <w:rFonts w:ascii="Arial" w:hAnsi="Arial" w:cs="Arial"/>
          <w:b/>
          <w:bCs/>
          <w:szCs w:val="24"/>
        </w:rPr>
        <w:t>)</w:t>
      </w:r>
    </w:p>
    <w:p w14:paraId="3157DF3C" w14:textId="77777777" w:rsidR="00715990" w:rsidRPr="00A11757" w:rsidRDefault="00715990" w:rsidP="00A11757">
      <w:pPr>
        <w:spacing w:line="360" w:lineRule="auto"/>
        <w:jc w:val="center"/>
        <w:rPr>
          <w:rFonts w:ascii="Arial" w:hAnsi="Arial" w:cs="Arial"/>
          <w:szCs w:val="24"/>
        </w:rPr>
      </w:pPr>
    </w:p>
    <w:p w14:paraId="08BDA311" w14:textId="38F1B3E7" w:rsidR="00041A5A" w:rsidRPr="00A11757" w:rsidRDefault="00715990" w:rsidP="00A11757">
      <w:pPr>
        <w:spacing w:line="360" w:lineRule="auto"/>
        <w:jc w:val="center"/>
        <w:rPr>
          <w:rFonts w:ascii="Arial" w:hAnsi="Arial" w:cs="Arial"/>
          <w:szCs w:val="24"/>
        </w:rPr>
      </w:pPr>
      <w:r w:rsidRPr="00A11757">
        <w:rPr>
          <w:rFonts w:ascii="Arial" w:hAnsi="Arial" w:cs="Arial"/>
          <w:b/>
          <w:bCs/>
          <w:szCs w:val="24"/>
        </w:rPr>
        <w:t xml:space="preserve">Assessment title: </w:t>
      </w:r>
      <w:r w:rsidR="00AD0E8D" w:rsidRPr="00A11757">
        <w:rPr>
          <w:rFonts w:ascii="Arial" w:hAnsi="Arial" w:cs="Arial"/>
          <w:szCs w:val="24"/>
        </w:rPr>
        <w:t>Assessment 1 - Research</w:t>
      </w:r>
      <w:r w:rsidRPr="00A11757">
        <w:rPr>
          <w:rFonts w:ascii="Arial" w:hAnsi="Arial" w:cs="Arial"/>
          <w:szCs w:val="24"/>
        </w:rPr>
        <w:t xml:space="preserve"> Proposal</w:t>
      </w:r>
      <w:r w:rsidR="00545684" w:rsidRPr="00A11757">
        <w:rPr>
          <w:rFonts w:ascii="Arial" w:hAnsi="Arial" w:cs="Arial"/>
          <w:szCs w:val="24"/>
        </w:rPr>
        <w:t xml:space="preserve"> </w:t>
      </w:r>
    </w:p>
    <w:p w14:paraId="2EDEAE0B" w14:textId="149B09BE" w:rsidR="00715990" w:rsidRPr="00A11757" w:rsidRDefault="00715990" w:rsidP="00A11757">
      <w:pPr>
        <w:spacing w:line="360" w:lineRule="auto"/>
        <w:rPr>
          <w:rFonts w:ascii="Arial" w:hAnsi="Arial" w:cs="Arial"/>
          <w:szCs w:val="24"/>
        </w:rPr>
      </w:pPr>
    </w:p>
    <w:p w14:paraId="1AD185BB" w14:textId="77777777" w:rsidR="00FF5B70" w:rsidRPr="00A11757" w:rsidRDefault="00FF5B70" w:rsidP="00A11757">
      <w:pPr>
        <w:spacing w:line="360" w:lineRule="auto"/>
        <w:rPr>
          <w:rFonts w:ascii="Arial" w:hAnsi="Arial" w:cs="Arial"/>
          <w:szCs w:val="24"/>
        </w:rPr>
      </w:pPr>
    </w:p>
    <w:p w14:paraId="684DDF82" w14:textId="7B0D1AA9" w:rsidR="00715990" w:rsidRPr="00A11757" w:rsidRDefault="00715990" w:rsidP="00A11757">
      <w:pPr>
        <w:spacing w:line="360" w:lineRule="auto"/>
        <w:rPr>
          <w:rFonts w:ascii="Arial" w:hAnsi="Arial" w:cs="Arial"/>
          <w:szCs w:val="24"/>
        </w:rPr>
      </w:pPr>
      <w:r w:rsidRPr="00A11757">
        <w:rPr>
          <w:rFonts w:ascii="Arial" w:hAnsi="Arial" w:cs="Arial"/>
          <w:b/>
          <w:bCs/>
          <w:szCs w:val="24"/>
        </w:rPr>
        <w:t>Student ID</w:t>
      </w:r>
      <w:r w:rsidRPr="00A11757">
        <w:rPr>
          <w:rFonts w:ascii="Arial" w:hAnsi="Arial" w:cs="Arial"/>
          <w:szCs w:val="24"/>
        </w:rPr>
        <w:t xml:space="preserve">: </w:t>
      </w:r>
      <w:r w:rsidR="00EF13CA" w:rsidRPr="00A11757">
        <w:rPr>
          <w:rFonts w:ascii="Arial" w:hAnsi="Arial" w:cs="Arial"/>
          <w:szCs w:val="24"/>
        </w:rPr>
        <w:t>2311889</w:t>
      </w:r>
    </w:p>
    <w:p w14:paraId="01D5D8DB" w14:textId="03ED09ED" w:rsidR="00FF5B70" w:rsidRPr="00A11757" w:rsidRDefault="00FF5B70" w:rsidP="00A11757">
      <w:pPr>
        <w:spacing w:line="360" w:lineRule="auto"/>
        <w:rPr>
          <w:rFonts w:ascii="Arial" w:hAnsi="Arial" w:cs="Arial"/>
          <w:szCs w:val="24"/>
        </w:rPr>
      </w:pPr>
    </w:p>
    <w:p w14:paraId="37A27DB3" w14:textId="7DB6A7EC" w:rsidR="00FF5B70" w:rsidRPr="00A11757" w:rsidRDefault="00FF5B70" w:rsidP="00A11757">
      <w:pPr>
        <w:spacing w:line="360" w:lineRule="auto"/>
        <w:rPr>
          <w:rFonts w:ascii="Arial" w:hAnsi="Arial" w:cs="Arial"/>
          <w:szCs w:val="24"/>
        </w:rPr>
      </w:pPr>
      <w:r w:rsidRPr="00A11757">
        <w:rPr>
          <w:rFonts w:ascii="Arial" w:hAnsi="Arial" w:cs="Arial"/>
          <w:b/>
          <w:bCs/>
          <w:szCs w:val="24"/>
        </w:rPr>
        <w:t>Student Name</w:t>
      </w:r>
      <w:r w:rsidRPr="00A11757">
        <w:rPr>
          <w:rFonts w:ascii="Arial" w:hAnsi="Arial" w:cs="Arial"/>
          <w:szCs w:val="24"/>
        </w:rPr>
        <w:t xml:space="preserve">: </w:t>
      </w:r>
      <w:r w:rsidR="00EF13CA" w:rsidRPr="00A11757">
        <w:rPr>
          <w:rFonts w:ascii="Arial" w:hAnsi="Arial" w:cs="Arial"/>
          <w:szCs w:val="24"/>
        </w:rPr>
        <w:t>Gabriela Arapu</w:t>
      </w:r>
    </w:p>
    <w:p w14:paraId="638A4615" w14:textId="77777777" w:rsidR="00715990" w:rsidRPr="00A11757" w:rsidRDefault="00715990" w:rsidP="00A11757">
      <w:pPr>
        <w:spacing w:line="360" w:lineRule="auto"/>
        <w:rPr>
          <w:rFonts w:ascii="Arial" w:hAnsi="Arial" w:cs="Arial"/>
          <w:szCs w:val="24"/>
        </w:rPr>
      </w:pPr>
    </w:p>
    <w:p w14:paraId="0B04E018" w14:textId="786E43BD" w:rsidR="00715990" w:rsidRPr="00A11757" w:rsidRDefault="00715990" w:rsidP="00A11757">
      <w:pPr>
        <w:spacing w:line="360" w:lineRule="auto"/>
        <w:rPr>
          <w:rFonts w:ascii="Arial" w:hAnsi="Arial" w:cs="Arial"/>
          <w:szCs w:val="24"/>
        </w:rPr>
      </w:pPr>
      <w:r w:rsidRPr="00A11757">
        <w:rPr>
          <w:rFonts w:ascii="Arial" w:hAnsi="Arial" w:cs="Arial"/>
          <w:b/>
          <w:bCs/>
          <w:szCs w:val="24"/>
        </w:rPr>
        <w:t>Date of submission</w:t>
      </w:r>
      <w:r w:rsidRPr="00A11757">
        <w:rPr>
          <w:rFonts w:ascii="Arial" w:hAnsi="Arial" w:cs="Arial"/>
          <w:szCs w:val="24"/>
        </w:rPr>
        <w:t xml:space="preserve">: </w:t>
      </w:r>
      <w:r w:rsidR="00442F75">
        <w:rPr>
          <w:rFonts w:ascii="Arial" w:hAnsi="Arial" w:cs="Arial"/>
          <w:szCs w:val="24"/>
        </w:rPr>
        <w:t>09/07/26</w:t>
      </w:r>
    </w:p>
    <w:p w14:paraId="19AA26A9" w14:textId="2F99F205" w:rsidR="00FF5B70" w:rsidRPr="00A11757" w:rsidRDefault="00FF5B70" w:rsidP="00A11757">
      <w:pPr>
        <w:spacing w:line="360" w:lineRule="auto"/>
        <w:rPr>
          <w:rFonts w:ascii="Arial" w:hAnsi="Arial" w:cs="Arial"/>
          <w:szCs w:val="24"/>
        </w:rPr>
      </w:pPr>
    </w:p>
    <w:p w14:paraId="48B6411E" w14:textId="77777777" w:rsidR="00EF13CA" w:rsidRPr="00A11757" w:rsidRDefault="0014525B" w:rsidP="00A11757">
      <w:pPr>
        <w:pStyle w:val="p1"/>
        <w:spacing w:line="360" w:lineRule="auto"/>
        <w:rPr>
          <w:sz w:val="24"/>
          <w:szCs w:val="24"/>
        </w:rPr>
      </w:pPr>
      <w:r w:rsidRPr="00A11757">
        <w:rPr>
          <w:b/>
          <w:bCs/>
          <w:sz w:val="24"/>
          <w:szCs w:val="24"/>
        </w:rPr>
        <w:t>Lecturer’s name</w:t>
      </w:r>
      <w:r w:rsidR="00FF5B70" w:rsidRPr="00A11757">
        <w:rPr>
          <w:sz w:val="24"/>
          <w:szCs w:val="24"/>
        </w:rPr>
        <w:t xml:space="preserve">: </w:t>
      </w:r>
      <w:r w:rsidR="00EF13CA" w:rsidRPr="00A11757">
        <w:rPr>
          <w:b/>
          <w:bCs/>
          <w:sz w:val="24"/>
          <w:szCs w:val="24"/>
        </w:rPr>
        <w:t>Muhammed Khan</w:t>
      </w:r>
    </w:p>
    <w:p w14:paraId="3FE66E60" w14:textId="12ECFD4F" w:rsidR="00FF5B70" w:rsidRPr="00A11757" w:rsidRDefault="00FF5B70" w:rsidP="00A11757">
      <w:pPr>
        <w:spacing w:line="360" w:lineRule="auto"/>
        <w:rPr>
          <w:rFonts w:ascii="Arial" w:hAnsi="Arial" w:cs="Arial"/>
          <w:b/>
          <w:bCs/>
          <w:szCs w:val="24"/>
        </w:rPr>
      </w:pPr>
    </w:p>
    <w:p w14:paraId="5BD313B6" w14:textId="4BA804DC" w:rsidR="00715990" w:rsidRPr="00A11757" w:rsidRDefault="00715990" w:rsidP="00A11757">
      <w:pPr>
        <w:spacing w:line="360" w:lineRule="auto"/>
        <w:rPr>
          <w:rFonts w:ascii="Arial" w:hAnsi="Arial" w:cs="Arial"/>
          <w:szCs w:val="24"/>
        </w:rPr>
      </w:pPr>
    </w:p>
    <w:p w14:paraId="07CF3A4D" w14:textId="4AAF8C7D" w:rsidR="00715990" w:rsidRPr="00A11757" w:rsidRDefault="00715990" w:rsidP="00A11757">
      <w:pPr>
        <w:spacing w:line="360" w:lineRule="auto"/>
        <w:rPr>
          <w:rFonts w:ascii="Arial" w:hAnsi="Arial" w:cs="Arial"/>
          <w:szCs w:val="24"/>
        </w:rPr>
      </w:pPr>
      <w:r w:rsidRPr="00A11757">
        <w:rPr>
          <w:rFonts w:ascii="Arial" w:hAnsi="Arial" w:cs="Arial"/>
          <w:szCs w:val="24"/>
        </w:rPr>
        <w:br w:type="page"/>
      </w:r>
    </w:p>
    <w:p w14:paraId="75E7FD5C" w14:textId="19E855F6" w:rsidR="00545684" w:rsidRPr="007B570E" w:rsidRDefault="00AD0E8D" w:rsidP="007B570E">
      <w:pPr>
        <w:pStyle w:val="Heading1"/>
        <w:rPr>
          <w:rFonts w:cs="Arial"/>
          <w:sz w:val="22"/>
        </w:rPr>
      </w:pPr>
      <w:r w:rsidRPr="007B570E">
        <w:rPr>
          <w:rFonts w:cs="Arial"/>
          <w:sz w:val="22"/>
        </w:rPr>
        <w:lastRenderedPageBreak/>
        <w:t>Research</w:t>
      </w:r>
      <w:r w:rsidR="00545684" w:rsidRPr="007B570E">
        <w:rPr>
          <w:rFonts w:cs="Arial"/>
          <w:sz w:val="22"/>
        </w:rPr>
        <w:t xml:space="preserve"> </w:t>
      </w:r>
      <w:r w:rsidR="000B7CD5" w:rsidRPr="007B570E">
        <w:rPr>
          <w:rFonts w:cs="Arial"/>
          <w:sz w:val="22"/>
        </w:rPr>
        <w:t>P</w:t>
      </w:r>
      <w:r w:rsidR="00545684" w:rsidRPr="007B570E">
        <w:rPr>
          <w:rFonts w:cs="Arial"/>
          <w:sz w:val="22"/>
        </w:rPr>
        <w:t>roposal</w:t>
      </w:r>
    </w:p>
    <w:p w14:paraId="6630FBCE" w14:textId="0038F936" w:rsidR="00D769F0" w:rsidRPr="007B570E" w:rsidRDefault="00D769F0" w:rsidP="007B570E">
      <w:pPr>
        <w:spacing w:line="360" w:lineRule="auto"/>
        <w:rPr>
          <w:rFonts w:ascii="Arial" w:hAnsi="Arial" w:cs="Arial"/>
          <w:sz w:val="22"/>
        </w:rPr>
      </w:pPr>
    </w:p>
    <w:p w14:paraId="24BD4B42" w14:textId="317D8B93" w:rsidR="00D769F0" w:rsidRPr="007B570E" w:rsidRDefault="00AD0E8D" w:rsidP="007B570E">
      <w:pPr>
        <w:pStyle w:val="Heading2"/>
      </w:pPr>
      <w:r w:rsidRPr="007B570E">
        <w:t>Topic</w:t>
      </w:r>
      <w:r w:rsidR="00D769F0" w:rsidRPr="007B570E">
        <w:t>:</w:t>
      </w:r>
      <w:r w:rsidR="00EF13CA" w:rsidRPr="007B570E">
        <w:t xml:space="preserve"> The Use of Telehealth in Improving Access to Healthcare Services for Adults with Long-Term Conditions in the UK: A Scoping Review</w:t>
      </w:r>
    </w:p>
    <w:p w14:paraId="03FD30D3" w14:textId="475F3855" w:rsidR="00715990" w:rsidRPr="007B570E" w:rsidRDefault="00715990" w:rsidP="007B570E">
      <w:pPr>
        <w:spacing w:line="360" w:lineRule="auto"/>
        <w:rPr>
          <w:rFonts w:ascii="Arial" w:hAnsi="Arial" w:cs="Arial"/>
          <w:sz w:val="22"/>
        </w:rPr>
      </w:pPr>
    </w:p>
    <w:p w14:paraId="40C7BB25" w14:textId="6719A870" w:rsidR="00784670" w:rsidRPr="007B570E" w:rsidRDefault="00FF5B70" w:rsidP="007B570E">
      <w:pPr>
        <w:pStyle w:val="Heading2"/>
      </w:pPr>
      <w:r w:rsidRPr="007B570E">
        <w:t>1</w:t>
      </w:r>
      <w:r w:rsidR="00784670" w:rsidRPr="007B570E">
        <w:t xml:space="preserve">) </w:t>
      </w:r>
      <w:r w:rsidR="00AD0E8D" w:rsidRPr="007B570E">
        <w:t>Review question</w:t>
      </w:r>
      <w:r w:rsidR="00784670" w:rsidRPr="007B570E">
        <w:t>:</w:t>
      </w:r>
      <w:r w:rsidR="00EF13CA" w:rsidRPr="007B570E">
        <w:t xml:space="preserve"> What evidence exists regarding the use of </w:t>
      </w:r>
      <w:r w:rsidR="0068290E" w:rsidRPr="007B570E">
        <w:t>T</w:t>
      </w:r>
      <w:r w:rsidR="00EF13CA" w:rsidRPr="007B570E">
        <w:t>elehealth interventions to improve access to healthcare services for adults living with long-term conditions in the UK?</w:t>
      </w:r>
    </w:p>
    <w:p w14:paraId="4C6858D8" w14:textId="77777777" w:rsidR="00784670" w:rsidRPr="007B570E" w:rsidRDefault="00784670" w:rsidP="007B570E">
      <w:pPr>
        <w:spacing w:line="360" w:lineRule="auto"/>
        <w:rPr>
          <w:rFonts w:ascii="Arial" w:hAnsi="Arial" w:cs="Arial"/>
          <w:sz w:val="22"/>
        </w:rPr>
      </w:pPr>
    </w:p>
    <w:p w14:paraId="2B00F95C" w14:textId="7302587D" w:rsidR="00545684" w:rsidRPr="007B570E" w:rsidRDefault="00FF5B70" w:rsidP="007B570E">
      <w:pPr>
        <w:pStyle w:val="Heading2"/>
      </w:pPr>
      <w:r w:rsidRPr="007B570E">
        <w:t>2</w:t>
      </w:r>
      <w:r w:rsidR="00784670" w:rsidRPr="007B570E">
        <w:t>) O</w:t>
      </w:r>
      <w:r w:rsidR="00545684" w:rsidRPr="007B570E">
        <w:t>bjectives:</w:t>
      </w:r>
    </w:p>
    <w:p w14:paraId="226D69F6" w14:textId="77777777" w:rsidR="00442F75" w:rsidRPr="00442F75" w:rsidRDefault="00442F75" w:rsidP="007B570E">
      <w:pPr>
        <w:numPr>
          <w:ilvl w:val="0"/>
          <w:numId w:val="5"/>
        </w:numPr>
        <w:spacing w:before="100" w:beforeAutospacing="1" w:after="100" w:afterAutospacing="1" w:line="360" w:lineRule="auto"/>
        <w:rPr>
          <w:rFonts w:ascii="Arial" w:eastAsia="Times New Roman" w:hAnsi="Arial" w:cs="Arial"/>
          <w:sz w:val="22"/>
          <w:lang w:eastAsia="en-GB"/>
        </w:rPr>
      </w:pPr>
      <w:r w:rsidRPr="00442F75">
        <w:rPr>
          <w:rFonts w:ascii="Arial" w:eastAsia="Times New Roman" w:hAnsi="Arial" w:cs="Arial"/>
          <w:sz w:val="22"/>
          <w:lang w:eastAsia="en-GB"/>
        </w:rPr>
        <w:t>To identify telehealth interventions used in UK healthcare.</w:t>
      </w:r>
    </w:p>
    <w:p w14:paraId="5A86B850" w14:textId="77777777" w:rsidR="00442F75" w:rsidRPr="00442F75" w:rsidRDefault="00442F75" w:rsidP="007B570E">
      <w:pPr>
        <w:numPr>
          <w:ilvl w:val="0"/>
          <w:numId w:val="5"/>
        </w:numPr>
        <w:spacing w:before="100" w:beforeAutospacing="1" w:after="100" w:afterAutospacing="1" w:line="360" w:lineRule="auto"/>
        <w:rPr>
          <w:rFonts w:ascii="Arial" w:eastAsia="Times New Roman" w:hAnsi="Arial" w:cs="Arial"/>
          <w:sz w:val="22"/>
          <w:lang w:eastAsia="en-GB"/>
        </w:rPr>
      </w:pPr>
      <w:r w:rsidRPr="00442F75">
        <w:rPr>
          <w:rFonts w:ascii="Arial" w:eastAsia="Times New Roman" w:hAnsi="Arial" w:cs="Arial"/>
          <w:sz w:val="22"/>
          <w:lang w:eastAsia="en-GB"/>
        </w:rPr>
        <w:t>To examine the impact of telehealth on access to care for adults with long-term conditions.</w:t>
      </w:r>
    </w:p>
    <w:p w14:paraId="7D59CCDF" w14:textId="77777777" w:rsidR="00442F75" w:rsidRPr="00442F75" w:rsidRDefault="00442F75" w:rsidP="007B570E">
      <w:pPr>
        <w:numPr>
          <w:ilvl w:val="0"/>
          <w:numId w:val="5"/>
        </w:numPr>
        <w:spacing w:before="100" w:beforeAutospacing="1" w:after="100" w:afterAutospacing="1" w:line="360" w:lineRule="auto"/>
        <w:rPr>
          <w:rFonts w:ascii="Arial" w:eastAsia="Times New Roman" w:hAnsi="Arial" w:cs="Arial"/>
          <w:sz w:val="22"/>
          <w:lang w:eastAsia="en-GB"/>
        </w:rPr>
      </w:pPr>
      <w:r w:rsidRPr="00442F75">
        <w:rPr>
          <w:rFonts w:ascii="Arial" w:eastAsia="Times New Roman" w:hAnsi="Arial" w:cs="Arial"/>
          <w:sz w:val="22"/>
          <w:lang w:eastAsia="en-GB"/>
        </w:rPr>
        <w:t>To analyse the benefits and challenges of telehealth.</w:t>
      </w:r>
    </w:p>
    <w:p w14:paraId="791571DB" w14:textId="77777777" w:rsidR="00442F75" w:rsidRPr="00442F75" w:rsidRDefault="00442F75" w:rsidP="007B570E">
      <w:pPr>
        <w:numPr>
          <w:ilvl w:val="0"/>
          <w:numId w:val="5"/>
        </w:numPr>
        <w:spacing w:before="100" w:beforeAutospacing="1" w:after="100" w:afterAutospacing="1" w:line="360" w:lineRule="auto"/>
        <w:rPr>
          <w:rFonts w:ascii="Arial" w:eastAsia="Times New Roman" w:hAnsi="Arial" w:cs="Arial"/>
          <w:sz w:val="22"/>
          <w:lang w:eastAsia="en-GB"/>
        </w:rPr>
      </w:pPr>
      <w:r w:rsidRPr="00442F75">
        <w:rPr>
          <w:rFonts w:ascii="Arial" w:eastAsia="Times New Roman" w:hAnsi="Arial" w:cs="Arial"/>
          <w:sz w:val="22"/>
          <w:lang w:eastAsia="en-GB"/>
        </w:rPr>
        <w:t>To identify gaps in the existing literature.</w:t>
      </w:r>
    </w:p>
    <w:p w14:paraId="4DE92F51" w14:textId="77777777" w:rsidR="00041A5A" w:rsidRPr="007B570E" w:rsidRDefault="00041A5A" w:rsidP="007B570E">
      <w:pPr>
        <w:spacing w:line="360" w:lineRule="auto"/>
        <w:rPr>
          <w:rFonts w:ascii="Arial" w:hAnsi="Arial" w:cs="Arial"/>
          <w:sz w:val="22"/>
        </w:rPr>
      </w:pPr>
    </w:p>
    <w:p w14:paraId="3AC96963" w14:textId="643B4BF4" w:rsidR="00545684" w:rsidRPr="007B570E" w:rsidRDefault="00FF5B70" w:rsidP="007B570E">
      <w:pPr>
        <w:pStyle w:val="Heading2"/>
      </w:pPr>
      <w:r w:rsidRPr="007B570E">
        <w:t>3</w:t>
      </w:r>
      <w:r w:rsidR="008E5015" w:rsidRPr="007B570E">
        <w:t xml:space="preserve">) </w:t>
      </w:r>
      <w:r w:rsidR="00AD0E8D" w:rsidRPr="007B570E">
        <w:t>Rationale</w:t>
      </w:r>
      <w:r w:rsidR="00545684" w:rsidRPr="007B570E">
        <w:t>:</w:t>
      </w:r>
    </w:p>
    <w:p w14:paraId="3FBB6535" w14:textId="77777777" w:rsidR="007B570E" w:rsidRPr="007B570E" w:rsidRDefault="007B570E" w:rsidP="007B570E">
      <w:pPr>
        <w:spacing w:before="100" w:beforeAutospacing="1" w:after="100" w:afterAutospacing="1" w:line="360" w:lineRule="auto"/>
        <w:rPr>
          <w:rFonts w:ascii="Arial" w:eastAsia="Times New Roman" w:hAnsi="Arial" w:cs="Arial"/>
          <w:sz w:val="22"/>
          <w:lang w:eastAsia="en-GB"/>
        </w:rPr>
      </w:pPr>
      <w:r w:rsidRPr="007B570E">
        <w:rPr>
          <w:rFonts w:ascii="Arial" w:eastAsia="Times New Roman" w:hAnsi="Arial" w:cs="Arial"/>
          <w:sz w:val="22"/>
          <w:lang w:eastAsia="en-GB"/>
        </w:rPr>
        <w:t xml:space="preserve">Diabetes, cardiovascular disease and chronic respiratory disease are among the most common long-term conditions in the UK, placing significant pressure on the National Health Service (NHS). As demand for healthcare increases, digital healthcare has become an important strategy for improving access and patient-centred care. The NHS Long Term Plan identifies digital transformation and remote healthcare as priorities for improving healthcare quality </w:t>
      </w:r>
      <w:r w:rsidRPr="007B570E">
        <w:rPr>
          <w:rFonts w:ascii="Arial" w:eastAsia="Times New Roman" w:hAnsi="Arial" w:cs="Arial"/>
          <w:b/>
          <w:bCs/>
          <w:sz w:val="22"/>
          <w:lang w:eastAsia="en-GB"/>
        </w:rPr>
        <w:t>(NHS England, 2019).</w:t>
      </w:r>
    </w:p>
    <w:p w14:paraId="13267B46" w14:textId="77777777" w:rsidR="007B570E" w:rsidRPr="007B570E" w:rsidRDefault="007B570E" w:rsidP="007B570E">
      <w:pPr>
        <w:spacing w:before="100" w:beforeAutospacing="1" w:after="100" w:afterAutospacing="1" w:line="360" w:lineRule="auto"/>
        <w:rPr>
          <w:rFonts w:ascii="Arial" w:eastAsia="Times New Roman" w:hAnsi="Arial" w:cs="Arial"/>
          <w:sz w:val="22"/>
          <w:lang w:eastAsia="en-GB"/>
        </w:rPr>
      </w:pPr>
      <w:r w:rsidRPr="007B570E">
        <w:rPr>
          <w:rFonts w:ascii="Arial" w:eastAsia="Times New Roman" w:hAnsi="Arial" w:cs="Arial"/>
          <w:sz w:val="22"/>
          <w:lang w:eastAsia="en-GB"/>
        </w:rPr>
        <w:t xml:space="preserve">In England, </w:t>
      </w:r>
      <w:r w:rsidRPr="007B570E">
        <w:rPr>
          <w:rFonts w:ascii="Arial" w:eastAsia="Times New Roman" w:hAnsi="Arial" w:cs="Arial"/>
          <w:b/>
          <w:bCs/>
          <w:sz w:val="22"/>
          <w:lang w:eastAsia="en-GB"/>
        </w:rPr>
        <w:t>56.1%</w:t>
      </w:r>
      <w:r w:rsidRPr="007B570E">
        <w:rPr>
          <w:rFonts w:ascii="Arial" w:eastAsia="Times New Roman" w:hAnsi="Arial" w:cs="Arial"/>
          <w:sz w:val="22"/>
          <w:lang w:eastAsia="en-GB"/>
        </w:rPr>
        <w:t xml:space="preserve"> of patients reported having one or more long-term conditions, while </w:t>
      </w:r>
      <w:r w:rsidRPr="007B570E">
        <w:rPr>
          <w:rFonts w:ascii="Arial" w:eastAsia="Times New Roman" w:hAnsi="Arial" w:cs="Arial"/>
          <w:b/>
          <w:bCs/>
          <w:sz w:val="22"/>
          <w:lang w:eastAsia="en-GB"/>
        </w:rPr>
        <w:t>35.5%</w:t>
      </w:r>
      <w:r w:rsidRPr="007B570E">
        <w:rPr>
          <w:rFonts w:ascii="Arial" w:eastAsia="Times New Roman" w:hAnsi="Arial" w:cs="Arial"/>
          <w:sz w:val="22"/>
          <w:lang w:eastAsia="en-GB"/>
        </w:rPr>
        <w:t xml:space="preserve"> had their most recent GP appointment by telephone, highlighting the growing use of remote healthcare </w:t>
      </w:r>
      <w:r w:rsidRPr="007B570E">
        <w:rPr>
          <w:rFonts w:ascii="Arial" w:eastAsia="Times New Roman" w:hAnsi="Arial" w:cs="Arial"/>
          <w:b/>
          <w:bCs/>
          <w:sz w:val="22"/>
          <w:lang w:eastAsia="en-GB"/>
        </w:rPr>
        <w:t>(NHS England, 2023).</w:t>
      </w:r>
    </w:p>
    <w:p w14:paraId="4653D7D0" w14:textId="77777777" w:rsidR="007B570E" w:rsidRPr="007B570E" w:rsidRDefault="007B570E" w:rsidP="007B570E">
      <w:pPr>
        <w:spacing w:before="100" w:beforeAutospacing="1" w:after="100" w:afterAutospacing="1" w:line="360" w:lineRule="auto"/>
        <w:rPr>
          <w:rFonts w:ascii="Arial" w:eastAsia="Times New Roman" w:hAnsi="Arial" w:cs="Arial"/>
          <w:sz w:val="22"/>
          <w:lang w:eastAsia="en-GB"/>
        </w:rPr>
      </w:pPr>
      <w:r w:rsidRPr="007B570E">
        <w:rPr>
          <w:rFonts w:ascii="Arial" w:eastAsia="Times New Roman" w:hAnsi="Arial" w:cs="Arial"/>
          <w:sz w:val="22"/>
          <w:lang w:eastAsia="en-GB"/>
        </w:rPr>
        <w:t xml:space="preserve">Telehealth enables healthcare professionals to provide consultations and follow-up care remotely through video calls, telephone consultations and other digital technologies. Its use increased during the COVID-19 pandemic, improving access and continuity of care for people with long-term conditions </w:t>
      </w:r>
      <w:r w:rsidRPr="007B570E">
        <w:rPr>
          <w:rFonts w:ascii="Arial" w:eastAsia="Times New Roman" w:hAnsi="Arial" w:cs="Arial"/>
          <w:b/>
          <w:bCs/>
          <w:sz w:val="22"/>
          <w:lang w:eastAsia="en-GB"/>
        </w:rPr>
        <w:t>(Greenhalgh et al., 2020).</w:t>
      </w:r>
    </w:p>
    <w:p w14:paraId="198B26EC" w14:textId="77777777" w:rsidR="007B570E" w:rsidRPr="007B570E" w:rsidRDefault="007B570E" w:rsidP="007B570E">
      <w:pPr>
        <w:spacing w:before="100" w:beforeAutospacing="1" w:after="100" w:afterAutospacing="1" w:line="360" w:lineRule="auto"/>
        <w:rPr>
          <w:rFonts w:ascii="Arial" w:eastAsia="Times New Roman" w:hAnsi="Arial" w:cs="Arial"/>
          <w:sz w:val="22"/>
          <w:lang w:eastAsia="en-GB"/>
        </w:rPr>
      </w:pPr>
      <w:r w:rsidRPr="007B570E">
        <w:rPr>
          <w:rFonts w:ascii="Arial" w:eastAsia="Times New Roman" w:hAnsi="Arial" w:cs="Arial"/>
          <w:sz w:val="22"/>
          <w:lang w:eastAsia="en-GB"/>
        </w:rPr>
        <w:t xml:space="preserve">However, telehealth also presents challenges, including limited digital skills, poor internet access, digital exclusion and concerns about remote consultations. Older adults and </w:t>
      </w:r>
      <w:r w:rsidRPr="007B570E">
        <w:rPr>
          <w:rFonts w:ascii="Arial" w:eastAsia="Times New Roman" w:hAnsi="Arial" w:cs="Arial"/>
          <w:sz w:val="22"/>
          <w:lang w:eastAsia="en-GB"/>
        </w:rPr>
        <w:lastRenderedPageBreak/>
        <w:t xml:space="preserve">disadvantaged groups may face greater barriers to accessing digital healthcare </w:t>
      </w:r>
      <w:r w:rsidRPr="007B570E">
        <w:rPr>
          <w:rFonts w:ascii="Arial" w:eastAsia="Times New Roman" w:hAnsi="Arial" w:cs="Arial"/>
          <w:b/>
          <w:bCs/>
          <w:sz w:val="22"/>
          <w:lang w:eastAsia="en-GB"/>
        </w:rPr>
        <w:t>(Greenhalgh et al., 2016).</w:t>
      </w:r>
      <w:r w:rsidRPr="007B570E">
        <w:rPr>
          <w:rFonts w:ascii="Arial" w:eastAsia="Times New Roman" w:hAnsi="Arial" w:cs="Arial"/>
          <w:sz w:val="22"/>
          <w:lang w:eastAsia="en-GB"/>
        </w:rPr>
        <w:t xml:space="preserve"> Although telehealth improved access, professionals continued to face challenges related to workload, patient preferences and equitable access </w:t>
      </w:r>
      <w:r w:rsidRPr="007B570E">
        <w:rPr>
          <w:rFonts w:ascii="Arial" w:eastAsia="Times New Roman" w:hAnsi="Arial" w:cs="Arial"/>
          <w:b/>
          <w:bCs/>
          <w:sz w:val="22"/>
          <w:lang w:eastAsia="en-GB"/>
        </w:rPr>
        <w:t>(Murphy et al., 2021).</w:t>
      </w:r>
      <w:r w:rsidRPr="007B570E">
        <w:rPr>
          <w:rFonts w:ascii="Arial" w:eastAsia="Times New Roman" w:hAnsi="Arial" w:cs="Arial"/>
          <w:sz w:val="22"/>
          <w:lang w:eastAsia="en-GB"/>
        </w:rPr>
        <w:t xml:space="preserve"> The World Health Organization recognises digital health as essential for strengthening healthcare systems and improving access worldwide </w:t>
      </w:r>
      <w:r w:rsidRPr="007B570E">
        <w:rPr>
          <w:rFonts w:ascii="Arial" w:eastAsia="Times New Roman" w:hAnsi="Arial" w:cs="Arial"/>
          <w:b/>
          <w:bCs/>
          <w:sz w:val="22"/>
          <w:lang w:eastAsia="en-GB"/>
        </w:rPr>
        <w:t>(World Health Organization, 2021).</w:t>
      </w:r>
      <w:r w:rsidRPr="007B570E">
        <w:rPr>
          <w:rFonts w:ascii="Arial" w:eastAsia="Times New Roman" w:hAnsi="Arial" w:cs="Arial"/>
          <w:sz w:val="22"/>
          <w:lang w:eastAsia="en-GB"/>
        </w:rPr>
        <w:t xml:space="preserve"> This review will identify evidence and gaps to inform future research, policy and practice.</w:t>
      </w:r>
    </w:p>
    <w:p w14:paraId="589F5CF0" w14:textId="77777777" w:rsidR="00442F75" w:rsidRPr="007B570E" w:rsidRDefault="00442F75" w:rsidP="007B570E">
      <w:pPr>
        <w:spacing w:line="360" w:lineRule="auto"/>
        <w:rPr>
          <w:rFonts w:ascii="Arial" w:hAnsi="Arial" w:cs="Arial"/>
          <w:sz w:val="22"/>
        </w:rPr>
      </w:pPr>
    </w:p>
    <w:p w14:paraId="05797766" w14:textId="7B50B2C9" w:rsidR="00442F75" w:rsidRPr="007B570E" w:rsidRDefault="00442F75" w:rsidP="007B570E">
      <w:pPr>
        <w:spacing w:line="360" w:lineRule="auto"/>
        <w:rPr>
          <w:rFonts w:ascii="Arial" w:hAnsi="Arial" w:cs="Arial"/>
          <w:sz w:val="22"/>
        </w:rPr>
      </w:pPr>
      <w:r w:rsidRPr="007B570E">
        <w:rPr>
          <w:rFonts w:ascii="Arial" w:hAnsi="Arial" w:cs="Arial"/>
          <w:sz w:val="22"/>
        </w:rPr>
        <w:t>4) Methods</w:t>
      </w:r>
    </w:p>
    <w:p w14:paraId="10764B9E" w14:textId="4ADCBEA5" w:rsidR="00442F75" w:rsidRPr="007B570E" w:rsidRDefault="00442F75" w:rsidP="007B570E">
      <w:pPr>
        <w:spacing w:line="360" w:lineRule="auto"/>
        <w:rPr>
          <w:rFonts w:ascii="Arial" w:hAnsi="Arial" w:cs="Arial"/>
          <w:sz w:val="22"/>
        </w:rPr>
      </w:pPr>
      <w:r w:rsidRPr="007B570E">
        <w:rPr>
          <w:rFonts w:ascii="Arial" w:hAnsi="Arial" w:cs="Arial"/>
          <w:sz w:val="22"/>
        </w:rPr>
        <w:t>The Joanna Briggs Institute (JBI) guidelines will be followed in this study's scoping review (Peters et al., 2020). Peer-reviewed English-language research on telehealth for people with chronic diseases in UK healthcare settings will be found by searching PubMed, MEDLINE, CINAHL, and Scopus. A data-charting form will be used to extract important information, which will then be evaluated to find common themes, advantages, difficulties, and gaps (Peters et al., 2020).</w:t>
      </w:r>
    </w:p>
    <w:p w14:paraId="71075AB7" w14:textId="77777777" w:rsidR="00442F75" w:rsidRPr="007B570E" w:rsidRDefault="00442F75" w:rsidP="007B570E">
      <w:pPr>
        <w:pStyle w:val="Heading3"/>
        <w:spacing w:line="360" w:lineRule="auto"/>
        <w:rPr>
          <w:rFonts w:cs="Arial"/>
          <w:sz w:val="22"/>
          <w:szCs w:val="22"/>
        </w:rPr>
      </w:pPr>
      <w:r w:rsidRPr="007B570E">
        <w:rPr>
          <w:rStyle w:val="s1"/>
          <w:rFonts w:cs="Arial"/>
          <w:sz w:val="22"/>
          <w:szCs w:val="22"/>
        </w:rPr>
        <w:t>5) Ethical Considerations</w:t>
      </w:r>
    </w:p>
    <w:p w14:paraId="4EBB4086" w14:textId="742612E5" w:rsidR="00442F75" w:rsidRPr="007B570E" w:rsidRDefault="00442F75" w:rsidP="007B570E">
      <w:pPr>
        <w:spacing w:line="360" w:lineRule="auto"/>
        <w:rPr>
          <w:rFonts w:ascii="Arial" w:hAnsi="Arial" w:cs="Arial"/>
          <w:sz w:val="22"/>
        </w:rPr>
      </w:pPr>
      <w:r w:rsidRPr="007B570E">
        <w:rPr>
          <w:rFonts w:ascii="Arial" w:hAnsi="Arial" w:cs="Arial"/>
          <w:sz w:val="22"/>
        </w:rPr>
        <w:t>Ethical approval is not necessary because this study uses published material and does not include human participants or personal data. However, by avoiding plagiarism, accurately reporting findings, utilising Harvard referencing, and presenting evidence objectively, it will adhere to accepted research ethics.</w:t>
      </w:r>
    </w:p>
    <w:p w14:paraId="449212CA" w14:textId="77777777" w:rsidR="00545684" w:rsidRPr="007B570E" w:rsidRDefault="00545684" w:rsidP="007B570E">
      <w:pPr>
        <w:spacing w:line="360" w:lineRule="auto"/>
        <w:rPr>
          <w:rFonts w:ascii="Arial" w:hAnsi="Arial" w:cs="Arial"/>
          <w:sz w:val="22"/>
        </w:rPr>
      </w:pPr>
      <w:r w:rsidRPr="007B570E">
        <w:rPr>
          <w:rFonts w:ascii="Arial" w:hAnsi="Arial" w:cs="Arial"/>
          <w:sz w:val="22"/>
        </w:rPr>
        <w:br w:type="page"/>
      </w:r>
    </w:p>
    <w:p w14:paraId="262C8CA3" w14:textId="4D2FF9E1" w:rsidR="00545684" w:rsidRPr="007B570E" w:rsidRDefault="00545684" w:rsidP="007B570E">
      <w:pPr>
        <w:pStyle w:val="Heading1"/>
        <w:rPr>
          <w:rFonts w:cs="Arial"/>
          <w:sz w:val="22"/>
        </w:rPr>
      </w:pPr>
      <w:r w:rsidRPr="007B570E">
        <w:rPr>
          <w:rFonts w:cs="Arial"/>
          <w:sz w:val="22"/>
        </w:rPr>
        <w:lastRenderedPageBreak/>
        <w:t>References</w:t>
      </w:r>
    </w:p>
    <w:p w14:paraId="754CEB55" w14:textId="77777777" w:rsidR="00545684" w:rsidRPr="007B570E" w:rsidRDefault="00545684" w:rsidP="007B570E">
      <w:pPr>
        <w:spacing w:line="360" w:lineRule="auto"/>
        <w:rPr>
          <w:rFonts w:ascii="Arial" w:hAnsi="Arial" w:cs="Arial"/>
          <w:sz w:val="22"/>
        </w:rPr>
      </w:pPr>
    </w:p>
    <w:p w14:paraId="0D5B9BD0" w14:textId="77777777" w:rsidR="00A11757" w:rsidRPr="007B570E" w:rsidRDefault="00A11757" w:rsidP="007B570E">
      <w:pPr>
        <w:pStyle w:val="ListParagraph"/>
        <w:numPr>
          <w:ilvl w:val="0"/>
          <w:numId w:val="4"/>
        </w:numPr>
        <w:spacing w:before="100" w:beforeAutospacing="1" w:after="100" w:afterAutospacing="1" w:line="360" w:lineRule="auto"/>
        <w:rPr>
          <w:rFonts w:ascii="Arial" w:eastAsia="Times New Roman" w:hAnsi="Arial" w:cs="Arial"/>
          <w:sz w:val="22"/>
          <w:lang w:eastAsia="en-GB"/>
        </w:rPr>
      </w:pPr>
      <w:r w:rsidRPr="007B570E">
        <w:rPr>
          <w:rFonts w:ascii="Arial" w:eastAsia="Times New Roman" w:hAnsi="Arial" w:cs="Arial"/>
          <w:sz w:val="22"/>
          <w:lang w:eastAsia="en-GB"/>
        </w:rPr>
        <w:t xml:space="preserve">Greenhalgh, T., Vijayaraghavan, S., </w:t>
      </w:r>
      <w:proofErr w:type="spellStart"/>
      <w:r w:rsidRPr="007B570E">
        <w:rPr>
          <w:rFonts w:ascii="Arial" w:eastAsia="Times New Roman" w:hAnsi="Arial" w:cs="Arial"/>
          <w:sz w:val="22"/>
          <w:lang w:eastAsia="en-GB"/>
        </w:rPr>
        <w:t>Wherton</w:t>
      </w:r>
      <w:proofErr w:type="spellEnd"/>
      <w:r w:rsidRPr="007B570E">
        <w:rPr>
          <w:rFonts w:ascii="Arial" w:eastAsia="Times New Roman" w:hAnsi="Arial" w:cs="Arial"/>
          <w:sz w:val="22"/>
          <w:lang w:eastAsia="en-GB"/>
        </w:rPr>
        <w:t xml:space="preserve">, J., Shaw, S., Byrne, E., Campbell-Richards, D., Bhattacharya, S., Hanson, P., Ramoutar, S., Gutteridge, C., Hodkinson, I., Collard, A. and Morris, J. (2016) ‘Virtual online consultations: advantages and limitations (VOCAL) study’, </w:t>
      </w:r>
      <w:r w:rsidRPr="007B570E">
        <w:rPr>
          <w:rFonts w:ascii="Arial" w:eastAsia="Times New Roman" w:hAnsi="Arial" w:cs="Arial"/>
          <w:i/>
          <w:iCs/>
          <w:sz w:val="22"/>
          <w:lang w:eastAsia="en-GB"/>
        </w:rPr>
        <w:t>BMJ Open</w:t>
      </w:r>
      <w:r w:rsidRPr="007B570E">
        <w:rPr>
          <w:rFonts w:ascii="Arial" w:eastAsia="Times New Roman" w:hAnsi="Arial" w:cs="Arial"/>
          <w:sz w:val="22"/>
          <w:lang w:eastAsia="en-GB"/>
        </w:rPr>
        <w:t>, 6(1), e009388. Available at: https://doi.org/10.1136/bmjopen-2015-009388 (Accessed: 24 June 2026).</w:t>
      </w:r>
    </w:p>
    <w:p w14:paraId="0E7537A2" w14:textId="77777777" w:rsidR="00A11757" w:rsidRPr="007B570E" w:rsidRDefault="00A11757" w:rsidP="007B570E">
      <w:pPr>
        <w:pStyle w:val="ListParagraph"/>
        <w:numPr>
          <w:ilvl w:val="0"/>
          <w:numId w:val="4"/>
        </w:numPr>
        <w:spacing w:before="100" w:beforeAutospacing="1" w:after="100" w:afterAutospacing="1" w:line="360" w:lineRule="auto"/>
        <w:rPr>
          <w:rFonts w:ascii="Arial" w:eastAsia="Times New Roman" w:hAnsi="Arial" w:cs="Arial"/>
          <w:sz w:val="22"/>
          <w:lang w:eastAsia="en-GB"/>
        </w:rPr>
      </w:pPr>
      <w:r w:rsidRPr="007B570E">
        <w:rPr>
          <w:rFonts w:ascii="Arial" w:eastAsia="Times New Roman" w:hAnsi="Arial" w:cs="Arial"/>
          <w:sz w:val="22"/>
          <w:lang w:eastAsia="en-GB"/>
        </w:rPr>
        <w:t xml:space="preserve">Greenhalgh, T., </w:t>
      </w:r>
      <w:proofErr w:type="spellStart"/>
      <w:r w:rsidRPr="007B570E">
        <w:rPr>
          <w:rFonts w:ascii="Arial" w:eastAsia="Times New Roman" w:hAnsi="Arial" w:cs="Arial"/>
          <w:sz w:val="22"/>
          <w:lang w:eastAsia="en-GB"/>
        </w:rPr>
        <w:t>Wherton</w:t>
      </w:r>
      <w:proofErr w:type="spellEnd"/>
      <w:r w:rsidRPr="007B570E">
        <w:rPr>
          <w:rFonts w:ascii="Arial" w:eastAsia="Times New Roman" w:hAnsi="Arial" w:cs="Arial"/>
          <w:sz w:val="22"/>
          <w:lang w:eastAsia="en-GB"/>
        </w:rPr>
        <w:t xml:space="preserve">, J., Shaw, S. and Morrison, C. (2020) ‘Video consultations for COVID-19’, </w:t>
      </w:r>
      <w:r w:rsidRPr="007B570E">
        <w:rPr>
          <w:rFonts w:ascii="Arial" w:eastAsia="Times New Roman" w:hAnsi="Arial" w:cs="Arial"/>
          <w:i/>
          <w:iCs/>
          <w:sz w:val="22"/>
          <w:lang w:eastAsia="en-GB"/>
        </w:rPr>
        <w:t>BMJ</w:t>
      </w:r>
      <w:r w:rsidRPr="007B570E">
        <w:rPr>
          <w:rFonts w:ascii="Arial" w:eastAsia="Times New Roman" w:hAnsi="Arial" w:cs="Arial"/>
          <w:sz w:val="22"/>
          <w:lang w:eastAsia="en-GB"/>
        </w:rPr>
        <w:t>, 368, m998. Available at: https://www.bmj.com/content/368/bmj.m998 (Accessed: 24 June 2026).</w:t>
      </w:r>
    </w:p>
    <w:p w14:paraId="41E3F6C0" w14:textId="77777777" w:rsidR="00A11757" w:rsidRPr="007B570E" w:rsidRDefault="00A11757" w:rsidP="007B570E">
      <w:pPr>
        <w:pStyle w:val="ListParagraph"/>
        <w:numPr>
          <w:ilvl w:val="0"/>
          <w:numId w:val="4"/>
        </w:numPr>
        <w:spacing w:before="100" w:beforeAutospacing="1" w:after="100" w:afterAutospacing="1" w:line="360" w:lineRule="auto"/>
        <w:rPr>
          <w:rFonts w:ascii="Arial" w:eastAsia="Times New Roman" w:hAnsi="Arial" w:cs="Arial"/>
          <w:sz w:val="22"/>
          <w:lang w:eastAsia="en-GB"/>
        </w:rPr>
      </w:pPr>
      <w:r w:rsidRPr="007B570E">
        <w:rPr>
          <w:rFonts w:ascii="Arial" w:eastAsia="Times New Roman" w:hAnsi="Arial" w:cs="Arial"/>
          <w:sz w:val="22"/>
          <w:lang w:eastAsia="en-GB"/>
        </w:rPr>
        <w:t xml:space="preserve">Murphy, M., Scott, L.J., Salisbury, C., Turner, A., Scott, A., Denholm, R. and Lewis, R. (2021) ‘Implementation of remote consulting in UK primary care following the COVID-19 pandemic’, </w:t>
      </w:r>
      <w:r w:rsidRPr="007B570E">
        <w:rPr>
          <w:rFonts w:ascii="Arial" w:eastAsia="Times New Roman" w:hAnsi="Arial" w:cs="Arial"/>
          <w:i/>
          <w:iCs/>
          <w:sz w:val="22"/>
          <w:lang w:eastAsia="en-GB"/>
        </w:rPr>
        <w:t>British Journal of General Practice</w:t>
      </w:r>
      <w:r w:rsidRPr="007B570E">
        <w:rPr>
          <w:rFonts w:ascii="Arial" w:eastAsia="Times New Roman" w:hAnsi="Arial" w:cs="Arial"/>
          <w:sz w:val="22"/>
          <w:lang w:eastAsia="en-GB"/>
        </w:rPr>
        <w:t>, 71(704), pp. e166–e177. Available at: https://bjgp.org/content/71/704/e166 (Accessed: 24 June 2026).</w:t>
      </w:r>
    </w:p>
    <w:p w14:paraId="617E06BB" w14:textId="77777777" w:rsidR="00A11757" w:rsidRPr="007B570E" w:rsidRDefault="00A11757" w:rsidP="007B570E">
      <w:pPr>
        <w:pStyle w:val="ListParagraph"/>
        <w:numPr>
          <w:ilvl w:val="0"/>
          <w:numId w:val="4"/>
        </w:numPr>
        <w:spacing w:before="100" w:beforeAutospacing="1" w:after="100" w:afterAutospacing="1" w:line="360" w:lineRule="auto"/>
        <w:rPr>
          <w:rFonts w:ascii="Arial" w:eastAsia="Times New Roman" w:hAnsi="Arial" w:cs="Arial"/>
          <w:sz w:val="22"/>
          <w:lang w:eastAsia="en-GB"/>
        </w:rPr>
      </w:pPr>
      <w:r w:rsidRPr="007B570E">
        <w:rPr>
          <w:rFonts w:ascii="Arial" w:eastAsia="Times New Roman" w:hAnsi="Arial" w:cs="Arial"/>
          <w:sz w:val="22"/>
          <w:lang w:eastAsia="en-GB"/>
        </w:rPr>
        <w:t xml:space="preserve">NHS England (2019) </w:t>
      </w:r>
      <w:r w:rsidRPr="007B570E">
        <w:rPr>
          <w:rFonts w:ascii="Arial" w:eastAsia="Times New Roman" w:hAnsi="Arial" w:cs="Arial"/>
          <w:i/>
          <w:iCs/>
          <w:sz w:val="22"/>
          <w:lang w:eastAsia="en-GB"/>
        </w:rPr>
        <w:t>The NHS Long Term Plan</w:t>
      </w:r>
      <w:r w:rsidRPr="007B570E">
        <w:rPr>
          <w:rFonts w:ascii="Arial" w:eastAsia="Times New Roman" w:hAnsi="Arial" w:cs="Arial"/>
          <w:sz w:val="22"/>
          <w:lang w:eastAsia="en-GB"/>
        </w:rPr>
        <w:t>. Available at: https://www.longtermplan.nhs.uk/ (Accessed: 24 June 2026).</w:t>
      </w:r>
    </w:p>
    <w:p w14:paraId="08B8B436" w14:textId="58D4E3A4" w:rsidR="007B570E" w:rsidRPr="00D744A3" w:rsidRDefault="007B570E" w:rsidP="00D744A3">
      <w:pPr>
        <w:numPr>
          <w:ilvl w:val="0"/>
          <w:numId w:val="4"/>
        </w:numPr>
        <w:spacing w:before="100" w:beforeAutospacing="1" w:after="100" w:afterAutospacing="1" w:line="360" w:lineRule="auto"/>
        <w:rPr>
          <w:rFonts w:ascii="Arial" w:eastAsia="Times New Roman" w:hAnsi="Arial" w:cs="Arial"/>
          <w:sz w:val="22"/>
          <w:lang w:eastAsia="en-GB"/>
        </w:rPr>
      </w:pPr>
      <w:r w:rsidRPr="007B570E">
        <w:rPr>
          <w:rFonts w:ascii="Arial" w:eastAsia="Times New Roman" w:hAnsi="Arial" w:cs="Arial"/>
          <w:sz w:val="22"/>
          <w:lang w:eastAsia="en-GB"/>
        </w:rPr>
        <w:t xml:space="preserve">NHS England (2023) </w:t>
      </w:r>
      <w:r w:rsidRPr="007B570E">
        <w:rPr>
          <w:rFonts w:ascii="Arial" w:eastAsia="Times New Roman" w:hAnsi="Arial" w:cs="Arial"/>
          <w:i/>
          <w:iCs/>
          <w:sz w:val="22"/>
          <w:lang w:eastAsia="en-GB"/>
        </w:rPr>
        <w:t>GP Patient Survey 2023</w:t>
      </w:r>
      <w:r w:rsidRPr="007B570E">
        <w:rPr>
          <w:rFonts w:ascii="Arial" w:eastAsia="Times New Roman" w:hAnsi="Arial" w:cs="Arial"/>
          <w:sz w:val="22"/>
          <w:lang w:eastAsia="en-GB"/>
        </w:rPr>
        <w:t>. Available at: https://www.england.nhs.uk/statistics/2023/07/13/gp-patient-survey-2023/ (Accessed: 9 July 2026).</w:t>
      </w:r>
    </w:p>
    <w:p w14:paraId="3AD50BC0" w14:textId="77777777" w:rsidR="00A11757" w:rsidRPr="007B570E" w:rsidRDefault="00A11757" w:rsidP="007B570E">
      <w:pPr>
        <w:pStyle w:val="ListParagraph"/>
        <w:numPr>
          <w:ilvl w:val="0"/>
          <w:numId w:val="4"/>
        </w:numPr>
        <w:spacing w:before="100" w:beforeAutospacing="1" w:after="100" w:afterAutospacing="1" w:line="360" w:lineRule="auto"/>
        <w:rPr>
          <w:rFonts w:ascii="Arial" w:eastAsia="Times New Roman" w:hAnsi="Arial" w:cs="Arial"/>
          <w:sz w:val="22"/>
          <w:lang w:eastAsia="en-GB"/>
        </w:rPr>
      </w:pPr>
      <w:r w:rsidRPr="007B570E">
        <w:rPr>
          <w:rFonts w:ascii="Arial" w:eastAsia="Times New Roman" w:hAnsi="Arial" w:cs="Arial"/>
          <w:sz w:val="22"/>
          <w:lang w:eastAsia="en-GB"/>
        </w:rPr>
        <w:t xml:space="preserve">Peters, M.D.J., Marnie, C., </w:t>
      </w:r>
      <w:proofErr w:type="spellStart"/>
      <w:r w:rsidRPr="007B570E">
        <w:rPr>
          <w:rFonts w:ascii="Arial" w:eastAsia="Times New Roman" w:hAnsi="Arial" w:cs="Arial"/>
          <w:sz w:val="22"/>
          <w:lang w:eastAsia="en-GB"/>
        </w:rPr>
        <w:t>Tricco</w:t>
      </w:r>
      <w:proofErr w:type="spellEnd"/>
      <w:r w:rsidRPr="007B570E">
        <w:rPr>
          <w:rFonts w:ascii="Arial" w:eastAsia="Times New Roman" w:hAnsi="Arial" w:cs="Arial"/>
          <w:sz w:val="22"/>
          <w:lang w:eastAsia="en-GB"/>
        </w:rPr>
        <w:t xml:space="preserve">, A.C., Pollock, D., Munn, Z., Alexander, L., McInerney, P., Godfrey, C.M. and Khalil, H. (2020) ‘Updated methodological guidance for the conduct of scoping reviews’, </w:t>
      </w:r>
      <w:r w:rsidRPr="007B570E">
        <w:rPr>
          <w:rFonts w:ascii="Arial" w:eastAsia="Times New Roman" w:hAnsi="Arial" w:cs="Arial"/>
          <w:i/>
          <w:iCs/>
          <w:sz w:val="22"/>
          <w:lang w:eastAsia="en-GB"/>
        </w:rPr>
        <w:t>JBI Evidence Synthesis</w:t>
      </w:r>
      <w:r w:rsidRPr="007B570E">
        <w:rPr>
          <w:rFonts w:ascii="Arial" w:eastAsia="Times New Roman" w:hAnsi="Arial" w:cs="Arial"/>
          <w:sz w:val="22"/>
          <w:lang w:eastAsia="en-GB"/>
        </w:rPr>
        <w:t>, 18(10), pp. 2119–2126. Available at: https://doi.org/10.11124/JBIES-20-00167 (Accessed: 24 June 2026).</w:t>
      </w:r>
    </w:p>
    <w:p w14:paraId="1A309A19" w14:textId="77777777" w:rsidR="00A11757" w:rsidRPr="007B570E" w:rsidRDefault="00A11757" w:rsidP="007B570E">
      <w:pPr>
        <w:pStyle w:val="ListParagraph"/>
        <w:numPr>
          <w:ilvl w:val="0"/>
          <w:numId w:val="4"/>
        </w:numPr>
        <w:spacing w:before="100" w:beforeAutospacing="1" w:after="100" w:afterAutospacing="1" w:line="360" w:lineRule="auto"/>
        <w:rPr>
          <w:rFonts w:ascii="Arial" w:eastAsia="Times New Roman" w:hAnsi="Arial" w:cs="Arial"/>
          <w:sz w:val="22"/>
          <w:lang w:eastAsia="en-GB"/>
        </w:rPr>
      </w:pPr>
      <w:r w:rsidRPr="007B570E">
        <w:rPr>
          <w:rFonts w:ascii="Arial" w:eastAsia="Times New Roman" w:hAnsi="Arial" w:cs="Arial"/>
          <w:sz w:val="22"/>
          <w:lang w:eastAsia="en-GB"/>
        </w:rPr>
        <w:t xml:space="preserve">World Health Organization (2021) </w:t>
      </w:r>
      <w:r w:rsidRPr="007B570E">
        <w:rPr>
          <w:rFonts w:ascii="Arial" w:eastAsia="Times New Roman" w:hAnsi="Arial" w:cs="Arial"/>
          <w:i/>
          <w:iCs/>
          <w:sz w:val="22"/>
          <w:lang w:eastAsia="en-GB"/>
        </w:rPr>
        <w:t>Global Strategy on Digital Health 2020–2025</w:t>
      </w:r>
      <w:r w:rsidRPr="007B570E">
        <w:rPr>
          <w:rFonts w:ascii="Arial" w:eastAsia="Times New Roman" w:hAnsi="Arial" w:cs="Arial"/>
          <w:sz w:val="22"/>
          <w:lang w:eastAsia="en-GB"/>
        </w:rPr>
        <w:t>. Available at: https://www.who.int/publications/i/item/9789240020924 (Accessed: 24 June 2026).</w:t>
      </w:r>
    </w:p>
    <w:p w14:paraId="5BC91157" w14:textId="77777777" w:rsidR="00545684" w:rsidRPr="00AD0E8D" w:rsidRDefault="00545684" w:rsidP="00041A5A">
      <w:pPr>
        <w:spacing w:line="360" w:lineRule="auto"/>
        <w:rPr>
          <w:rFonts w:ascii="Arial" w:hAnsi="Arial" w:cs="Arial"/>
          <w:sz w:val="22"/>
        </w:rPr>
      </w:pPr>
    </w:p>
    <w:sectPr w:rsidR="00545684" w:rsidRPr="00AD0E8D"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ABCC15" w14:textId="77777777" w:rsidR="003C73D9" w:rsidRDefault="003C73D9" w:rsidP="00545684">
      <w:pPr>
        <w:spacing w:after="0" w:line="240" w:lineRule="auto"/>
      </w:pPr>
      <w:r>
        <w:separator/>
      </w:r>
    </w:p>
  </w:endnote>
  <w:endnote w:type="continuationSeparator" w:id="0">
    <w:p w14:paraId="31CC845C" w14:textId="77777777" w:rsidR="003C73D9" w:rsidRDefault="003C73D9"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D1B270" w14:textId="77777777" w:rsidR="003C73D9" w:rsidRDefault="003C73D9" w:rsidP="00545684">
      <w:pPr>
        <w:spacing w:after="0" w:line="240" w:lineRule="auto"/>
      </w:pPr>
      <w:r>
        <w:separator/>
      </w:r>
    </w:p>
  </w:footnote>
  <w:footnote w:type="continuationSeparator" w:id="0">
    <w:p w14:paraId="4D1D1576" w14:textId="77777777" w:rsidR="003C73D9" w:rsidRDefault="003C73D9"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D55FB"/>
    <w:multiLevelType w:val="multilevel"/>
    <w:tmpl w:val="7DF6A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7A062A"/>
    <w:multiLevelType w:val="multilevel"/>
    <w:tmpl w:val="77B86B0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6B62B2"/>
    <w:multiLevelType w:val="hybridMultilevel"/>
    <w:tmpl w:val="3B081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8D1EBD"/>
    <w:multiLevelType w:val="multilevel"/>
    <w:tmpl w:val="BFCA3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D6270F"/>
    <w:multiLevelType w:val="multilevel"/>
    <w:tmpl w:val="57CCA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5"/>
  </w:num>
  <w:num w:numId="2" w16cid:durableId="941692247">
    <w:abstractNumId w:val="4"/>
  </w:num>
  <w:num w:numId="3" w16cid:durableId="929389550">
    <w:abstractNumId w:val="0"/>
  </w:num>
  <w:num w:numId="4" w16cid:durableId="1650132392">
    <w:abstractNumId w:val="2"/>
  </w:num>
  <w:num w:numId="5" w16cid:durableId="1890144778">
    <w:abstractNumId w:val="3"/>
  </w:num>
  <w:num w:numId="6" w16cid:durableId="20302506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67C1"/>
    <w:rsid w:val="00041A5A"/>
    <w:rsid w:val="000A5161"/>
    <w:rsid w:val="000B7CD5"/>
    <w:rsid w:val="0014525B"/>
    <w:rsid w:val="00216C85"/>
    <w:rsid w:val="002321AC"/>
    <w:rsid w:val="00260277"/>
    <w:rsid w:val="00273EDD"/>
    <w:rsid w:val="002A15DA"/>
    <w:rsid w:val="002C3965"/>
    <w:rsid w:val="00321C4C"/>
    <w:rsid w:val="00380294"/>
    <w:rsid w:val="003A220F"/>
    <w:rsid w:val="003B5B7F"/>
    <w:rsid w:val="003C73D9"/>
    <w:rsid w:val="00442F75"/>
    <w:rsid w:val="004855D2"/>
    <w:rsid w:val="004903AA"/>
    <w:rsid w:val="004C5F15"/>
    <w:rsid w:val="004E6C3B"/>
    <w:rsid w:val="00543120"/>
    <w:rsid w:val="00545684"/>
    <w:rsid w:val="0061260B"/>
    <w:rsid w:val="0068290E"/>
    <w:rsid w:val="006C6F3A"/>
    <w:rsid w:val="00715990"/>
    <w:rsid w:val="00784670"/>
    <w:rsid w:val="00792527"/>
    <w:rsid w:val="007B570E"/>
    <w:rsid w:val="00810B1B"/>
    <w:rsid w:val="00866B7B"/>
    <w:rsid w:val="008E5015"/>
    <w:rsid w:val="00920359"/>
    <w:rsid w:val="009D02EA"/>
    <w:rsid w:val="009D1D1E"/>
    <w:rsid w:val="00A035FD"/>
    <w:rsid w:val="00A11757"/>
    <w:rsid w:val="00AC17D1"/>
    <w:rsid w:val="00AD0E8D"/>
    <w:rsid w:val="00C310DA"/>
    <w:rsid w:val="00CA4908"/>
    <w:rsid w:val="00D44AA6"/>
    <w:rsid w:val="00D7440B"/>
    <w:rsid w:val="00D744A3"/>
    <w:rsid w:val="00D769F0"/>
    <w:rsid w:val="00E614D4"/>
    <w:rsid w:val="00EF13CA"/>
    <w:rsid w:val="00F278D4"/>
    <w:rsid w:val="00FB7B1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9D02EA"/>
    <w:pPr>
      <w:keepNext/>
      <w:keepLines/>
      <w:spacing w:before="40" w:after="0" w:line="360" w:lineRule="auto"/>
      <w:outlineLvl w:val="1"/>
    </w:pPr>
    <w:rPr>
      <w:rFonts w:ascii="Arial" w:eastAsiaTheme="majorEastAsia" w:hAnsi="Arial" w:cs="Arial"/>
      <w:i/>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9D02EA"/>
    <w:rPr>
      <w:rFonts w:ascii="Arial" w:eastAsiaTheme="majorEastAsia" w:hAnsi="Arial" w:cs="Arial"/>
      <w:i/>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customStyle="1" w:styleId="p1">
    <w:name w:val="p1"/>
    <w:basedOn w:val="Normal"/>
    <w:rsid w:val="00EF13CA"/>
    <w:pPr>
      <w:spacing w:after="0" w:line="240" w:lineRule="auto"/>
    </w:pPr>
    <w:rPr>
      <w:rFonts w:ascii="Arial" w:eastAsia="Times New Roman" w:hAnsi="Arial" w:cs="Arial"/>
      <w:color w:val="000000"/>
      <w:sz w:val="17"/>
      <w:szCs w:val="17"/>
      <w:lang w:eastAsia="en-GB"/>
    </w:rPr>
  </w:style>
  <w:style w:type="character" w:customStyle="1" w:styleId="s1">
    <w:name w:val="s1"/>
    <w:basedOn w:val="DefaultParagraphFont"/>
    <w:rsid w:val="00EF13CA"/>
  </w:style>
  <w:style w:type="paragraph" w:customStyle="1" w:styleId="p2">
    <w:name w:val="p2"/>
    <w:basedOn w:val="Normal"/>
    <w:rsid w:val="00EF13CA"/>
    <w:pPr>
      <w:spacing w:before="100" w:beforeAutospacing="1" w:after="100" w:afterAutospacing="1" w:line="240" w:lineRule="auto"/>
    </w:pPr>
    <w:rPr>
      <w:rFonts w:eastAsia="Times New Roman" w:cs="Times New Roman"/>
      <w:szCs w:val="24"/>
      <w:lang w:eastAsia="en-GB"/>
    </w:rPr>
  </w:style>
  <w:style w:type="paragraph" w:customStyle="1" w:styleId="p3">
    <w:name w:val="p3"/>
    <w:basedOn w:val="Normal"/>
    <w:rsid w:val="00EF13CA"/>
    <w:pPr>
      <w:spacing w:before="100" w:beforeAutospacing="1" w:after="100" w:afterAutospacing="1" w:line="240" w:lineRule="auto"/>
    </w:pPr>
    <w:rPr>
      <w:rFonts w:eastAsia="Times New Roman" w:cs="Times New Roman"/>
      <w:szCs w:val="24"/>
      <w:lang w:eastAsia="en-GB"/>
    </w:rPr>
  </w:style>
  <w:style w:type="paragraph" w:customStyle="1" w:styleId="p4">
    <w:name w:val="p4"/>
    <w:basedOn w:val="Normal"/>
    <w:rsid w:val="00EF13CA"/>
    <w:pPr>
      <w:spacing w:before="100" w:beforeAutospacing="1" w:after="100" w:afterAutospacing="1" w:line="240" w:lineRule="auto"/>
    </w:pPr>
    <w:rPr>
      <w:rFonts w:eastAsia="Times New Roman" w:cs="Times New Roman"/>
      <w:szCs w:val="24"/>
      <w:lang w:eastAsia="en-GB"/>
    </w:rPr>
  </w:style>
  <w:style w:type="paragraph" w:customStyle="1" w:styleId="css-19idom">
    <w:name w:val="css-19idom"/>
    <w:basedOn w:val="Normal"/>
    <w:rsid w:val="004855D2"/>
    <w:pPr>
      <w:spacing w:before="100" w:beforeAutospacing="1" w:after="100" w:afterAutospacing="1" w:line="240" w:lineRule="auto"/>
    </w:pPr>
    <w:rPr>
      <w:rFonts w:eastAsia="Times New Roman" w:cs="Times New Roman"/>
      <w:szCs w:val="24"/>
      <w:lang w:eastAsia="en-GB"/>
    </w:rPr>
  </w:style>
  <w:style w:type="paragraph" w:styleId="ListParagraph">
    <w:name w:val="List Paragraph"/>
    <w:basedOn w:val="Normal"/>
    <w:uiPriority w:val="34"/>
    <w:qFormat/>
    <w:rsid w:val="00A117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TotalTime>
  <Pages>4</Pages>
  <Words>765</Words>
  <Characters>4361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Gabriela Arapu (2311889)</cp:lastModifiedBy>
  <cp:revision>14</cp:revision>
  <dcterms:created xsi:type="dcterms:W3CDTF">2022-10-08T13:19:00Z</dcterms:created>
  <dcterms:modified xsi:type="dcterms:W3CDTF">2026-07-09T22:46:00Z</dcterms:modified>
</cp:coreProperties>
</file>