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3EB523D">
      <w:pPr>
        <w:rPr>
          <w:rFonts w:hint="default" w:eastAsiaTheme="minorEastAsia"/>
          <w:b/>
          <w:bCs/>
          <w:sz w:val="24"/>
          <w:szCs w:val="24"/>
          <w:lang w:val="en-US" w:eastAsia="zh-CN"/>
        </w:rPr>
      </w:pPr>
      <w:r>
        <w:rPr>
          <w:rFonts w:hint="eastAsia"/>
          <w:b/>
          <w:bCs/>
          <w:sz w:val="24"/>
          <w:szCs w:val="24"/>
          <w:lang w:val="en-US" w:eastAsia="zh-CN"/>
        </w:rPr>
        <w:t>Activity 1</w:t>
      </w:r>
    </w:p>
    <w:p w14:paraId="176395F1">
      <w:pPr>
        <w:rPr>
          <w:rFonts w:hint="default"/>
          <w:b/>
          <w:bCs/>
        </w:rPr>
      </w:pPr>
    </w:p>
    <w:p w14:paraId="44EB3C74">
      <w:pPr>
        <w:rPr>
          <w:rFonts w:hint="default"/>
          <w:b/>
          <w:bCs/>
        </w:rPr>
      </w:pPr>
      <w:r>
        <w:rPr>
          <w:rFonts w:hint="default"/>
          <w:b/>
          <w:bCs/>
        </w:rPr>
        <w:t xml:space="preserve">Reuters, 20 September 2015 </w:t>
      </w:r>
    </w:p>
    <w:p w14:paraId="546DD26D">
      <w:pPr>
        <w:rPr>
          <w:rFonts w:hint="default"/>
        </w:rPr>
      </w:pPr>
    </w:p>
    <w:p w14:paraId="69D7951A">
      <w:pPr>
        <w:rPr>
          <w:rFonts w:hint="default"/>
        </w:rPr>
      </w:pPr>
      <w:r>
        <w:rPr>
          <w:rFonts w:hint="default"/>
        </w:rPr>
        <w:t>In September 2015, the United States Environmental Protection Agency (EPA) announced that it had found suspected irregularities in emissions testing involving certain Volkswagen and Audi diesel cars. According to the EPA, software in the affected vehicles could recognise when a car was undergoing a laboratory emissions test. During the test, emissions controls operated differently from the way they did during ordinary road driving. The EPA said that, on the road, some vehicles could produce nitrogen oxide emissions at levels far above the applicable standard.</w:t>
      </w:r>
    </w:p>
    <w:p w14:paraId="567B3BF6">
      <w:pPr>
        <w:rPr>
          <w:rFonts w:hint="default"/>
        </w:rPr>
      </w:pPr>
    </w:p>
    <w:p w14:paraId="56F08BA5">
      <w:pPr>
        <w:rPr>
          <w:rFonts w:hint="default"/>
        </w:rPr>
      </w:pPr>
      <w:r>
        <w:rPr>
          <w:rFonts w:hint="default"/>
        </w:rPr>
        <w:t>The EPA’s announcement was a regulatory allegation at this stage. It identified around 482,000 four-cylinder Volkswagen and Audi diesel vehicles sold in the United States since 2008 as being involved in the case. The potential financial penalty discussed in the report depended on whether the vehicles were ultimately found to violate federal rules; it was not a final penalty already imposed.</w:t>
      </w:r>
    </w:p>
    <w:p w14:paraId="1AFFB1A6">
      <w:pPr>
        <w:rPr>
          <w:rFonts w:hint="default"/>
        </w:rPr>
      </w:pPr>
    </w:p>
    <w:p w14:paraId="6E26EB98">
      <w:pPr>
        <w:rPr>
          <w:rFonts w:hint="default"/>
        </w:rPr>
      </w:pPr>
      <w:r>
        <w:rPr>
          <w:rFonts w:hint="default"/>
        </w:rPr>
        <w:t>Volkswagen Chief Executive Martin Winterkorn said that he was sorry the company had damaged the trust of customers and the public. He said that Volkswagen had ordered an external investigation and would cooperate with the relevant authorities. A company spokesperson also said Volkswagen had admitted the matter to the regulator and was cooperating. The report noted that Volkswagen had not yet named the people or organisation who would conduct the external investigation.</w:t>
      </w:r>
    </w:p>
    <w:p w14:paraId="25B27229">
      <w:pPr>
        <w:rPr>
          <w:rFonts w:hint="default"/>
        </w:rPr>
      </w:pPr>
    </w:p>
    <w:p w14:paraId="54DCD7D1">
      <w:pPr>
        <w:rPr>
          <w:rFonts w:hint="default"/>
        </w:rPr>
      </w:pPr>
      <w:r>
        <w:rPr>
          <w:rFonts w:hint="default"/>
        </w:rPr>
        <w:t xml:space="preserve">The case therefore raised questions about how the vehicles performed outside laboratory testing, what the company knew, who knew it, and how the issue had developed. The report did not establish from the information available that day which individuals had made or approved the decisions involved. </w:t>
      </w:r>
      <w:r>
        <w:rPr>
          <w:rFonts w:hint="default"/>
        </w:rPr>
        <w:fldChar w:fldCharType="begin"/>
      </w:r>
      <w:r>
        <w:rPr>
          <w:rFonts w:hint="default"/>
        </w:rPr>
        <w:instrText xml:space="preserve"> HYPERLINK "http://www.reuters.com" </w:instrText>
      </w:r>
      <w:r>
        <w:rPr>
          <w:rFonts w:hint="default"/>
        </w:rPr>
        <w:fldChar w:fldCharType="separate"/>
      </w:r>
      <w:r>
        <w:rPr>
          <w:rStyle w:val="51"/>
          <w:rFonts w:hint="default"/>
        </w:rPr>
        <w:t>www.reuters.com</w:t>
      </w:r>
      <w:r>
        <w:rPr>
          <w:rFonts w:hint="default"/>
        </w:rPr>
        <w:fldChar w:fldCharType="end"/>
      </w:r>
    </w:p>
    <w:p w14:paraId="52FEBEE1">
      <w:pPr>
        <w:rPr>
          <w:rFonts w:hint="default"/>
        </w:rPr>
      </w:pPr>
    </w:p>
    <w:p w14:paraId="6602775F">
      <w:pPr>
        <w:rPr>
          <w:rFonts w:hint="default"/>
        </w:rPr>
      </w:pPr>
    </w:p>
    <w:p w14:paraId="6860EDB9">
      <w:pPr>
        <w:rPr>
          <w:rFonts w:hint="default"/>
          <w:b/>
          <w:bCs/>
        </w:rPr>
      </w:pPr>
      <w:r>
        <w:rPr>
          <w:rFonts w:hint="default"/>
          <w:b/>
          <w:bCs/>
        </w:rPr>
        <w:t>Company response: How did Volkswagen describe the issue?</w:t>
      </w:r>
    </w:p>
    <w:p w14:paraId="263A5DE0">
      <w:pPr>
        <w:rPr>
          <w:rFonts w:hint="default"/>
          <w:b/>
          <w:bCs/>
        </w:rPr>
      </w:pPr>
      <w:r>
        <w:rPr>
          <w:rFonts w:hint="default"/>
          <w:b/>
          <w:bCs/>
        </w:rPr>
        <w:t xml:space="preserve">Volkswagen AG announcement, 22 September 2015 </w:t>
      </w:r>
    </w:p>
    <w:p w14:paraId="2D8BD080">
      <w:pPr>
        <w:rPr>
          <w:rFonts w:hint="default"/>
        </w:rPr>
      </w:pPr>
    </w:p>
    <w:p w14:paraId="72D95426">
      <w:pPr>
        <w:rPr>
          <w:rFonts w:hint="default"/>
        </w:rPr>
      </w:pPr>
      <w:r>
        <w:rPr>
          <w:rFonts w:hint="default"/>
        </w:rPr>
        <w:t>Two days later, Volkswagen issued a company announcement about the developing emissions issue. It said the company was working urgently to clarify irregularities connected with software used in diesel engines. Volkswagen stated that the issue concerned vehicles with Type EA 189 engines and that the difference between test results and actual road use related to this engine type. The company estimated that around eleven million vehicles worldwide were involved.</w:t>
      </w:r>
    </w:p>
    <w:p w14:paraId="2B2E7E47">
      <w:pPr>
        <w:rPr>
          <w:rFonts w:hint="default"/>
        </w:rPr>
      </w:pPr>
    </w:p>
    <w:p w14:paraId="640EA71C">
      <w:pPr>
        <w:rPr>
          <w:rFonts w:hint="default"/>
        </w:rPr>
      </w:pPr>
      <w:r>
        <w:rPr>
          <w:rFonts w:hint="default"/>
        </w:rPr>
        <w:t>The announcement also said that the same engine-management software was installed in other Volkswagen Group diesel vehicles, but that it had no effect in most of those engines. Volkswagen said it was working on technical measures to address the differences and was in contact with relevant authorities, including Germany’s Federal Motor Transport Authority.</w:t>
      </w:r>
    </w:p>
    <w:p w14:paraId="39AD9C1F">
      <w:pPr>
        <w:rPr>
          <w:rFonts w:hint="default"/>
        </w:rPr>
      </w:pPr>
    </w:p>
    <w:p w14:paraId="5D78394F">
      <w:pPr>
        <w:rPr>
          <w:rFonts w:hint="default"/>
        </w:rPr>
      </w:pPr>
      <w:r>
        <w:rPr>
          <w:rFonts w:hint="default"/>
        </w:rPr>
        <w:t>The company said it planned to set aside approximately €6.5 billion to cover service measures and other efforts to regain customer trust. It warned that this estimate might change as investigations continued. Volkswagen also said that the issue would affect its 2015 earnings targets.</w:t>
      </w:r>
    </w:p>
    <w:p w14:paraId="1466DA6E">
      <w:pPr>
        <w:rPr>
          <w:rFonts w:hint="default"/>
        </w:rPr>
      </w:pPr>
    </w:p>
    <w:p w14:paraId="6EADB632">
      <w:pPr>
        <w:rPr>
          <w:rFonts w:hint="default"/>
        </w:rPr>
      </w:pPr>
      <w:r>
        <w:rPr>
          <w:rFonts w:hint="default"/>
        </w:rPr>
        <w:t>In describing its response, the company said that it did not tolerate legal violations, that restoring customer trust and preventing harm to customers were priorities, and that it would keep the public informed about the investigation. This announcement explains what Volkswagen said it knew and planned to do on 22 September. By itself, however, it does not tell readers who designed or approved the software, when particular managers learned about it, or whether internal pressure influenced decisions. Those questions require further evidence. globenewswire.com</w:t>
      </w:r>
    </w:p>
    <w:p w14:paraId="556EDC99">
      <w:pPr>
        <w:rPr>
          <w:rFonts w:hint="default"/>
        </w:rPr>
      </w:pPr>
    </w:p>
    <w:p w14:paraId="1535382A">
      <w:pPr>
        <w:rPr>
          <w:rFonts w:hint="default"/>
          <w:b/>
          <w:bCs/>
          <w:lang w:val="en-US" w:eastAsia="zh-CN"/>
        </w:rPr>
      </w:pPr>
      <w:r>
        <w:rPr>
          <w:rFonts w:hint="eastAsia"/>
          <w:b/>
          <w:bCs/>
          <w:lang w:val="en-US" w:eastAsia="zh-CN"/>
        </w:rPr>
        <w:t>EPA allegation: (moodle)</w:t>
      </w:r>
    </w:p>
    <w:p w14:paraId="459BCDF8">
      <w:pPr>
        <w:rPr>
          <w:rFonts w:hint="default"/>
          <w:b/>
          <w:bCs/>
          <w:lang w:val="en-US" w:eastAsia="zh-CN"/>
        </w:rPr>
      </w:pPr>
    </w:p>
    <w:p w14:paraId="20EBBF84">
      <w:pPr>
        <w:rPr>
          <w:rFonts w:hint="default"/>
        </w:rPr>
      </w:pPr>
    </w:p>
    <w:p w14:paraId="4E6F3C6E">
      <w:pPr>
        <w:rPr>
          <w:rFonts w:hint="default"/>
        </w:rPr>
      </w:pPr>
    </w:p>
    <w:p w14:paraId="0E61F322">
      <w:pPr>
        <w:rPr>
          <w:rFonts w:hint="default"/>
          <w:b/>
          <w:bCs/>
        </w:rPr>
      </w:pPr>
      <w:r>
        <w:rPr>
          <w:rFonts w:hint="default"/>
          <w:b/>
          <w:bCs/>
        </w:rPr>
        <w:t>Student task</w:t>
      </w:r>
    </w:p>
    <w:p w14:paraId="0DE86962">
      <w:pPr>
        <w:rPr>
          <w:rFonts w:hint="default"/>
        </w:rPr>
      </w:pPr>
    </w:p>
    <w:p w14:paraId="1E20BF39">
      <w:pPr>
        <w:rPr>
          <w:rFonts w:hint="default"/>
        </w:rPr>
      </w:pPr>
      <w:r>
        <w:rPr>
          <w:rFonts w:hint="default"/>
        </w:rPr>
        <w:t>Read texts and annotate them:</w:t>
      </w:r>
    </w:p>
    <w:p w14:paraId="6439D599">
      <w:pPr>
        <w:rPr>
          <w:rFonts w:hint="default"/>
        </w:rPr>
      </w:pPr>
      <w:r>
        <w:rPr>
          <w:rFonts w:hint="default"/>
        </w:rPr>
        <w:t>- information directly reported or stated by a named source;</w:t>
      </w:r>
    </w:p>
    <w:p w14:paraId="25E9CBDC">
      <w:pPr>
        <w:rPr>
          <w:rFonts w:hint="default"/>
        </w:rPr>
      </w:pPr>
      <w:r>
        <w:rPr>
          <w:rFonts w:hint="default"/>
        </w:rPr>
        <w:t>- information that still needs checking or further evidence;</w:t>
      </w:r>
    </w:p>
    <w:p w14:paraId="11F6F292">
      <w:pPr>
        <w:rPr>
          <w:rFonts w:hint="default"/>
        </w:rPr>
      </w:pPr>
      <w:r>
        <w:rPr>
          <w:rFonts w:hint="default"/>
        </w:rPr>
        <w:t>- an allegation, interpretation or judgement that should not yet be treated as an established fact.</w:t>
      </w:r>
    </w:p>
    <w:p w14:paraId="7DBC117B">
      <w:pPr>
        <w:rPr>
          <w:rFonts w:hint="default"/>
        </w:rPr>
      </w:pPr>
    </w:p>
    <w:p w14:paraId="23B598BA">
      <w:pPr>
        <w:rPr>
          <w:rFonts w:hint="default"/>
        </w:rPr>
      </w:pPr>
      <w:r>
        <w:rPr>
          <w:rFonts w:hint="default"/>
        </w:rPr>
        <w:t>Then answer:</w:t>
      </w:r>
    </w:p>
    <w:p w14:paraId="28DBA034">
      <w:pPr>
        <w:rPr>
          <w:rFonts w:hint="default"/>
        </w:rPr>
      </w:pPr>
      <w:r>
        <w:rPr>
          <w:rFonts w:hint="default"/>
        </w:rPr>
        <w:t>1. What does the EPA allege? What did Volkswagen say in response?</w:t>
      </w:r>
    </w:p>
    <w:p w14:paraId="23D42A5E">
      <w:pPr>
        <w:rPr>
          <w:rFonts w:hint="default"/>
        </w:rPr>
      </w:pPr>
      <w:r>
        <w:rPr>
          <w:rFonts w:hint="default"/>
        </w:rPr>
        <w:t>2. Which details come from the media report, and which come from the company’s own announcement?</w:t>
      </w:r>
    </w:p>
    <w:p w14:paraId="27492547">
      <w:pPr>
        <w:rPr>
          <w:rFonts w:hint="default"/>
        </w:rPr>
      </w:pPr>
      <w:r>
        <w:rPr>
          <w:rFonts w:hint="default"/>
        </w:rPr>
        <w:t>3. How does the wording differ? For example, what is the difference between “software that deceived regulators” in the report and Volkswagen’s description of “irregularities” and “discrepancies”?</w:t>
      </w:r>
    </w:p>
    <w:p w14:paraId="3160E0D4">
      <w:pPr>
        <w:rPr>
          <w:rFonts w:hint="default"/>
        </w:rPr>
      </w:pPr>
      <w:r>
        <w:rPr>
          <w:rFonts w:hint="default"/>
        </w:rPr>
        <w:t>4. What can we conclude from the company announcing an investigation and financial provision? What can’t we conclude?</w:t>
      </w:r>
    </w:p>
    <w:p w14:paraId="075C7572">
      <w:pPr>
        <w:rPr>
          <w:rFonts w:hint="default"/>
        </w:rPr>
      </w:pPr>
      <w:r>
        <w:rPr>
          <w:rFonts w:hint="default"/>
        </w:rPr>
        <w:t>5. What further evidence would help establish who knew what, when they knew it, and whether organisational pressure played a role?</w:t>
      </w:r>
    </w:p>
    <w:p w14:paraId="1929C0BC">
      <w:pPr>
        <w:rPr>
          <w:rFonts w:hint="default"/>
        </w:rPr>
      </w:pPr>
    </w:p>
    <w:p w14:paraId="03ED04F8">
      <w:pPr>
        <w:rPr>
          <w:rFonts w:hint="default"/>
        </w:rPr>
      </w:pPr>
    </w:p>
    <w:p w14:paraId="7DFDC2CC">
      <w:pPr>
        <w:rPr>
          <w:rFonts w:hint="eastAsia"/>
          <w:b/>
          <w:bCs/>
          <w:sz w:val="24"/>
          <w:szCs w:val="24"/>
          <w:lang w:val="en-US" w:eastAsia="zh-CN"/>
        </w:rPr>
      </w:pPr>
      <w:r>
        <w:rPr>
          <w:rFonts w:hint="eastAsia"/>
          <w:b/>
          <w:bCs/>
          <w:sz w:val="24"/>
          <w:szCs w:val="24"/>
          <w:lang w:val="en-US" w:eastAsia="zh-CN"/>
        </w:rPr>
        <w:t xml:space="preserve">Activity 2 </w:t>
      </w:r>
    </w:p>
    <w:p w14:paraId="35A13B87">
      <w:pPr>
        <w:rPr>
          <w:rFonts w:hint="eastAsia"/>
          <w:lang w:val="en-US" w:eastAsia="zh-CN"/>
        </w:rPr>
      </w:pPr>
      <w:bookmarkStart w:id="0" w:name="_GoBack"/>
      <w:bookmarkEnd w:id="0"/>
    </w:p>
    <w:p w14:paraId="1759AB1C">
      <w:pPr>
        <w:rPr>
          <w:rFonts w:hint="default"/>
          <w:b/>
          <w:bCs/>
          <w:lang w:val="en-US" w:eastAsia="zh-CN"/>
        </w:rPr>
      </w:pPr>
      <w:r>
        <w:rPr>
          <w:rFonts w:hint="default"/>
          <w:b/>
          <w:bCs/>
          <w:lang w:val="en-US" w:eastAsia="zh-CN"/>
        </w:rPr>
        <w:t>Assessment 1 case proposal form</w:t>
      </w:r>
    </w:p>
    <w:p w14:paraId="033A231B">
      <w:pPr>
        <w:rPr>
          <w:rFonts w:hint="default"/>
          <w:lang w:val="en-US" w:eastAsia="zh-CN"/>
        </w:rPr>
      </w:pPr>
    </w:p>
    <w:p w14:paraId="1F9ECDCE">
      <w:pPr>
        <w:rPr>
          <w:rFonts w:hint="default"/>
          <w:lang w:val="en-US" w:eastAsia="zh-CN"/>
        </w:rPr>
      </w:pPr>
      <w:r>
        <w:rPr>
          <w:rFonts w:hint="eastAsia"/>
          <w:lang w:val="en-US" w:eastAsia="zh-CN"/>
        </w:rPr>
        <w:t>Group Number</w:t>
      </w:r>
      <w:r>
        <w:rPr>
          <w:rFonts w:hint="default"/>
          <w:lang w:val="en-US" w:eastAsia="zh-CN"/>
        </w:rPr>
        <w:t>: __________________________   Student ID: __________________</w:t>
      </w:r>
    </w:p>
    <w:p w14:paraId="0A5DA06C">
      <w:pPr>
        <w:rPr>
          <w:rFonts w:hint="default"/>
          <w:lang w:val="en-US" w:eastAsia="zh-CN"/>
        </w:rPr>
      </w:pPr>
    </w:p>
    <w:p w14:paraId="20A9B86B">
      <w:pPr>
        <w:rPr>
          <w:rFonts w:hint="default"/>
          <w:lang w:val="en-US" w:eastAsia="zh-CN"/>
        </w:rPr>
      </w:pPr>
      <w:r>
        <w:rPr>
          <w:rFonts w:hint="default"/>
          <w:lang w:val="en-US" w:eastAsia="zh-CN"/>
        </w:rPr>
        <w:t>1. Organisation and real event:</w:t>
      </w:r>
    </w:p>
    <w:p w14:paraId="3374B9E5">
      <w:pPr>
        <w:rPr>
          <w:rFonts w:hint="default"/>
          <w:lang w:val="en-US" w:eastAsia="zh-CN"/>
        </w:rPr>
      </w:pPr>
      <w:r>
        <w:rPr>
          <w:rFonts w:hint="default"/>
          <w:lang w:val="en-US" w:eastAsia="zh-CN"/>
        </w:rPr>
        <w:t>_______________________________________________________________</w:t>
      </w:r>
    </w:p>
    <w:p w14:paraId="5F1C03A3">
      <w:pPr>
        <w:rPr>
          <w:rFonts w:hint="default"/>
          <w:lang w:val="en-US" w:eastAsia="zh-CN"/>
        </w:rPr>
      </w:pPr>
    </w:p>
    <w:p w14:paraId="1960CA8E">
      <w:pPr>
        <w:rPr>
          <w:rFonts w:hint="default"/>
          <w:lang w:val="en-US" w:eastAsia="zh-CN"/>
        </w:rPr>
      </w:pPr>
      <w:r>
        <w:rPr>
          <w:rFonts w:hint="default"/>
          <w:lang w:val="en-US" w:eastAsia="zh-CN"/>
        </w:rPr>
        <w:t>2. The specific decision the organisation faced:</w:t>
      </w:r>
    </w:p>
    <w:p w14:paraId="17665250">
      <w:pPr>
        <w:rPr>
          <w:rFonts w:hint="default"/>
          <w:lang w:val="en-US" w:eastAsia="zh-CN"/>
        </w:rPr>
      </w:pPr>
      <w:r>
        <w:rPr>
          <w:rFonts w:hint="default"/>
          <w:lang w:val="en-US" w:eastAsia="zh-CN"/>
        </w:rPr>
        <w:t>_______________________________________________________________</w:t>
      </w:r>
    </w:p>
    <w:p w14:paraId="3008E1E6">
      <w:pPr>
        <w:rPr>
          <w:rFonts w:hint="default"/>
          <w:lang w:val="en-US" w:eastAsia="zh-CN"/>
        </w:rPr>
      </w:pPr>
    </w:p>
    <w:p w14:paraId="56704FEA">
      <w:pPr>
        <w:rPr>
          <w:rFonts w:hint="default"/>
          <w:lang w:val="en-US" w:eastAsia="zh-CN"/>
        </w:rPr>
      </w:pPr>
      <w:r>
        <w:rPr>
          <w:rFonts w:hint="default"/>
          <w:lang w:val="en-US" w:eastAsia="zh-CN"/>
        </w:rPr>
        <w:t>3. Why this decision raises an ethical conflict:</w:t>
      </w:r>
    </w:p>
    <w:p w14:paraId="21E92EA5">
      <w:pPr>
        <w:rPr>
          <w:rFonts w:hint="default"/>
          <w:lang w:val="en-US" w:eastAsia="zh-CN"/>
        </w:rPr>
      </w:pPr>
      <w:r>
        <w:rPr>
          <w:rFonts w:hint="default"/>
          <w:lang w:val="en-US" w:eastAsia="zh-CN"/>
        </w:rPr>
        <w:t>_______________________________________________________________</w:t>
      </w:r>
    </w:p>
    <w:p w14:paraId="3FF43D8B">
      <w:pPr>
        <w:rPr>
          <w:rFonts w:hint="default"/>
          <w:lang w:val="en-US" w:eastAsia="zh-CN"/>
        </w:rPr>
      </w:pPr>
    </w:p>
    <w:p w14:paraId="73CC65C9">
      <w:pPr>
        <w:rPr>
          <w:rFonts w:hint="default"/>
          <w:lang w:val="en-US" w:eastAsia="zh-CN"/>
        </w:rPr>
      </w:pPr>
      <w:r>
        <w:rPr>
          <w:rFonts w:hint="default"/>
          <w:lang w:val="en-US" w:eastAsia="zh-CN"/>
        </w:rPr>
        <w:t>4. Main stakeholders and their conflicting interests or responsibilities:</w:t>
      </w:r>
    </w:p>
    <w:p w14:paraId="5C110B82">
      <w:pPr>
        <w:rPr>
          <w:rFonts w:hint="default"/>
          <w:lang w:val="en-US" w:eastAsia="zh-CN"/>
        </w:rPr>
      </w:pPr>
      <w:r>
        <w:rPr>
          <w:rFonts w:hint="default"/>
          <w:lang w:val="en-US" w:eastAsia="zh-CN"/>
        </w:rPr>
        <w:t>_______________________________________________________________</w:t>
      </w:r>
    </w:p>
    <w:p w14:paraId="5760A265">
      <w:pPr>
        <w:rPr>
          <w:rFonts w:hint="default"/>
          <w:lang w:val="en-US" w:eastAsia="zh-CN"/>
        </w:rPr>
      </w:pPr>
    </w:p>
    <w:p w14:paraId="166282BD">
      <w:pPr>
        <w:rPr>
          <w:rFonts w:hint="default"/>
          <w:lang w:val="en-US" w:eastAsia="zh-CN"/>
        </w:rPr>
      </w:pPr>
      <w:r>
        <w:rPr>
          <w:rFonts w:hint="default"/>
          <w:lang w:val="en-US" w:eastAsia="zh-CN"/>
        </w:rPr>
        <w:t>5. 2-5 reliable sources I have found:</w:t>
      </w:r>
    </w:p>
    <w:p w14:paraId="53169223">
      <w:pPr>
        <w:rPr>
          <w:rFonts w:hint="default"/>
          <w:lang w:val="en-US" w:eastAsia="zh-CN"/>
        </w:rPr>
      </w:pPr>
      <w:r>
        <w:rPr>
          <w:rFonts w:hint="default"/>
          <w:lang w:val="en-US" w:eastAsia="zh-CN"/>
        </w:rPr>
        <w:t>_______________________________________________________________</w:t>
      </w:r>
    </w:p>
    <w:p w14:paraId="7A6AA0A3">
      <w:pPr>
        <w:rPr>
          <w:rFonts w:hint="default"/>
          <w:lang w:val="en-US" w:eastAsia="zh-CN"/>
        </w:rPr>
      </w:pPr>
    </w:p>
    <w:p w14:paraId="0973933F">
      <w:pPr>
        <w:rPr>
          <w:rFonts w:hint="default"/>
          <w:lang w:val="en-US" w:eastAsia="zh-CN"/>
        </w:rPr>
      </w:pPr>
      <w:r>
        <w:rPr>
          <w:rFonts w:hint="default"/>
          <w:lang w:val="en-US" w:eastAsia="zh-CN"/>
        </w:rPr>
        <w:t>6. One fact I still need to check:</w:t>
      </w:r>
    </w:p>
    <w:p w14:paraId="489BCCCA">
      <w:pPr>
        <w:rPr>
          <w:rFonts w:hint="default"/>
          <w:lang w:val="en-US" w:eastAsia="zh-CN"/>
        </w:rPr>
      </w:pPr>
      <w:r>
        <w:rPr>
          <w:rFonts w:hint="default"/>
          <w:lang w:val="en-US" w:eastAsia="zh-CN"/>
        </w:rPr>
        <w:t>_______________________________________________________________</w:t>
      </w:r>
    </w:p>
    <w:p w14:paraId="4A83DD65">
      <w:pPr>
        <w:rPr>
          <w:rFonts w:hint="default"/>
          <w:lang w:val="en-US" w:eastAsia="zh-CN"/>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B433821"/>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13656661"/>
    <w:rsid w:val="17135735"/>
    <w:rsid w:val="171844F3"/>
    <w:rsid w:val="19BB5894"/>
    <w:rsid w:val="341839A2"/>
    <w:rsid w:val="6B433821"/>
    <w:rsid w:val="79E644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unhideWhenUsed="0" w:uiPriority="0" w:semiHidden="0" w:name="Table Classic 1"/>
    <w:lsdException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unhideWhenUsed="0" w:uiPriority="0" w:semiHidden="0" w:name="Table Colorful 3"/>
    <w:lsdException w:qFormat="1" w:unhideWhenUsed="0" w:uiPriority="0" w:semiHidden="0" w:name="Table Columns 1"/>
    <w:lsdException w:unhideWhenUsed="0" w:uiPriority="0" w:semiHidden="0" w:name="Table Columns 2"/>
    <w:lsdException w:qFormat="1" w:unhideWhenUsed="0" w:uiPriority="0" w:semiHidden="0" w:name="Table Columns 3"/>
    <w:lsdException w:qFormat="1" w:unhideWhenUsed="0" w:uiPriority="0" w:semiHidden="0" w:name="Table Columns 4"/>
    <w:lsdException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unhideWhenUsed="0" w:uiPriority="68" w:semiHidden="0" w:name="Medium Grid 2"/>
    <w:lsdException w:unhideWhenUsed="0" w:uiPriority="69" w:semiHidden="0" w:name="Medium Grid 3"/>
    <w:lsdException w:qFormat="1" w:unhideWhenUsed="0" w:uiPriority="70" w:semiHidden="0" w:name="Dark List"/>
    <w:lsdException w:qFormat="1"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unhideWhenUsed="0" w:uiPriority="65" w:semiHidden="0" w:name="Medium List 1 Accent 1"/>
    <w:lsdException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unhideWhenUsed="0" w:uiPriority="68" w:semiHidden="0" w:name="Medium Grid 2 Accent 2"/>
    <w:lsdException w:qFormat="1" w:unhideWhenUsed="0" w:uiPriority="69" w:semiHidden="0" w:name="Medium Grid 3 Accent 2"/>
    <w:lsdException w:qFormat="1"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unhideWhenUsed="0" w:uiPriority="65" w:semiHidden="0" w:name="Medium List 1 Accent 3"/>
    <w:lsdException w:qFormat="1" w:unhideWhenUsed="0" w:uiPriority="66" w:semiHidden="0" w:name="Medium List 2 Accent 3"/>
    <w:lsdException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unhideWhenUsed="0" w:uiPriority="68" w:semiHidden="0" w:name="Medium Grid 2 Accent 4"/>
    <w:lsdException w:unhideWhenUsed="0" w:uiPriority="69" w:semiHidden="0" w:name="Medium Grid 3 Accent 4"/>
    <w:lsdException w:qFormat="1"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qFormat="1" w:unhideWhenUsed="0" w:uiPriority="61" w:semiHidden="0" w:name="Light List Accent 5"/>
    <w:lsdException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unhideWhenUsed="0" w:uiPriority="65" w:semiHidden="0" w:name="Medium List 1 Accent 6"/>
    <w:lsdException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keepNext/>
      <w:keepLines/>
      <w:spacing w:before="260" w:after="260" w:line="416" w:lineRule="auto"/>
      <w:outlineLvl w:val="1"/>
    </w:pPr>
    <w:rPr>
      <w:b/>
      <w:bCs/>
      <w:sz w:val="32"/>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SimHei"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uiPriority w:val="0"/>
  </w:style>
  <w:style w:type="paragraph" w:styleId="42">
    <w:name w:val="HTML Address"/>
    <w:basedOn w:val="1"/>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qFormat/>
    <w:uiPriority w:val="0"/>
    <w:rPr>
      <w:sz w:val="24"/>
      <w:szCs w:val="24"/>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674</Words>
  <Characters>3798</Characters>
  <Lines>0</Lines>
  <Paragraphs>0</Paragraphs>
  <TotalTime>53</TotalTime>
  <ScaleCrop>false</ScaleCrop>
  <LinksUpToDate>false</LinksUpToDate>
  <CharactersWithSpaces>4450</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2026-10-23T05:33:00Z</dcterms:created>
  <dc:creator>Maggie</dc:creator>
  <cp:lastModifiedBy>Maggie</cp:lastModifiedBy>
  <dcterms:modified xsi:type="dcterms:W3CDTF">2026-10-23T07:06:31Z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1033-12.1.0.29162</vt:lpwstr>
  </property>
  <property fmtid="{D5CDD505-2E9C-101B-9397-08002B2CF9AE}" pid="3" name="ICV">
    <vt:lpwstr>1F7CCD81A3E041E596CE23E47AAEECB6_11</vt:lpwstr>
  </property>
  <property fmtid="{D5CDD505-2E9C-101B-9397-08002B2CF9AE}" pid="4" name="KSOTemplateDocerSaveRecord">
    <vt:lpwstr>eyJoZGlkIjoiOTdhNmJjN2FjMjM0MmExNDdkNjFmMTU5MjVhZGU4ZDUiLCJ1c2VySWQiOiIzODY1ODgxNjYwNTYzIn0=</vt:lpwstr>
  </property>
</Properties>
</file>