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2E51" w:rsidRPr="00412E51" w:rsidRDefault="00412E51" w:rsidP="00D359DD">
      <w:pPr>
        <w:pStyle w:val="NormalWeb"/>
        <w:spacing w:line="360" w:lineRule="auto"/>
        <w:jc w:val="center"/>
        <w:rPr>
          <w:sz w:val="22"/>
          <w:szCs w:val="20"/>
          <w:u w:val="single"/>
        </w:rPr>
      </w:pPr>
      <w:r w:rsidRPr="00412E51">
        <w:rPr>
          <w:sz w:val="22"/>
          <w:szCs w:val="20"/>
          <w:u w:val="single"/>
        </w:rPr>
        <w:t>A Critical Analysis of Literacy, Numeracy and Digital Competence as Cross-Curricular Responsibilities.</w:t>
      </w:r>
    </w:p>
    <w:p w:rsidR="00412E51" w:rsidRDefault="00412E51" w:rsidP="00D359DD">
      <w:pPr>
        <w:pStyle w:val="NormalWeb"/>
        <w:spacing w:line="360" w:lineRule="auto"/>
        <w:rPr>
          <w:sz w:val="22"/>
          <w:szCs w:val="20"/>
        </w:rPr>
      </w:pPr>
    </w:p>
    <w:p w:rsidR="007E6502" w:rsidRDefault="007E6502" w:rsidP="00D359DD">
      <w:pPr>
        <w:pStyle w:val="NormalWeb"/>
        <w:spacing w:line="360" w:lineRule="auto"/>
        <w:rPr>
          <w:sz w:val="22"/>
          <w:szCs w:val="20"/>
        </w:rPr>
      </w:pPr>
      <w:r w:rsidRPr="007E6502">
        <w:rPr>
          <w:sz w:val="22"/>
          <w:szCs w:val="20"/>
        </w:rPr>
        <w:t>“Cross-curricular teaching covers various activities</w:t>
      </w:r>
      <w:r>
        <w:rPr>
          <w:sz w:val="22"/>
          <w:szCs w:val="20"/>
        </w:rPr>
        <w:t>…</w:t>
      </w:r>
      <w:r w:rsidRPr="007E6502">
        <w:rPr>
          <w:sz w:val="22"/>
          <w:szCs w:val="20"/>
        </w:rPr>
        <w:t xml:space="preserve"> links between subjects can be made as other subjects can partially be used to explain one concept in a subject</w:t>
      </w:r>
      <w:r>
        <w:rPr>
          <w:sz w:val="22"/>
          <w:szCs w:val="20"/>
        </w:rPr>
        <w:t xml:space="preserve">” (Timmerman, 2017). </w:t>
      </w:r>
      <w:r w:rsidR="0019190D">
        <w:rPr>
          <w:sz w:val="22"/>
          <w:szCs w:val="20"/>
        </w:rPr>
        <w:t xml:space="preserve">This clarifies that cross-curricular teaching does not abide by the traditional rule of individual subjects and subject knowledge but in fact connects various subjects fully or </w:t>
      </w:r>
      <w:r w:rsidR="000776D6">
        <w:rPr>
          <w:sz w:val="22"/>
          <w:szCs w:val="20"/>
        </w:rPr>
        <w:t>provides</w:t>
      </w:r>
      <w:r w:rsidR="0019190D">
        <w:rPr>
          <w:sz w:val="22"/>
          <w:szCs w:val="20"/>
        </w:rPr>
        <w:t xml:space="preserve"> opportunity for one subject to enhance another. Barnes (2015) explains that Dewey originally did not believe that education was an individualistic activity but was the social stimulation of a child through group work or various different experiences</w:t>
      </w:r>
      <w:r w:rsidR="00DC2BE0">
        <w:rPr>
          <w:sz w:val="22"/>
          <w:szCs w:val="20"/>
        </w:rPr>
        <w:t>.</w:t>
      </w:r>
      <w:r w:rsidR="0019190D">
        <w:rPr>
          <w:sz w:val="22"/>
          <w:szCs w:val="20"/>
        </w:rPr>
        <w:t xml:space="preserve"> </w:t>
      </w:r>
      <w:r w:rsidR="00CC36B5">
        <w:rPr>
          <w:sz w:val="22"/>
          <w:szCs w:val="20"/>
        </w:rPr>
        <w:t>Following this, t</w:t>
      </w:r>
      <w:r w:rsidR="0019190D">
        <w:rPr>
          <w:sz w:val="22"/>
          <w:szCs w:val="20"/>
        </w:rPr>
        <w:t xml:space="preserve">he Hadow Report (1931) reviewed teaching </w:t>
      </w:r>
      <w:r w:rsidR="00200C82">
        <w:rPr>
          <w:sz w:val="22"/>
          <w:szCs w:val="20"/>
        </w:rPr>
        <w:t xml:space="preserve">in </w:t>
      </w:r>
      <w:r w:rsidR="0019190D">
        <w:rPr>
          <w:sz w:val="22"/>
          <w:szCs w:val="20"/>
        </w:rPr>
        <w:t xml:space="preserve">primary schools and developed Dewey’s ideas </w:t>
      </w:r>
      <w:r w:rsidR="00200C82">
        <w:rPr>
          <w:sz w:val="22"/>
          <w:szCs w:val="20"/>
        </w:rPr>
        <w:t xml:space="preserve">which </w:t>
      </w:r>
      <w:r w:rsidR="00412E51">
        <w:rPr>
          <w:sz w:val="22"/>
          <w:szCs w:val="20"/>
        </w:rPr>
        <w:t xml:space="preserve">blurred the lines between knowledge and experience, making learning more experiential and child-centred. </w:t>
      </w:r>
      <w:r w:rsidR="00CC36B5">
        <w:rPr>
          <w:sz w:val="22"/>
          <w:szCs w:val="20"/>
        </w:rPr>
        <w:t>This is a</w:t>
      </w:r>
      <w:r w:rsidR="00200C82">
        <w:rPr>
          <w:sz w:val="22"/>
          <w:szCs w:val="20"/>
        </w:rPr>
        <w:t xml:space="preserve">n </w:t>
      </w:r>
      <w:r w:rsidR="00CC36B5">
        <w:rPr>
          <w:sz w:val="22"/>
          <w:szCs w:val="20"/>
        </w:rPr>
        <w:t xml:space="preserve">understanding of </w:t>
      </w:r>
      <w:r w:rsidR="00200C82">
        <w:rPr>
          <w:sz w:val="22"/>
          <w:szCs w:val="20"/>
        </w:rPr>
        <w:t>learning shared</w:t>
      </w:r>
      <w:r w:rsidR="00CC36B5">
        <w:rPr>
          <w:sz w:val="22"/>
          <w:szCs w:val="20"/>
        </w:rPr>
        <w:t xml:space="preserve"> </w:t>
      </w:r>
      <w:r w:rsidR="00200C82">
        <w:rPr>
          <w:sz w:val="22"/>
          <w:szCs w:val="20"/>
        </w:rPr>
        <w:t>by</w:t>
      </w:r>
      <w:r w:rsidR="00CC36B5">
        <w:rPr>
          <w:sz w:val="22"/>
          <w:szCs w:val="20"/>
        </w:rPr>
        <w:t xml:space="preserve"> Vyogtsky who believed </w:t>
      </w:r>
      <w:r w:rsidR="00200C82">
        <w:rPr>
          <w:sz w:val="22"/>
          <w:szCs w:val="20"/>
        </w:rPr>
        <w:t xml:space="preserve">children </w:t>
      </w:r>
      <w:r w:rsidR="00CC36B5">
        <w:rPr>
          <w:sz w:val="22"/>
          <w:szCs w:val="20"/>
        </w:rPr>
        <w:t xml:space="preserve">learnt various skills through playing and communicating with others subconsciously, which appears in line with the review. </w:t>
      </w:r>
      <w:r w:rsidR="00F74A1B">
        <w:rPr>
          <w:sz w:val="22"/>
          <w:szCs w:val="20"/>
        </w:rPr>
        <w:t xml:space="preserve">However, Barnes (2015) also describes how Alexander (2010) says that blurring experience and knowledge proved unhelpful and has led to a negative view of cross-curricular to this day. Although, </w:t>
      </w:r>
      <w:r w:rsidR="00CC36B5">
        <w:rPr>
          <w:sz w:val="22"/>
          <w:szCs w:val="20"/>
        </w:rPr>
        <w:t xml:space="preserve">Plowden’s Report (1967) supported </w:t>
      </w:r>
      <w:r w:rsidR="00F74A1B">
        <w:rPr>
          <w:sz w:val="22"/>
          <w:szCs w:val="20"/>
        </w:rPr>
        <w:t>Hadow’s</w:t>
      </w:r>
      <w:r w:rsidR="00CC36B5">
        <w:rPr>
          <w:sz w:val="22"/>
          <w:szCs w:val="20"/>
        </w:rPr>
        <w:t xml:space="preserve"> statements and even claimed that </w:t>
      </w:r>
      <w:r w:rsidR="00F74A1B">
        <w:rPr>
          <w:sz w:val="22"/>
          <w:szCs w:val="20"/>
        </w:rPr>
        <w:t>children’s thought processes are damaged by solo subjects, whereas Hayes (2</w:t>
      </w:r>
      <w:r w:rsidR="007717B1">
        <w:rPr>
          <w:sz w:val="22"/>
          <w:szCs w:val="20"/>
        </w:rPr>
        <w:t>010</w:t>
      </w:r>
      <w:r w:rsidR="00F74A1B">
        <w:rPr>
          <w:sz w:val="22"/>
          <w:szCs w:val="20"/>
        </w:rPr>
        <w:t>) informs readers of the opinions of sceptics. Opinions that state integrating experience and knowledge may eradicate opportunities for children to learn fundamental skills.</w:t>
      </w:r>
      <w:r w:rsidR="00B5593F">
        <w:rPr>
          <w:sz w:val="22"/>
          <w:szCs w:val="20"/>
        </w:rPr>
        <w:t xml:space="preserve"> From </w:t>
      </w:r>
      <w:r w:rsidR="007717B1">
        <w:rPr>
          <w:sz w:val="22"/>
          <w:szCs w:val="20"/>
        </w:rPr>
        <w:t>my time o</w:t>
      </w:r>
      <w:r w:rsidR="00200C82">
        <w:rPr>
          <w:sz w:val="22"/>
          <w:szCs w:val="20"/>
        </w:rPr>
        <w:t>n</w:t>
      </w:r>
      <w:r w:rsidR="007717B1">
        <w:rPr>
          <w:sz w:val="22"/>
          <w:szCs w:val="20"/>
        </w:rPr>
        <w:t xml:space="preserve"> Personal Teaching Experience (PTE), I have found that the </w:t>
      </w:r>
      <w:r w:rsidR="00200C82">
        <w:rPr>
          <w:sz w:val="22"/>
          <w:szCs w:val="20"/>
        </w:rPr>
        <w:t xml:space="preserve">concern </w:t>
      </w:r>
      <w:r w:rsidR="007717B1">
        <w:rPr>
          <w:sz w:val="22"/>
          <w:szCs w:val="20"/>
        </w:rPr>
        <w:t xml:space="preserve">of not meeting every skill aimed to </w:t>
      </w:r>
      <w:r w:rsidR="00200C82">
        <w:rPr>
          <w:sz w:val="22"/>
          <w:szCs w:val="20"/>
        </w:rPr>
        <w:t xml:space="preserve">be </w:t>
      </w:r>
      <w:r w:rsidR="007717B1">
        <w:rPr>
          <w:sz w:val="22"/>
          <w:szCs w:val="20"/>
        </w:rPr>
        <w:t xml:space="preserve">developed thoroughly enough is the main cause </w:t>
      </w:r>
      <w:r w:rsidR="00200C82">
        <w:rPr>
          <w:sz w:val="22"/>
          <w:szCs w:val="20"/>
        </w:rPr>
        <w:t xml:space="preserve">of teachers’ reluctance in </w:t>
      </w:r>
      <w:r w:rsidR="007717B1">
        <w:rPr>
          <w:sz w:val="22"/>
          <w:szCs w:val="20"/>
        </w:rPr>
        <w:t xml:space="preserve">teaching </w:t>
      </w:r>
      <w:r w:rsidR="00200C82">
        <w:rPr>
          <w:sz w:val="22"/>
          <w:szCs w:val="20"/>
        </w:rPr>
        <w:t xml:space="preserve">using a </w:t>
      </w:r>
      <w:r w:rsidR="007717B1">
        <w:rPr>
          <w:sz w:val="22"/>
          <w:szCs w:val="20"/>
        </w:rPr>
        <w:t xml:space="preserve">cross-curricular approach. Barnes (2015) explains that this unclarity prevented many schools using this approach in the past and due to an education reform in 1988 that set individual subjects, cross-curricular teaching and learning almost disappeared. However, Barnes goes on to explain that the Rose Report (2009) found that education needs less content and more flexibility, opening up the ideas of </w:t>
      </w:r>
      <w:r w:rsidR="00551CE9">
        <w:rPr>
          <w:sz w:val="22"/>
          <w:szCs w:val="20"/>
        </w:rPr>
        <w:t xml:space="preserve">cross-curricular explicitly. This encouraged schools to make an effort to teach using this strategy. In Wales specifically, the Revised Curriculum (2013) failed to mention the cross-curricular approach or responsibilities, however this did not </w:t>
      </w:r>
      <w:r w:rsidR="00200C82">
        <w:rPr>
          <w:sz w:val="22"/>
          <w:szCs w:val="20"/>
        </w:rPr>
        <w:t xml:space="preserve">stop </w:t>
      </w:r>
      <w:r w:rsidR="00551CE9">
        <w:rPr>
          <w:sz w:val="22"/>
          <w:szCs w:val="20"/>
        </w:rPr>
        <w:t xml:space="preserve">schools </w:t>
      </w:r>
      <w:r w:rsidR="000776D6">
        <w:rPr>
          <w:sz w:val="22"/>
          <w:szCs w:val="20"/>
        </w:rPr>
        <w:t xml:space="preserve">that had </w:t>
      </w:r>
      <w:r w:rsidR="00551CE9">
        <w:rPr>
          <w:sz w:val="22"/>
          <w:szCs w:val="20"/>
        </w:rPr>
        <w:t>already adop</w:t>
      </w:r>
      <w:r w:rsidR="000776D6">
        <w:rPr>
          <w:sz w:val="22"/>
          <w:szCs w:val="20"/>
        </w:rPr>
        <w:t>ted</w:t>
      </w:r>
      <w:r w:rsidR="00551CE9">
        <w:rPr>
          <w:sz w:val="22"/>
          <w:szCs w:val="20"/>
        </w:rPr>
        <w:t xml:space="preserve"> the approach. Donaldson’s Successful Futures review (2015) </w:t>
      </w:r>
      <w:r w:rsidR="007730A5">
        <w:rPr>
          <w:sz w:val="22"/>
          <w:szCs w:val="20"/>
        </w:rPr>
        <w:t xml:space="preserve">asserts that </w:t>
      </w:r>
      <w:r w:rsidR="00200C82">
        <w:rPr>
          <w:sz w:val="22"/>
          <w:szCs w:val="20"/>
        </w:rPr>
        <w:t xml:space="preserve">the </w:t>
      </w:r>
      <w:r w:rsidR="007730A5">
        <w:rPr>
          <w:sz w:val="22"/>
          <w:szCs w:val="20"/>
        </w:rPr>
        <w:t xml:space="preserve">new curriculum is a combination of both the experiences that children endure in Wales, as well as subject knowledge which he claims is “the best path to a sound and relevant curriculum” (Donaldson, 2015, p. 5). This shows that Donaldson </w:t>
      </w:r>
      <w:r w:rsidR="00085311">
        <w:rPr>
          <w:sz w:val="22"/>
          <w:szCs w:val="20"/>
        </w:rPr>
        <w:t xml:space="preserve">is continuing the focus of subject knowledge whilst creating more of a focus on experience, as Dewey campaigned for, therefore this opens up the opportunities for cross-curricular learning. More specifically, Donaldson (2015) clarifies that Literacy, Numeracy and Digital Competence are cross-curricular responsibilities as they are seen to be essential in living in the </w:t>
      </w:r>
      <w:r w:rsidR="00085311">
        <w:rPr>
          <w:sz w:val="22"/>
          <w:szCs w:val="20"/>
        </w:rPr>
        <w:lastRenderedPageBreak/>
        <w:t xml:space="preserve">modern world. He suggests </w:t>
      </w:r>
      <w:r w:rsidR="00BC680F">
        <w:rPr>
          <w:sz w:val="22"/>
          <w:szCs w:val="20"/>
        </w:rPr>
        <w:t>that each school c</w:t>
      </w:r>
      <w:r w:rsidR="000776D6">
        <w:rPr>
          <w:sz w:val="22"/>
          <w:szCs w:val="20"/>
        </w:rPr>
        <w:t>ould</w:t>
      </w:r>
      <w:r w:rsidR="00BC680F">
        <w:rPr>
          <w:sz w:val="22"/>
          <w:szCs w:val="20"/>
        </w:rPr>
        <w:t xml:space="preserve"> have a designated staff </w:t>
      </w:r>
      <w:r w:rsidR="00301F2E">
        <w:rPr>
          <w:sz w:val="22"/>
          <w:szCs w:val="20"/>
        </w:rPr>
        <w:t xml:space="preserve">member </w:t>
      </w:r>
      <w:r w:rsidR="00BC680F">
        <w:rPr>
          <w:sz w:val="22"/>
          <w:szCs w:val="20"/>
        </w:rPr>
        <w:t xml:space="preserve">to co-ordinate these responsibilities, however it is not highlighted clearly how these responsibilities can be </w:t>
      </w:r>
      <w:r w:rsidR="00301F2E">
        <w:rPr>
          <w:sz w:val="22"/>
          <w:szCs w:val="20"/>
        </w:rPr>
        <w:t xml:space="preserve">implemented </w:t>
      </w:r>
      <w:r w:rsidR="00BC680F">
        <w:rPr>
          <w:sz w:val="22"/>
          <w:szCs w:val="20"/>
        </w:rPr>
        <w:t xml:space="preserve">effectively. Overall, it is clear that cross-curricular teaching and learning can be a complex approach, therefore I will now critically evaluate these responsibilities and their place in the Welsh education system. </w:t>
      </w:r>
    </w:p>
    <w:p w:rsidR="00077AD3" w:rsidRDefault="00077AD3" w:rsidP="00D359DD">
      <w:pPr>
        <w:pStyle w:val="NormalWeb"/>
        <w:spacing w:line="360" w:lineRule="auto"/>
        <w:rPr>
          <w:sz w:val="22"/>
        </w:rPr>
      </w:pPr>
      <w:r>
        <w:rPr>
          <w:sz w:val="22"/>
        </w:rPr>
        <w:t xml:space="preserve">Literacy and Numeracy have been </w:t>
      </w:r>
      <w:r w:rsidR="00DA1A3D">
        <w:rPr>
          <w:sz w:val="22"/>
        </w:rPr>
        <w:t>priorities for Welsh Government and Estyn for a considerable amount of time</w:t>
      </w:r>
      <w:r w:rsidR="006F6A73">
        <w:rPr>
          <w:sz w:val="22"/>
        </w:rPr>
        <w:t xml:space="preserve"> (WG, 2013)</w:t>
      </w:r>
      <w:r w:rsidR="00DA1A3D">
        <w:rPr>
          <w:sz w:val="22"/>
        </w:rPr>
        <w:t xml:space="preserve">. The Literacy and Numeracy Framework (LNF) (2015) was created by Welsh Government as a resource to enable teachers to integrate both areas into all </w:t>
      </w:r>
      <w:r w:rsidR="00301F2E">
        <w:rPr>
          <w:sz w:val="22"/>
        </w:rPr>
        <w:t>areas</w:t>
      </w:r>
      <w:r w:rsidR="00DA1A3D">
        <w:rPr>
          <w:sz w:val="22"/>
        </w:rPr>
        <w:t xml:space="preserve"> to </w:t>
      </w:r>
      <w:r w:rsidR="00301F2E">
        <w:rPr>
          <w:sz w:val="22"/>
        </w:rPr>
        <w:t xml:space="preserve">raise </w:t>
      </w:r>
      <w:r w:rsidR="00DA1A3D">
        <w:rPr>
          <w:sz w:val="22"/>
        </w:rPr>
        <w:t xml:space="preserve">standards. Similarly, </w:t>
      </w:r>
      <w:r w:rsidR="00DF5034">
        <w:rPr>
          <w:sz w:val="22"/>
        </w:rPr>
        <w:t>Welsh Government developed a Digital Competence framework</w:t>
      </w:r>
      <w:r w:rsidR="00301F2E">
        <w:rPr>
          <w:sz w:val="22"/>
        </w:rPr>
        <w:t xml:space="preserve"> (DCF)</w:t>
      </w:r>
      <w:r w:rsidR="00DF5034">
        <w:rPr>
          <w:sz w:val="22"/>
        </w:rPr>
        <w:t xml:space="preserve"> (2015) to ensure all children are competent with ICT. </w:t>
      </w:r>
      <w:r w:rsidR="00DA1A3D">
        <w:rPr>
          <w:sz w:val="22"/>
        </w:rPr>
        <w:t>Estyn (2018) report that Literacy, Numeracy and ICT Skills are</w:t>
      </w:r>
      <w:r w:rsidR="00DF5034">
        <w:rPr>
          <w:sz w:val="22"/>
        </w:rPr>
        <w:t xml:space="preserve"> </w:t>
      </w:r>
      <w:r w:rsidR="00DA1A3D">
        <w:rPr>
          <w:sz w:val="22"/>
        </w:rPr>
        <w:t xml:space="preserve">developed well in </w:t>
      </w:r>
      <w:r w:rsidR="00DF5034">
        <w:rPr>
          <w:sz w:val="22"/>
        </w:rPr>
        <w:t xml:space="preserve">most </w:t>
      </w:r>
      <w:r w:rsidR="00DA1A3D">
        <w:rPr>
          <w:sz w:val="22"/>
        </w:rPr>
        <w:t>schools</w:t>
      </w:r>
      <w:r w:rsidR="00DF5034">
        <w:rPr>
          <w:sz w:val="22"/>
        </w:rPr>
        <w:t xml:space="preserve"> but often there can be a wide range of ability</w:t>
      </w:r>
      <w:r w:rsidR="00DA1A3D">
        <w:rPr>
          <w:sz w:val="22"/>
        </w:rPr>
        <w:t>. The</w:t>
      </w:r>
      <w:r w:rsidR="00DF5034">
        <w:rPr>
          <w:sz w:val="22"/>
        </w:rPr>
        <w:t xml:space="preserve">y </w:t>
      </w:r>
      <w:r w:rsidR="00DA1A3D">
        <w:rPr>
          <w:sz w:val="22"/>
        </w:rPr>
        <w:t>focus quite heavily in the report on these areas as they are already regarded important</w:t>
      </w:r>
      <w:r w:rsidR="00DF5034">
        <w:rPr>
          <w:sz w:val="22"/>
        </w:rPr>
        <w:t xml:space="preserve">, but Digital Competence has only become a priority recently due to the </w:t>
      </w:r>
      <w:r w:rsidR="005F40F8">
        <w:rPr>
          <w:sz w:val="22"/>
        </w:rPr>
        <w:t xml:space="preserve">ICT Steering Group’s review (2013) highlighting </w:t>
      </w:r>
      <w:r w:rsidR="00C87091">
        <w:rPr>
          <w:sz w:val="22"/>
        </w:rPr>
        <w:t>its</w:t>
      </w:r>
      <w:r w:rsidR="005F40F8">
        <w:rPr>
          <w:sz w:val="22"/>
        </w:rPr>
        <w:t xml:space="preserve"> importance in daily life and the requirement for more support for children. One of Donaldson’s Four Purposes is to create “Enterprising, Creative Contributors who are ready to play a full part in life and work” (Donaldson, 2015). The World Economic Forum (2018) support this, claiming that </w:t>
      </w:r>
      <w:r w:rsidR="0043458E">
        <w:rPr>
          <w:sz w:val="22"/>
        </w:rPr>
        <w:t xml:space="preserve">we need to educate our children for jobs that do not currently exist due to the rapid pace of technology development. </w:t>
      </w:r>
      <w:r w:rsidR="000835EC">
        <w:rPr>
          <w:sz w:val="22"/>
        </w:rPr>
        <w:t xml:space="preserve">Moreover, The Institute for the Future (IFF) and </w:t>
      </w:r>
      <w:r w:rsidR="00CD367D">
        <w:rPr>
          <w:sz w:val="22"/>
        </w:rPr>
        <w:t xml:space="preserve">Dell (2017), reported that 85% of the jobs </w:t>
      </w:r>
      <w:r w:rsidR="00301F2E">
        <w:rPr>
          <w:sz w:val="22"/>
        </w:rPr>
        <w:t xml:space="preserve">available </w:t>
      </w:r>
      <w:r w:rsidR="00CD367D">
        <w:rPr>
          <w:sz w:val="22"/>
        </w:rPr>
        <w:t xml:space="preserve">in 2030 are not yet created. However, some critics say that this is not the case and that it unknown what jobs will be created and that </w:t>
      </w:r>
      <w:r w:rsidR="00301F2E">
        <w:rPr>
          <w:sz w:val="22"/>
        </w:rPr>
        <w:t xml:space="preserve">the current skills taught </w:t>
      </w:r>
      <w:r w:rsidR="00CD367D">
        <w:rPr>
          <w:sz w:val="22"/>
        </w:rPr>
        <w:t>still ha</w:t>
      </w:r>
      <w:r w:rsidR="00301F2E">
        <w:rPr>
          <w:sz w:val="22"/>
        </w:rPr>
        <w:t>ve</w:t>
      </w:r>
      <w:r w:rsidR="00CD367D">
        <w:rPr>
          <w:sz w:val="22"/>
        </w:rPr>
        <w:t xml:space="preserve"> value for general life (Newton, 2018; Peal, 2015). Personally, I believe that there will be a considerable number of new jobs will be created in the future, however whether they will be created by 2030 and whether they will make up 85% is unlikely. Therefore, I think we should still teach the children basic skills and knowledge and develop their ability using Literacy, Maths and Technology by creating a deep understanding and proficiency to apply skills in new contexts.</w:t>
      </w:r>
      <w:r w:rsidR="0073675C">
        <w:rPr>
          <w:sz w:val="22"/>
        </w:rPr>
        <w:t xml:space="preserve"> Unfortunately, through time on PTE I have seen evidence of too much focus on Literacy and Numeracy within schools, leaving little time for any other areas of learning/subject skills to be developed. This has been recognised in England with a senior member of Ofsted (2014)</w:t>
      </w:r>
      <w:r w:rsidR="00D570AE">
        <w:rPr>
          <w:sz w:val="22"/>
        </w:rPr>
        <w:t xml:space="preserve">, as well as the </w:t>
      </w:r>
      <w:r w:rsidR="0073675C">
        <w:rPr>
          <w:sz w:val="22"/>
        </w:rPr>
        <w:t xml:space="preserve">National </w:t>
      </w:r>
      <w:r w:rsidR="00D570AE">
        <w:rPr>
          <w:sz w:val="22"/>
        </w:rPr>
        <w:t xml:space="preserve">Education Union (2016), whose survey found that 97% of teachers asked </w:t>
      </w:r>
      <w:r w:rsidR="00EB7E31">
        <w:rPr>
          <w:sz w:val="22"/>
        </w:rPr>
        <w:t xml:space="preserve">believed </w:t>
      </w:r>
      <w:r w:rsidR="00D570AE">
        <w:rPr>
          <w:sz w:val="22"/>
        </w:rPr>
        <w:t xml:space="preserve">that Numeracy and Literacy tests enforced by the Government prevent children accessing a broad curriculum with a range of subjects and skills. </w:t>
      </w:r>
      <w:r w:rsidR="00E60AAC">
        <w:rPr>
          <w:sz w:val="22"/>
        </w:rPr>
        <w:t>This displays that children are not always able to access all subjects due to pressure on schools to ensure Literacy and Numeracy progression in order to achieve well in Government tests. On PTE, in both Foundation Phase and Key Stage 2</w:t>
      </w:r>
      <w:r w:rsidR="000776D6">
        <w:rPr>
          <w:sz w:val="22"/>
        </w:rPr>
        <w:t>,</w:t>
      </w:r>
      <w:r w:rsidR="00E60AAC">
        <w:rPr>
          <w:sz w:val="22"/>
        </w:rPr>
        <w:t xml:space="preserve"> I witness</w:t>
      </w:r>
      <w:r w:rsidR="000776D6">
        <w:rPr>
          <w:sz w:val="22"/>
        </w:rPr>
        <w:t>ed that</w:t>
      </w:r>
      <w:r w:rsidR="00E60AAC">
        <w:rPr>
          <w:sz w:val="22"/>
        </w:rPr>
        <w:t xml:space="preserve"> everyday consist</w:t>
      </w:r>
      <w:r w:rsidR="000776D6">
        <w:rPr>
          <w:sz w:val="22"/>
        </w:rPr>
        <w:t>ed</w:t>
      </w:r>
      <w:r w:rsidR="00E60AAC">
        <w:rPr>
          <w:sz w:val="22"/>
        </w:rPr>
        <w:t xml:space="preserve"> of Maths and Literacy</w:t>
      </w:r>
      <w:r w:rsidR="000776D6">
        <w:rPr>
          <w:sz w:val="22"/>
        </w:rPr>
        <w:t xml:space="preserve"> mainly</w:t>
      </w:r>
      <w:r w:rsidR="00E60AAC">
        <w:rPr>
          <w:sz w:val="22"/>
        </w:rPr>
        <w:t xml:space="preserve">, with </w:t>
      </w:r>
      <w:r w:rsidR="00DF52B9">
        <w:rPr>
          <w:sz w:val="22"/>
        </w:rPr>
        <w:t>other areas of the curriculum being covered either weekly or when</w:t>
      </w:r>
      <w:r w:rsidR="000776D6">
        <w:rPr>
          <w:sz w:val="22"/>
        </w:rPr>
        <w:t>ever</w:t>
      </w:r>
      <w:r w:rsidR="00DF52B9">
        <w:rPr>
          <w:sz w:val="22"/>
        </w:rPr>
        <w:t xml:space="preserve"> there was an opportunity. These skills may have been developed in different contexts, linking with other subjects/areas, </w:t>
      </w:r>
      <w:r w:rsidR="00301F2E">
        <w:rPr>
          <w:sz w:val="22"/>
        </w:rPr>
        <w:t xml:space="preserve">but </w:t>
      </w:r>
      <w:r w:rsidR="00DF52B9">
        <w:rPr>
          <w:sz w:val="22"/>
        </w:rPr>
        <w:t xml:space="preserve">the main focus </w:t>
      </w:r>
      <w:r w:rsidR="000776D6">
        <w:rPr>
          <w:sz w:val="22"/>
        </w:rPr>
        <w:t xml:space="preserve">and skill development </w:t>
      </w:r>
      <w:r w:rsidR="00DF52B9">
        <w:rPr>
          <w:sz w:val="22"/>
        </w:rPr>
        <w:t xml:space="preserve">still </w:t>
      </w:r>
      <w:r w:rsidR="000776D6">
        <w:rPr>
          <w:sz w:val="22"/>
        </w:rPr>
        <w:t xml:space="preserve">lay with </w:t>
      </w:r>
      <w:r w:rsidR="00DF52B9">
        <w:rPr>
          <w:sz w:val="22"/>
        </w:rPr>
        <w:t xml:space="preserve">the </w:t>
      </w:r>
      <w:r w:rsidR="00DF52B9">
        <w:rPr>
          <w:sz w:val="22"/>
        </w:rPr>
        <w:lastRenderedPageBreak/>
        <w:t>core subjects. Although both Literacy and Numeracy are important, it seems other subjects and the skills that go alongside</w:t>
      </w:r>
      <w:r w:rsidR="00301F2E">
        <w:rPr>
          <w:sz w:val="22"/>
        </w:rPr>
        <w:t xml:space="preserve"> them</w:t>
      </w:r>
      <w:r w:rsidR="00DF52B9">
        <w:rPr>
          <w:sz w:val="22"/>
        </w:rPr>
        <w:t xml:space="preserve"> are </w:t>
      </w:r>
      <w:r w:rsidR="00301F2E">
        <w:rPr>
          <w:sz w:val="22"/>
        </w:rPr>
        <w:t xml:space="preserve">overshadowed </w:t>
      </w:r>
      <w:r w:rsidR="00DF52B9">
        <w:rPr>
          <w:sz w:val="22"/>
        </w:rPr>
        <w:t>by the core subjects. However, Welsh Government (2013) state that due to Welsh standards of Literacy being less than the rest of the U.K, it is important to ensure all can be done to raise standards to ensure children are presented with the best opportunities. No similar tests have been implemented for Digital Competence, but Donaldson (2015) does want</w:t>
      </w:r>
      <w:r w:rsidR="000762ED">
        <w:rPr>
          <w:sz w:val="22"/>
        </w:rPr>
        <w:t xml:space="preserve"> to introduce a progression framework with explicit links to other subjects to ensure development, which may be a better way of measuring competence. Donaldson (2015) has set these as Cross-Curricular Responsibilities to attempt to broaden the curriculum and ensure that children are meeting skills in all areas</w:t>
      </w:r>
      <w:r w:rsidR="00F312AA">
        <w:rPr>
          <w:sz w:val="22"/>
        </w:rPr>
        <w:t>. H</w:t>
      </w:r>
      <w:r w:rsidR="000762ED">
        <w:rPr>
          <w:sz w:val="22"/>
        </w:rPr>
        <w:t>owever</w:t>
      </w:r>
      <w:r w:rsidR="00F312AA">
        <w:rPr>
          <w:sz w:val="22"/>
        </w:rPr>
        <w:t>,</w:t>
      </w:r>
      <w:r w:rsidR="000762ED">
        <w:rPr>
          <w:sz w:val="22"/>
        </w:rPr>
        <w:t xml:space="preserve"> </w:t>
      </w:r>
      <w:r w:rsidR="000776D6">
        <w:rPr>
          <w:sz w:val="22"/>
        </w:rPr>
        <w:t xml:space="preserve">there is a risk with Literacy and Numeracy being used across the curriculum that skills relating to them both are the focus of the activities, to improve standards, rather than developing them alongside the other </w:t>
      </w:r>
      <w:r w:rsidR="00C87091">
        <w:rPr>
          <w:sz w:val="22"/>
        </w:rPr>
        <w:t>area’s</w:t>
      </w:r>
      <w:r w:rsidR="000776D6">
        <w:rPr>
          <w:sz w:val="22"/>
        </w:rPr>
        <w:t xml:space="preserve"> skills</w:t>
      </w:r>
      <w:r w:rsidR="000762ED">
        <w:rPr>
          <w:sz w:val="22"/>
        </w:rPr>
        <w:t>, as I have experienced on PTE and has been in the past. Thus, Donaldson’s (2015) recommendation of highlight</w:t>
      </w:r>
      <w:r w:rsidR="00301F2E">
        <w:rPr>
          <w:sz w:val="22"/>
        </w:rPr>
        <w:t>ing</w:t>
      </w:r>
      <w:r w:rsidR="000762ED">
        <w:rPr>
          <w:sz w:val="22"/>
        </w:rPr>
        <w:t xml:space="preserve"> connections between the Responsibilities and other Area of Learning Experiences </w:t>
      </w:r>
      <w:r w:rsidR="00217DAA">
        <w:rPr>
          <w:sz w:val="22"/>
        </w:rPr>
        <w:t xml:space="preserve">(AoLE) </w:t>
      </w:r>
      <w:r w:rsidR="000762ED">
        <w:rPr>
          <w:sz w:val="22"/>
        </w:rPr>
        <w:t>may be a way of ensuring all skills are covered</w:t>
      </w:r>
      <w:r w:rsidR="000776D6">
        <w:rPr>
          <w:sz w:val="22"/>
        </w:rPr>
        <w:t xml:space="preserve"> but I believe regular observations and collected evidence would be necessary in ensuring that it is being used as a Cross-Curricular Responsibility rather than purely developing Literacy, Numeracy or Digital Competency solely in a different context. </w:t>
      </w:r>
    </w:p>
    <w:p w:rsidR="00217DAA" w:rsidRDefault="00217DAA" w:rsidP="00D359DD">
      <w:pPr>
        <w:pStyle w:val="NormalWeb"/>
        <w:spacing w:line="360" w:lineRule="auto"/>
        <w:rPr>
          <w:sz w:val="22"/>
        </w:rPr>
      </w:pPr>
      <w:r>
        <w:rPr>
          <w:sz w:val="22"/>
        </w:rPr>
        <w:t xml:space="preserve">In addition, the suggestion that these three </w:t>
      </w:r>
      <w:r w:rsidR="0052230E">
        <w:rPr>
          <w:sz w:val="22"/>
        </w:rPr>
        <w:t>r</w:t>
      </w:r>
      <w:r>
        <w:rPr>
          <w:sz w:val="22"/>
        </w:rPr>
        <w:t xml:space="preserve">esponsibilities should be developed in each AoLE implies that each teacher has to have an exceptional amount of subject knowledge in order to deliver it explicitly and implicitly in different contexts. </w:t>
      </w:r>
      <w:r w:rsidR="000A39B6">
        <w:rPr>
          <w:sz w:val="22"/>
        </w:rPr>
        <w:t>Metzler and Woessman (2010) found that teacher’s subject knowledge and their application of their knowledge has a significant impact on their pupils’ achievement. McNamara (1</w:t>
      </w:r>
      <w:r w:rsidR="00CA622A">
        <w:rPr>
          <w:sz w:val="22"/>
        </w:rPr>
        <w:t>991) supports this</w:t>
      </w:r>
      <w:r w:rsidR="0052230E">
        <w:rPr>
          <w:sz w:val="22"/>
        </w:rPr>
        <w:t xml:space="preserve">, </w:t>
      </w:r>
      <w:r w:rsidR="00CA622A">
        <w:rPr>
          <w:sz w:val="22"/>
        </w:rPr>
        <w:t xml:space="preserve">claiming that subject knowledge also impacts the standard of teaching, which then affects pupil performance. </w:t>
      </w:r>
      <w:r w:rsidR="004667CA">
        <w:rPr>
          <w:sz w:val="22"/>
        </w:rPr>
        <w:t xml:space="preserve">Donaldson (2015) </w:t>
      </w:r>
      <w:r w:rsidR="003E5E1B">
        <w:rPr>
          <w:sz w:val="22"/>
        </w:rPr>
        <w:t xml:space="preserve">established one of his Pedagogical Principles as making links across all AoLE, so in accordance to his recommendations having good subject knowledge to deliver a Cross-Curricular approach is paramount to </w:t>
      </w:r>
      <w:r w:rsidR="00C87091">
        <w:rPr>
          <w:sz w:val="22"/>
        </w:rPr>
        <w:t>be</w:t>
      </w:r>
      <w:r w:rsidR="003E5E1B">
        <w:rPr>
          <w:sz w:val="22"/>
        </w:rPr>
        <w:t xml:space="preserve"> a successful teacher. </w:t>
      </w:r>
      <w:r w:rsidR="00CA622A">
        <w:rPr>
          <w:sz w:val="22"/>
        </w:rPr>
        <w:t xml:space="preserve">This is </w:t>
      </w:r>
      <w:r w:rsidR="00C87091">
        <w:rPr>
          <w:sz w:val="22"/>
        </w:rPr>
        <w:t>understandable;</w:t>
      </w:r>
      <w:r w:rsidR="00CA622A">
        <w:rPr>
          <w:sz w:val="22"/>
        </w:rPr>
        <w:t xml:space="preserve"> </w:t>
      </w:r>
      <w:r w:rsidR="00C87091">
        <w:rPr>
          <w:sz w:val="22"/>
        </w:rPr>
        <w:t>however,</w:t>
      </w:r>
      <w:r w:rsidR="00CA622A">
        <w:rPr>
          <w:sz w:val="22"/>
        </w:rPr>
        <w:t xml:space="preserve"> it can be questioned whether it is realistic to assume that all teachers will have sufficient subject knowledge in </w:t>
      </w:r>
      <w:r w:rsidR="0052230E">
        <w:rPr>
          <w:sz w:val="22"/>
        </w:rPr>
        <w:t>all aspects</w:t>
      </w:r>
      <w:r w:rsidR="00CA622A">
        <w:rPr>
          <w:sz w:val="22"/>
        </w:rPr>
        <w:t xml:space="preserve"> </w:t>
      </w:r>
      <w:r w:rsidR="0052230E">
        <w:rPr>
          <w:sz w:val="22"/>
        </w:rPr>
        <w:t>of</w:t>
      </w:r>
      <w:r w:rsidR="00CA622A">
        <w:rPr>
          <w:sz w:val="22"/>
        </w:rPr>
        <w:t xml:space="preserve"> each AoLE, especially considering that the </w:t>
      </w:r>
      <w:r w:rsidR="00712FEB">
        <w:rPr>
          <w:sz w:val="22"/>
        </w:rPr>
        <w:t xml:space="preserve">new </w:t>
      </w:r>
      <w:r w:rsidR="00CA622A">
        <w:rPr>
          <w:sz w:val="22"/>
        </w:rPr>
        <w:t>curriculum i</w:t>
      </w:r>
      <w:r w:rsidR="00712FEB">
        <w:rPr>
          <w:sz w:val="22"/>
        </w:rPr>
        <w:t>ncludes new areas</w:t>
      </w:r>
      <w:r w:rsidR="0052230E">
        <w:rPr>
          <w:sz w:val="22"/>
        </w:rPr>
        <w:t xml:space="preserve"> that more experienced teachers may be unfamiliar with</w:t>
      </w:r>
      <w:r w:rsidR="00CA622A">
        <w:rPr>
          <w:sz w:val="22"/>
        </w:rPr>
        <w:t xml:space="preserve">. PTE has shown me that often specific teachers co-ordinate the learning for certain subjects across the school, referred to as subject co-ordinator/leader. </w:t>
      </w:r>
      <w:r w:rsidR="00712FEB">
        <w:rPr>
          <w:sz w:val="22"/>
        </w:rPr>
        <w:t xml:space="preserve">Whitty, Rowe and Aggleton (1994) found that a lack of experience with cross-curricular and an insufficient subject knowledge in all areas meant that teachers felt unwilling to use this approach and found that too often one of the aims </w:t>
      </w:r>
      <w:r w:rsidR="0052230E">
        <w:rPr>
          <w:sz w:val="22"/>
        </w:rPr>
        <w:t xml:space="preserve">for </w:t>
      </w:r>
      <w:r w:rsidR="00712FEB">
        <w:rPr>
          <w:sz w:val="22"/>
        </w:rPr>
        <w:t>development i</w:t>
      </w:r>
      <w:r w:rsidR="0052230E">
        <w:rPr>
          <w:sz w:val="22"/>
        </w:rPr>
        <w:t>s</w:t>
      </w:r>
      <w:r w:rsidR="00712FEB">
        <w:rPr>
          <w:sz w:val="22"/>
        </w:rPr>
        <w:t xml:space="preserve"> foregrounded rather than </w:t>
      </w:r>
      <w:r w:rsidR="0052230E">
        <w:rPr>
          <w:sz w:val="22"/>
        </w:rPr>
        <w:t>it being developed equally</w:t>
      </w:r>
      <w:r w:rsidR="00712FEB">
        <w:rPr>
          <w:sz w:val="22"/>
        </w:rPr>
        <w:t xml:space="preserve">. This may continue into the new curriculum as teachers may lack confidence in integrating two subjects they do not have extensive knowledge in, but then may place too much focus on the subject they co-ordinate, leading to an </w:t>
      </w:r>
      <w:r w:rsidR="00B875D1">
        <w:rPr>
          <w:sz w:val="22"/>
        </w:rPr>
        <w:t>u</w:t>
      </w:r>
      <w:r w:rsidR="00712FEB">
        <w:rPr>
          <w:sz w:val="22"/>
        </w:rPr>
        <w:t xml:space="preserve">nbalanced curriculum again. </w:t>
      </w:r>
      <w:r w:rsidR="003E5E1B">
        <w:rPr>
          <w:sz w:val="22"/>
        </w:rPr>
        <w:t xml:space="preserve">Estyn (2018) report that teachers still do not always have clear and precise ideas of the skills that are aimed to be </w:t>
      </w:r>
      <w:r w:rsidR="00C87091">
        <w:rPr>
          <w:sz w:val="22"/>
        </w:rPr>
        <w:t>developed and</w:t>
      </w:r>
      <w:r w:rsidR="003E5E1B">
        <w:rPr>
          <w:sz w:val="22"/>
        </w:rPr>
        <w:t xml:space="preserve"> claim that all three of the responsibilities </w:t>
      </w:r>
      <w:r w:rsidR="003E5E1B">
        <w:rPr>
          <w:sz w:val="22"/>
        </w:rPr>
        <w:lastRenderedPageBreak/>
        <w:t xml:space="preserve">need to be better planned in some schools. This reports findings suggests that all schools have not yet grasped how to effectively plan for skill development, including in Literacy, Numeracy and Digital Competence, </w:t>
      </w:r>
      <w:r w:rsidR="00A733A3">
        <w:rPr>
          <w:sz w:val="22"/>
        </w:rPr>
        <w:t xml:space="preserve">despite Literacy and Numeracy being a priority for some time. This raises the question whether schools are </w:t>
      </w:r>
      <w:r w:rsidR="00F52FC8">
        <w:rPr>
          <w:sz w:val="22"/>
        </w:rPr>
        <w:t xml:space="preserve">prepared </w:t>
      </w:r>
      <w:r w:rsidR="00A733A3">
        <w:rPr>
          <w:sz w:val="22"/>
        </w:rPr>
        <w:t>develop additional skills in sessions that have the responsibilities integrated. Although teachers have had experience with teaching Literacy and Numeracy in a variety of contexts</w:t>
      </w:r>
      <w:r w:rsidR="0052230E">
        <w:rPr>
          <w:sz w:val="22"/>
        </w:rPr>
        <w:t>,</w:t>
      </w:r>
      <w:r w:rsidR="00A733A3">
        <w:rPr>
          <w:sz w:val="22"/>
        </w:rPr>
        <w:t xml:space="preserve"> which may help</w:t>
      </w:r>
      <w:r w:rsidR="0052230E">
        <w:rPr>
          <w:sz w:val="22"/>
        </w:rPr>
        <w:t xml:space="preserve"> them moving forward</w:t>
      </w:r>
      <w:r w:rsidR="00A733A3">
        <w:rPr>
          <w:sz w:val="22"/>
        </w:rPr>
        <w:t xml:space="preserve">, due to Digital Competence’s new and ever-changing nature Baroness Morgan </w:t>
      </w:r>
      <w:r w:rsidR="003D378D">
        <w:rPr>
          <w:sz w:val="22"/>
        </w:rPr>
        <w:t xml:space="preserve">and Parliament </w:t>
      </w:r>
      <w:r w:rsidR="00A733A3">
        <w:rPr>
          <w:sz w:val="22"/>
        </w:rPr>
        <w:t xml:space="preserve">(2016) </w:t>
      </w:r>
      <w:r w:rsidR="003D378D">
        <w:rPr>
          <w:sz w:val="22"/>
        </w:rPr>
        <w:t xml:space="preserve">claimed </w:t>
      </w:r>
      <w:r w:rsidR="00A733A3">
        <w:rPr>
          <w:sz w:val="22"/>
        </w:rPr>
        <w:t xml:space="preserve">that </w:t>
      </w:r>
      <w:r w:rsidR="003D378D">
        <w:rPr>
          <w:sz w:val="22"/>
        </w:rPr>
        <w:t xml:space="preserve">educators are not confident and adequately prepared to teach Digital Competence to learners and that action is needed. This is evident from my time on PTE, Digital Competence was rarely integrated into lessons effectively outside Numeracy sessions and was often just resorted to as an independent activity playing topic-related games. Therefore, this suggests that teachers may not be properly prepared for these three responsibilities and have the required subject knowledge in all areas to integrate them successfully whilst attaining a clear understanding of the </w:t>
      </w:r>
      <w:r w:rsidR="001467ED">
        <w:rPr>
          <w:sz w:val="22"/>
        </w:rPr>
        <w:t xml:space="preserve">skills aimed to be developed. </w:t>
      </w:r>
    </w:p>
    <w:p w:rsidR="00FB314F" w:rsidRDefault="00FB314F" w:rsidP="00D359DD">
      <w:pPr>
        <w:pStyle w:val="NormalWeb"/>
        <w:spacing w:line="360" w:lineRule="auto"/>
        <w:rPr>
          <w:sz w:val="22"/>
        </w:rPr>
      </w:pPr>
      <w:r>
        <w:rPr>
          <w:sz w:val="22"/>
        </w:rPr>
        <w:t xml:space="preserve">Furthermore, using Cross-Curricular strategies integrating Literacy, Numeracy and Digital Competence as the three responsibilities </w:t>
      </w:r>
      <w:r w:rsidR="005A663B">
        <w:rPr>
          <w:sz w:val="22"/>
        </w:rPr>
        <w:t xml:space="preserve">of the curriculum </w:t>
      </w:r>
      <w:r>
        <w:rPr>
          <w:sz w:val="22"/>
        </w:rPr>
        <w:t xml:space="preserve">could mean that several skills are set to be developed within one lesson. </w:t>
      </w:r>
      <w:r w:rsidR="00B8081F">
        <w:rPr>
          <w:sz w:val="22"/>
        </w:rPr>
        <w:t xml:space="preserve">This, however, </w:t>
      </w:r>
      <w:r w:rsidR="005A663B">
        <w:rPr>
          <w:sz w:val="22"/>
        </w:rPr>
        <w:t xml:space="preserve">may </w:t>
      </w:r>
      <w:r w:rsidR="003E0F80">
        <w:rPr>
          <w:sz w:val="22"/>
        </w:rPr>
        <w:t>complicate</w:t>
      </w:r>
      <w:r w:rsidR="005A663B">
        <w:rPr>
          <w:sz w:val="22"/>
        </w:rPr>
        <w:t xml:space="preserve"> </w:t>
      </w:r>
      <w:r w:rsidR="003E0F80">
        <w:rPr>
          <w:sz w:val="22"/>
        </w:rPr>
        <w:t xml:space="preserve">the monitoring and assessment after every piece of work as it may be unclear what the teacher is marking the work or activity against. </w:t>
      </w:r>
      <w:r w:rsidR="00783A0D">
        <w:rPr>
          <w:sz w:val="22"/>
        </w:rPr>
        <w:t xml:space="preserve">Donaldson (2015) suggests clear Outcomes and Progression Steps linked to the purposes of the curriculum </w:t>
      </w:r>
      <w:r w:rsidR="005F21AE">
        <w:rPr>
          <w:sz w:val="22"/>
        </w:rPr>
        <w:t xml:space="preserve">and each AoLE specifically </w:t>
      </w:r>
      <w:r w:rsidR="00783A0D">
        <w:rPr>
          <w:sz w:val="22"/>
        </w:rPr>
        <w:t>would be the most effective way of assessing pupils’ work</w:t>
      </w:r>
      <w:r w:rsidR="005F21AE">
        <w:rPr>
          <w:sz w:val="22"/>
        </w:rPr>
        <w:t xml:space="preserve">. In addition, he states that school reports should provide a detailed explanation of the child’s progress in each AoLE and Cross-Curricular Responsibility, outlining what stage they are at and what they need to do to progress. </w:t>
      </w:r>
      <w:r w:rsidR="00D574F7">
        <w:rPr>
          <w:sz w:val="22"/>
        </w:rPr>
        <w:t xml:space="preserve">The progression steps are similar to the </w:t>
      </w:r>
      <w:r w:rsidR="00ED3914">
        <w:rPr>
          <w:sz w:val="22"/>
        </w:rPr>
        <w:t>Norwegian</w:t>
      </w:r>
      <w:r w:rsidR="00D574F7">
        <w:rPr>
          <w:sz w:val="22"/>
        </w:rPr>
        <w:t xml:space="preserve"> style of assessing via a scale, as explained by </w:t>
      </w:r>
      <w:r w:rsidR="005B7FED">
        <w:rPr>
          <w:sz w:val="22"/>
        </w:rPr>
        <w:t>Evensen</w:t>
      </w:r>
      <w:r w:rsidR="00D574F7">
        <w:rPr>
          <w:sz w:val="22"/>
        </w:rPr>
        <w:t xml:space="preserve"> et al. (201</w:t>
      </w:r>
      <w:r w:rsidR="005B7FED">
        <w:rPr>
          <w:sz w:val="22"/>
        </w:rPr>
        <w:t>6). They claim that effective marking is where individual aspects of work is assessed according to a ‘st</w:t>
      </w:r>
      <w:r w:rsidR="00BE0A09">
        <w:rPr>
          <w:sz w:val="22"/>
        </w:rPr>
        <w:t>age</w:t>
      </w:r>
      <w:r w:rsidR="005B7FED">
        <w:rPr>
          <w:sz w:val="22"/>
        </w:rPr>
        <w:t xml:space="preserve">’ </w:t>
      </w:r>
      <w:r w:rsidR="00D87095">
        <w:rPr>
          <w:sz w:val="22"/>
        </w:rPr>
        <w:t xml:space="preserve">in the assessment process, similar to Progression Steps. They insist </w:t>
      </w:r>
      <w:r w:rsidR="00BE0A09">
        <w:rPr>
          <w:sz w:val="22"/>
        </w:rPr>
        <w:t xml:space="preserve">it </w:t>
      </w:r>
      <w:r w:rsidR="00D87095">
        <w:rPr>
          <w:sz w:val="22"/>
        </w:rPr>
        <w:t xml:space="preserve">is a more beneficial and accurate method than assessing a piece of work holistically, which as I have experienced on PTE, is often the case. </w:t>
      </w:r>
      <w:r w:rsidR="005F21AE">
        <w:rPr>
          <w:sz w:val="22"/>
        </w:rPr>
        <w:t xml:space="preserve">However, the review </w:t>
      </w:r>
      <w:r w:rsidR="004C7EAD">
        <w:rPr>
          <w:sz w:val="22"/>
        </w:rPr>
        <w:t>of</w:t>
      </w:r>
      <w:r w:rsidR="005F21AE">
        <w:rPr>
          <w:sz w:val="22"/>
        </w:rPr>
        <w:t xml:space="preserve"> Donaldson’s first draft of the curriculum </w:t>
      </w:r>
      <w:r w:rsidR="004C7EAD">
        <w:rPr>
          <w:sz w:val="22"/>
        </w:rPr>
        <w:t xml:space="preserve">by professionals </w:t>
      </w:r>
      <w:r w:rsidR="005F21AE">
        <w:rPr>
          <w:sz w:val="22"/>
        </w:rPr>
        <w:t xml:space="preserve">(2019) exclaim that, although they support his suggestions, the ‘improved’ assessment system is not detailed enough for schools to follow and would take a lot of work in order for it to be implemented </w:t>
      </w:r>
      <w:r w:rsidR="00F52FC8">
        <w:rPr>
          <w:sz w:val="22"/>
        </w:rPr>
        <w:t xml:space="preserve">and followed </w:t>
      </w:r>
      <w:r w:rsidR="005F21AE">
        <w:rPr>
          <w:sz w:val="22"/>
        </w:rPr>
        <w:t xml:space="preserve">successfully. </w:t>
      </w:r>
      <w:r w:rsidR="006B7959">
        <w:rPr>
          <w:sz w:val="22"/>
        </w:rPr>
        <w:t xml:space="preserve">Successful Futures (2015) also fails to explain to what extent these responsibilities must be included in order to meet the target, for example: whether discussion between peers is enough to claim </w:t>
      </w:r>
      <w:r w:rsidR="0024653F">
        <w:rPr>
          <w:sz w:val="22"/>
        </w:rPr>
        <w:t xml:space="preserve">Literacy has been included in an Expressive Arts lesson, and how each skill can be assessed. </w:t>
      </w:r>
      <w:r w:rsidR="0030017C">
        <w:rPr>
          <w:sz w:val="22"/>
        </w:rPr>
        <w:t xml:space="preserve">During my time on PTE, I was told to focus on one skill from the curriculum </w:t>
      </w:r>
      <w:r w:rsidR="00F52FC8">
        <w:rPr>
          <w:sz w:val="22"/>
        </w:rPr>
        <w:t xml:space="preserve">to </w:t>
      </w:r>
      <w:r w:rsidR="0030017C">
        <w:rPr>
          <w:sz w:val="22"/>
        </w:rPr>
        <w:t>develop rather than developing</w:t>
      </w:r>
      <w:r w:rsidR="00F52FC8">
        <w:rPr>
          <w:sz w:val="22"/>
        </w:rPr>
        <w:t xml:space="preserve"> numerous</w:t>
      </w:r>
      <w:r w:rsidR="0030017C">
        <w:rPr>
          <w:sz w:val="22"/>
        </w:rPr>
        <w:t xml:space="preserve"> skills from different areas of the curriculum. I was also informed by my class teacher and mentor within the school that simply explaining answers meets the Oracy strand of the LNF, however it is unknown whether this is what Donaldson will regard as meeting the Cross-Curricular Responsibility. </w:t>
      </w:r>
      <w:r w:rsidR="000B7C90">
        <w:rPr>
          <w:sz w:val="22"/>
        </w:rPr>
        <w:t xml:space="preserve">The </w:t>
      </w:r>
      <w:r w:rsidR="000B7C90">
        <w:rPr>
          <w:sz w:val="22"/>
        </w:rPr>
        <w:lastRenderedPageBreak/>
        <w:t>Northern Irish Curriculum (2013) mentions assessing Cross-Curricular skills but again fails to mention specific strategies to ensure it is done effectively, instead it states that teachers should assess</w:t>
      </w:r>
      <w:r w:rsidR="00ED3914">
        <w:rPr>
          <w:sz w:val="22"/>
        </w:rPr>
        <w:t xml:space="preserve"> frequently</w:t>
      </w:r>
      <w:r w:rsidR="000B7C90">
        <w:rPr>
          <w:sz w:val="22"/>
        </w:rPr>
        <w:t xml:space="preserve"> in both unfamiliar and familiar contexts to display the depth of their understandin</w:t>
      </w:r>
      <w:r w:rsidR="007A185E">
        <w:rPr>
          <w:sz w:val="22"/>
        </w:rPr>
        <w:t>g</w:t>
      </w:r>
      <w:r w:rsidR="000B7C90">
        <w:rPr>
          <w:sz w:val="22"/>
        </w:rPr>
        <w:t xml:space="preserve"> in all areas and “show the range of Cross-Curricular skills… that they have developed” (CCEA, 2013, p. 15). This implies that there may be no </w:t>
      </w:r>
      <w:r w:rsidR="00F52FC8">
        <w:rPr>
          <w:sz w:val="22"/>
        </w:rPr>
        <w:t xml:space="preserve">individual </w:t>
      </w:r>
      <w:r w:rsidR="000B7C90">
        <w:rPr>
          <w:sz w:val="22"/>
        </w:rPr>
        <w:t xml:space="preserve">way of assessing </w:t>
      </w:r>
      <w:r w:rsidR="00ED3914">
        <w:rPr>
          <w:sz w:val="22"/>
        </w:rPr>
        <w:t>C</w:t>
      </w:r>
      <w:r w:rsidR="000B7C90">
        <w:rPr>
          <w:sz w:val="22"/>
        </w:rPr>
        <w:t>ross-</w:t>
      </w:r>
      <w:r w:rsidR="00ED3914">
        <w:rPr>
          <w:sz w:val="22"/>
        </w:rPr>
        <w:t>C</w:t>
      </w:r>
      <w:r w:rsidR="000B7C90">
        <w:rPr>
          <w:sz w:val="22"/>
        </w:rPr>
        <w:t>urricular skills but instead</w:t>
      </w:r>
      <w:r w:rsidR="00D574F7">
        <w:rPr>
          <w:sz w:val="22"/>
        </w:rPr>
        <w:t xml:space="preserve"> the children </w:t>
      </w:r>
      <w:r w:rsidR="00F52FC8">
        <w:rPr>
          <w:sz w:val="22"/>
        </w:rPr>
        <w:t xml:space="preserve">are assessed </w:t>
      </w:r>
      <w:r w:rsidR="00D574F7">
        <w:rPr>
          <w:sz w:val="22"/>
        </w:rPr>
        <w:t>as normal and the skills you have aimed to develop</w:t>
      </w:r>
      <w:r w:rsidR="00F52FC8">
        <w:rPr>
          <w:sz w:val="22"/>
        </w:rPr>
        <w:t xml:space="preserve"> are searched for explicitly</w:t>
      </w:r>
      <w:r w:rsidR="00D574F7">
        <w:rPr>
          <w:sz w:val="22"/>
        </w:rPr>
        <w:t>.</w:t>
      </w:r>
      <w:r w:rsidR="007A185E">
        <w:rPr>
          <w:sz w:val="22"/>
        </w:rPr>
        <w:t xml:space="preserve"> Although, the CCEA (n/d) </w:t>
      </w:r>
      <w:r w:rsidR="00ED3914">
        <w:rPr>
          <w:sz w:val="22"/>
        </w:rPr>
        <w:t xml:space="preserve">elaborate on </w:t>
      </w:r>
      <w:r w:rsidR="007A185E">
        <w:rPr>
          <w:sz w:val="22"/>
        </w:rPr>
        <w:t xml:space="preserve">this </w:t>
      </w:r>
      <w:r w:rsidR="00ED3914">
        <w:rPr>
          <w:sz w:val="22"/>
        </w:rPr>
        <w:t xml:space="preserve">point, </w:t>
      </w:r>
      <w:r w:rsidR="007A185E">
        <w:rPr>
          <w:sz w:val="22"/>
        </w:rPr>
        <w:t xml:space="preserve">claiming </w:t>
      </w:r>
      <w:r w:rsidR="00ED3914">
        <w:rPr>
          <w:sz w:val="22"/>
        </w:rPr>
        <w:t xml:space="preserve">elsewhere </w:t>
      </w:r>
      <w:r w:rsidR="007A185E">
        <w:rPr>
          <w:sz w:val="22"/>
        </w:rPr>
        <w:t>that summative assessment, at the end of a piece of work, is the most prominent in Cross-Curricular</w:t>
      </w:r>
      <w:r w:rsidR="00D574F7">
        <w:rPr>
          <w:sz w:val="22"/>
        </w:rPr>
        <w:t xml:space="preserve"> </w:t>
      </w:r>
      <w:r w:rsidR="007A185E">
        <w:rPr>
          <w:sz w:val="22"/>
        </w:rPr>
        <w:t xml:space="preserve">learning as a teacher is able to establish a cumulative view on the skill development. </w:t>
      </w:r>
      <w:r w:rsidR="005F58F0">
        <w:rPr>
          <w:sz w:val="22"/>
        </w:rPr>
        <w:t>On the other hand, Everette (2018) claims that formative assessment is more effective across the curriculum as you are able to identify whether the aims are being met and therefore may change your instruction</w:t>
      </w:r>
      <w:r w:rsidR="00ED3914">
        <w:rPr>
          <w:sz w:val="22"/>
        </w:rPr>
        <w:t>s</w:t>
      </w:r>
      <w:r w:rsidR="005F58F0">
        <w:rPr>
          <w:sz w:val="22"/>
        </w:rPr>
        <w:t xml:space="preserve"> or explanation to ensure the child is meeting the target and developing the desired skills appropriately. </w:t>
      </w:r>
      <w:r w:rsidR="00ED3914">
        <w:rPr>
          <w:sz w:val="22"/>
        </w:rPr>
        <w:t xml:space="preserve">From experience, formative assessment is more often used in schools to ensure students are on task and are completing the activity correctly, where summative assessment allows the teacher to assess work in more depth and establish whether the skills had been met properly- generating individualised targets. </w:t>
      </w:r>
      <w:r w:rsidR="00D87095">
        <w:rPr>
          <w:sz w:val="22"/>
        </w:rPr>
        <w:t xml:space="preserve">Generally, it appears assessing a child’s Cross-Curricular development has no specific guideline, however research does show that clear stages underlining certain signs of development prove to be a more advantageous strategy than attempting to assess a piece of work as a whole. </w:t>
      </w:r>
      <w:r w:rsidR="00ED3914">
        <w:rPr>
          <w:sz w:val="22"/>
        </w:rPr>
        <w:t>T</w:t>
      </w:r>
      <w:r w:rsidR="00ED3914">
        <w:rPr>
          <w:sz w:val="22"/>
        </w:rPr>
        <w:t>he complexity of assessment therefore may be the reason no particular methods are mentioned by Donaldson.</w:t>
      </w:r>
    </w:p>
    <w:p w:rsidR="005F58F0" w:rsidRDefault="005F58F0" w:rsidP="00D359DD">
      <w:pPr>
        <w:pStyle w:val="NormalWeb"/>
        <w:spacing w:line="360" w:lineRule="auto"/>
        <w:rPr>
          <w:sz w:val="22"/>
        </w:rPr>
      </w:pPr>
      <w:r>
        <w:rPr>
          <w:sz w:val="22"/>
        </w:rPr>
        <w:t xml:space="preserve">To conclude, </w:t>
      </w:r>
      <w:r w:rsidR="00855682">
        <w:rPr>
          <w:sz w:val="22"/>
        </w:rPr>
        <w:t>Cross-Curricular teaching has been a controversial topic for decades due to its distance from traditional separated</w:t>
      </w:r>
      <w:r w:rsidR="00BE0A09">
        <w:rPr>
          <w:sz w:val="22"/>
        </w:rPr>
        <w:t>-</w:t>
      </w:r>
      <w:r w:rsidR="00855682">
        <w:rPr>
          <w:sz w:val="22"/>
        </w:rPr>
        <w:t>subject teaching. Although it appears in previous years</w:t>
      </w:r>
      <w:r w:rsidR="00BE0A09">
        <w:rPr>
          <w:sz w:val="22"/>
        </w:rPr>
        <w:t>,</w:t>
      </w:r>
      <w:r w:rsidR="00855682">
        <w:rPr>
          <w:sz w:val="22"/>
        </w:rPr>
        <w:t xml:space="preserve"> it may not have been the most effective method used in schools, blurring the line between knowledge and experience too much resulting in poor standards- I believe it is a positive statutory addition to the new curriculum- if delivered properly.</w:t>
      </w:r>
      <w:r w:rsidR="00BE0A09">
        <w:rPr>
          <w:sz w:val="22"/>
        </w:rPr>
        <w:t xml:space="preserve"> Cross-Curricular learning, when delivered well, provides new contexts to apply skills and subconsciously develops skills that</w:t>
      </w:r>
      <w:r w:rsidR="00855682">
        <w:rPr>
          <w:sz w:val="22"/>
        </w:rPr>
        <w:t xml:space="preserve"> </w:t>
      </w:r>
      <w:r w:rsidR="00BE0A09">
        <w:rPr>
          <w:sz w:val="22"/>
        </w:rPr>
        <w:t xml:space="preserve">will benefit children in later life. </w:t>
      </w:r>
      <w:r w:rsidR="00855682">
        <w:rPr>
          <w:sz w:val="22"/>
        </w:rPr>
        <w:t xml:space="preserve">However, I do think that Donaldson needs to provide a clear set of guidelines that makes it easier to interpret into all AoLEs as the link is not always so apparent. </w:t>
      </w:r>
      <w:r w:rsidR="00BE0A09">
        <w:rPr>
          <w:sz w:val="22"/>
        </w:rPr>
        <w:t>Therefore,</w:t>
      </w:r>
      <w:r w:rsidR="00855682">
        <w:rPr>
          <w:sz w:val="22"/>
        </w:rPr>
        <w:t xml:space="preserve"> training may be required for teachers to demonstrate how to purposefully include the responsibilities in their lessons without them becoming the priority </w:t>
      </w:r>
      <w:r w:rsidR="00BE0A09">
        <w:rPr>
          <w:sz w:val="22"/>
        </w:rPr>
        <w:t xml:space="preserve">or forced into lessons </w:t>
      </w:r>
      <w:r w:rsidR="00855682">
        <w:rPr>
          <w:sz w:val="22"/>
        </w:rPr>
        <w:t xml:space="preserve">as I have experienced in previous years. </w:t>
      </w:r>
      <w:r w:rsidR="00F515DF">
        <w:rPr>
          <w:sz w:val="22"/>
        </w:rPr>
        <w:t xml:space="preserve">This would benefit me as I sometimes find difficulty in identifying opportunities for Cross-Curricular learning when they are not entirely apparent. </w:t>
      </w:r>
      <w:r w:rsidR="00855682">
        <w:rPr>
          <w:sz w:val="22"/>
        </w:rPr>
        <w:t>Furthermore, a sufficient amount of training and guidance needs to be available for teachers regarding Digital Competence,</w:t>
      </w:r>
      <w:r w:rsidR="00BE0A09">
        <w:rPr>
          <w:sz w:val="22"/>
        </w:rPr>
        <w:t xml:space="preserve"> as many teachers are not competent with technology as it is currently and therefore may find it difficult to prepare to inform students in future generations how to be confidently competent in dealing with technology, especially considering the rapid pace that it is evolving, as previously mentioned Members of Parliament state. </w:t>
      </w:r>
      <w:r w:rsidR="00F914F1">
        <w:rPr>
          <w:sz w:val="22"/>
        </w:rPr>
        <w:t xml:space="preserve">Digital Competence development is </w:t>
      </w:r>
      <w:r w:rsidR="00F515DF">
        <w:rPr>
          <w:sz w:val="22"/>
        </w:rPr>
        <w:t xml:space="preserve">something I feel like I particular need to improve as I am not entirely </w:t>
      </w:r>
      <w:r w:rsidR="00F515DF">
        <w:rPr>
          <w:sz w:val="22"/>
        </w:rPr>
        <w:lastRenderedPageBreak/>
        <w:t xml:space="preserve">confident with various elements within the framework and therefore training may benefit me especially. </w:t>
      </w:r>
      <w:r w:rsidR="00BE0A09">
        <w:rPr>
          <w:sz w:val="22"/>
        </w:rPr>
        <w:t xml:space="preserve">Lastly, the implementation of clear methods of assessment is required to ensure that the responsibilities are having the optimum effect on children’s development and guaranteeing that teachers are integrating them to the desired standard. Donaldson and other professionals working on the curriculum may find that offering recommendations on different techniques: suggesting whether formative or summative are best suited, how to use the Progression Steps etc. would show benefits in the confidence of teachers delivering Cross-Curricular sessions. </w:t>
      </w:r>
    </w:p>
    <w:p w:rsidR="00ED3914" w:rsidRDefault="00ED3914" w:rsidP="007E6502">
      <w:pPr>
        <w:pStyle w:val="NormalWeb"/>
        <w:rPr>
          <w:sz w:val="22"/>
        </w:rPr>
      </w:pPr>
    </w:p>
    <w:p w:rsidR="00ED3914" w:rsidRDefault="00ED3914" w:rsidP="007E6502">
      <w:pPr>
        <w:pStyle w:val="NormalWeb"/>
        <w:rPr>
          <w:sz w:val="22"/>
        </w:rPr>
      </w:pPr>
      <w:r>
        <w:rPr>
          <w:sz w:val="22"/>
        </w:rPr>
        <w:t xml:space="preserve">WORD COUNT </w:t>
      </w:r>
      <w:r w:rsidR="00D359DD">
        <w:rPr>
          <w:sz w:val="22"/>
        </w:rPr>
        <w:t>–</w:t>
      </w:r>
      <w:r>
        <w:rPr>
          <w:sz w:val="22"/>
        </w:rPr>
        <w:t xml:space="preserve"> 27</w:t>
      </w:r>
      <w:r w:rsidR="00F52FC8">
        <w:rPr>
          <w:sz w:val="22"/>
        </w:rPr>
        <w:t>48</w:t>
      </w: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D359DD" w:rsidRDefault="00D359DD" w:rsidP="007E6502">
      <w:pPr>
        <w:pStyle w:val="NormalWeb"/>
        <w:rPr>
          <w:sz w:val="22"/>
        </w:rPr>
      </w:pPr>
    </w:p>
    <w:p w:rsidR="009C0650" w:rsidRDefault="009C0650" w:rsidP="007E6502">
      <w:pPr>
        <w:pStyle w:val="NormalWeb"/>
        <w:rPr>
          <w:sz w:val="22"/>
          <w:u w:val="single"/>
        </w:rPr>
      </w:pPr>
    </w:p>
    <w:p w:rsidR="009C0650" w:rsidRDefault="009C0650" w:rsidP="007E6502">
      <w:pPr>
        <w:pStyle w:val="NormalWeb"/>
        <w:rPr>
          <w:sz w:val="22"/>
          <w:u w:val="single"/>
        </w:rPr>
      </w:pPr>
    </w:p>
    <w:p w:rsidR="009C0650" w:rsidRDefault="00D359DD" w:rsidP="007E6502">
      <w:pPr>
        <w:pStyle w:val="NormalWeb"/>
        <w:rPr>
          <w:sz w:val="22"/>
          <w:u w:val="single"/>
        </w:rPr>
      </w:pPr>
      <w:r w:rsidRPr="00D359DD">
        <w:rPr>
          <w:sz w:val="22"/>
          <w:u w:val="single"/>
        </w:rPr>
        <w:lastRenderedPageBreak/>
        <w:t>Reference List</w:t>
      </w: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Alexander, R. (2010) </w:t>
      </w:r>
      <w:r w:rsidRPr="009C3074">
        <w:rPr>
          <w:rFonts w:ascii="Times New Roman" w:hAnsi="Times New Roman" w:cs="Times New Roman"/>
          <w:i/>
          <w:sz w:val="22"/>
          <w:szCs w:val="22"/>
          <w:lang w:val="en-GB"/>
        </w:rPr>
        <w:t>Children, Their World, Their Education</w:t>
      </w:r>
      <w:r w:rsidRPr="009C3074">
        <w:rPr>
          <w:rFonts w:ascii="Times New Roman" w:hAnsi="Times New Roman" w:cs="Times New Roman"/>
          <w:sz w:val="22"/>
          <w:szCs w:val="22"/>
          <w:lang w:val="en-GB"/>
        </w:rPr>
        <w:t xml:space="preserve">. London. Routledge. in Barnes, J. (2015) </w:t>
      </w:r>
      <w:r w:rsidRPr="009C3074">
        <w:rPr>
          <w:rFonts w:ascii="Times New Roman" w:hAnsi="Times New Roman" w:cs="Times New Roman"/>
          <w:i/>
          <w:sz w:val="22"/>
          <w:szCs w:val="22"/>
          <w:lang w:val="en-GB"/>
        </w:rPr>
        <w:t>Cross-Curricular Learning 3-14</w:t>
      </w:r>
      <w:r w:rsidRPr="009C3074">
        <w:rPr>
          <w:rFonts w:ascii="Times New Roman" w:hAnsi="Times New Roman" w:cs="Times New Roman"/>
          <w:sz w:val="22"/>
          <w:szCs w:val="22"/>
          <w:lang w:val="en-GB"/>
        </w:rPr>
        <w:t xml:space="preserve">. London: SAGE. </w:t>
      </w:r>
    </w:p>
    <w:p w:rsidR="00D359DD" w:rsidRDefault="00D359DD" w:rsidP="00D359DD">
      <w:pPr>
        <w:spacing w:line="360" w:lineRule="auto"/>
        <w:rPr>
          <w:rFonts w:ascii="Times New Roman" w:hAnsi="Times New Roman" w:cs="Times New Roman"/>
          <w:sz w:val="22"/>
          <w:szCs w:val="22"/>
          <w:lang w:val="en-GB"/>
        </w:rPr>
      </w:pPr>
    </w:p>
    <w:p w:rsidR="00561ACA" w:rsidRPr="00561ACA" w:rsidRDefault="00561ACA" w:rsidP="00D359DD">
      <w:pPr>
        <w:spacing w:line="360" w:lineRule="auto"/>
        <w:rPr>
          <w:rFonts w:ascii="Times New Roman" w:hAnsi="Times New Roman" w:cs="Times New Roman"/>
          <w:sz w:val="22"/>
          <w:szCs w:val="22"/>
          <w:lang w:val="en-GB"/>
        </w:rPr>
      </w:pPr>
      <w:r>
        <w:rPr>
          <w:rFonts w:ascii="Times New Roman" w:hAnsi="Times New Roman" w:cs="Times New Roman"/>
          <w:sz w:val="22"/>
          <w:szCs w:val="22"/>
          <w:lang w:val="en-GB"/>
        </w:rPr>
        <w:t xml:space="preserve">Arthur, S. Crick, T. and Hayward, J. (2013) </w:t>
      </w:r>
      <w:r>
        <w:rPr>
          <w:rFonts w:ascii="Times New Roman" w:hAnsi="Times New Roman" w:cs="Times New Roman"/>
          <w:i/>
          <w:sz w:val="22"/>
          <w:szCs w:val="22"/>
          <w:lang w:val="en-GB"/>
        </w:rPr>
        <w:t xml:space="preserve">The ICT Steering Group’s Report to the Welsh Government. </w:t>
      </w:r>
      <w:r>
        <w:rPr>
          <w:rFonts w:ascii="Times New Roman" w:hAnsi="Times New Roman" w:cs="Times New Roman"/>
          <w:sz w:val="22"/>
          <w:szCs w:val="22"/>
          <w:lang w:val="en-GB"/>
        </w:rPr>
        <w:t xml:space="preserve">Cardiff: Welsh Government. </w:t>
      </w:r>
      <w:bookmarkStart w:id="0" w:name="_GoBack"/>
      <w:bookmarkEnd w:id="0"/>
    </w:p>
    <w:p w:rsidR="00561ACA" w:rsidRPr="009C3074" w:rsidRDefault="00561ACA"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Barnes, J. (2015) </w:t>
      </w:r>
      <w:r w:rsidRPr="009C3074">
        <w:rPr>
          <w:rFonts w:ascii="Times New Roman" w:hAnsi="Times New Roman" w:cs="Times New Roman"/>
          <w:i/>
          <w:sz w:val="22"/>
          <w:szCs w:val="22"/>
          <w:lang w:val="en-GB"/>
        </w:rPr>
        <w:t>Cross-Curricular Learning 3-14</w:t>
      </w:r>
      <w:r w:rsidRPr="009C3074">
        <w:rPr>
          <w:rFonts w:ascii="Times New Roman" w:hAnsi="Times New Roman" w:cs="Times New Roman"/>
          <w:sz w:val="22"/>
          <w:szCs w:val="22"/>
          <w:lang w:val="en-GB"/>
        </w:rPr>
        <w:t xml:space="preserve">. London: SAGE.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Baroness Morgan of Huyton. (2016) </w:t>
      </w:r>
      <w:r w:rsidRPr="009C3074">
        <w:rPr>
          <w:rFonts w:ascii="Times New Roman" w:hAnsi="Times New Roman" w:cs="Times New Roman"/>
          <w:i/>
          <w:sz w:val="22"/>
          <w:szCs w:val="22"/>
          <w:lang w:val="en-GB"/>
        </w:rPr>
        <w:t xml:space="preserve">Digital Skills. </w:t>
      </w:r>
      <w:r w:rsidRPr="009C3074">
        <w:rPr>
          <w:rFonts w:ascii="Times New Roman" w:hAnsi="Times New Roman" w:cs="Times New Roman"/>
          <w:sz w:val="22"/>
          <w:szCs w:val="22"/>
          <w:lang w:val="en-GB"/>
        </w:rPr>
        <w:t xml:space="preserve">UK: Parliament.uk. Available at: </w:t>
      </w:r>
      <w:hyperlink r:id="rId6" w:history="1">
        <w:r w:rsidRPr="009C3074">
          <w:rPr>
            <w:rStyle w:val="Hyperlink"/>
            <w:rFonts w:ascii="Times New Roman" w:hAnsi="Times New Roman" w:cs="Times New Roman"/>
            <w:sz w:val="22"/>
            <w:szCs w:val="22"/>
            <w:lang w:val="en-GB"/>
          </w:rPr>
          <w:t>https://hansard.parliament.uk/Lords/2016-06-13/debates/0ECEFEA3-AF27-4B97-98CD-79EC03CE2AB9/DigitalSkills(SelectCommitteeReport)</w:t>
        </w:r>
      </w:hyperlink>
      <w:r w:rsidRPr="009C3074">
        <w:rPr>
          <w:rFonts w:ascii="Times New Roman" w:hAnsi="Times New Roman" w:cs="Times New Roman"/>
          <w:sz w:val="22"/>
          <w:szCs w:val="22"/>
          <w:lang w:val="en-GB"/>
        </w:rPr>
        <w:t xml:space="preserve"> [Accessed on 2</w:t>
      </w:r>
      <w:r w:rsidRPr="009C3074">
        <w:rPr>
          <w:rFonts w:ascii="Times New Roman" w:hAnsi="Times New Roman" w:cs="Times New Roman"/>
          <w:sz w:val="22"/>
          <w:szCs w:val="22"/>
          <w:vertAlign w:val="superscript"/>
          <w:lang w:val="en-GB"/>
        </w:rPr>
        <w:t>nd</w:t>
      </w:r>
      <w:r w:rsidRPr="009C3074">
        <w:rPr>
          <w:rFonts w:ascii="Times New Roman" w:hAnsi="Times New Roman" w:cs="Times New Roman"/>
          <w:sz w:val="22"/>
          <w:szCs w:val="22"/>
          <w:lang w:val="en-GB"/>
        </w:rPr>
        <w:t xml:space="preserve"> December 2019]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Council for Curriculum, Examinations and Assessment. (2013) </w:t>
      </w:r>
      <w:r w:rsidRPr="009C3074">
        <w:rPr>
          <w:rFonts w:ascii="Times New Roman" w:hAnsi="Times New Roman" w:cs="Times New Roman"/>
          <w:i/>
          <w:sz w:val="22"/>
          <w:szCs w:val="22"/>
          <w:lang w:val="en-GB"/>
        </w:rPr>
        <w:t xml:space="preserve">Guidance on Assessment in the Primary School. </w:t>
      </w:r>
      <w:r w:rsidRPr="009C3074">
        <w:rPr>
          <w:rFonts w:ascii="Times New Roman" w:hAnsi="Times New Roman" w:cs="Times New Roman"/>
          <w:sz w:val="22"/>
          <w:szCs w:val="22"/>
          <w:lang w:val="en-GB"/>
        </w:rPr>
        <w:t xml:space="preserve">Northern Ireland: CCEA. Available at: </w:t>
      </w:r>
      <w:hyperlink r:id="rId7" w:history="1">
        <w:r w:rsidRPr="009C3074">
          <w:rPr>
            <w:rStyle w:val="Hyperlink"/>
            <w:rFonts w:ascii="Times New Roman" w:hAnsi="Times New Roman" w:cs="Times New Roman"/>
            <w:sz w:val="22"/>
            <w:szCs w:val="22"/>
            <w:lang w:val="en-GB"/>
          </w:rPr>
          <w:t>http://www.nicurriculum.org.uk/docs/key_stages_1_and_2/areas_of_learning/Guidance_on_Assessment_Primary.pdf</w:t>
        </w:r>
      </w:hyperlink>
      <w:r w:rsidRPr="009C3074">
        <w:rPr>
          <w:rFonts w:ascii="Times New Roman" w:hAnsi="Times New Roman" w:cs="Times New Roman"/>
          <w:sz w:val="22"/>
          <w:szCs w:val="22"/>
          <w:lang w:val="en-GB"/>
        </w:rPr>
        <w:t xml:space="preserve"> [Accessed on 6th December 2019]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Council for Curriculum, Examinations and Assessment. (N/D) </w:t>
      </w:r>
      <w:r w:rsidRPr="009C3074">
        <w:rPr>
          <w:rFonts w:ascii="Times New Roman" w:hAnsi="Times New Roman" w:cs="Times New Roman"/>
          <w:i/>
          <w:sz w:val="22"/>
          <w:szCs w:val="22"/>
          <w:lang w:val="en-GB"/>
        </w:rPr>
        <w:t xml:space="preserve">Assess and Progress – What is Summative Assessment? </w:t>
      </w:r>
      <w:r w:rsidRPr="009C3074">
        <w:rPr>
          <w:rFonts w:ascii="Times New Roman" w:hAnsi="Times New Roman" w:cs="Times New Roman"/>
          <w:sz w:val="22"/>
          <w:szCs w:val="22"/>
          <w:lang w:val="en-GB"/>
        </w:rPr>
        <w:t xml:space="preserve">Northern Ireland: CCEA. Available at: </w:t>
      </w:r>
      <w:hyperlink r:id="rId8" w:history="1">
        <w:r w:rsidRPr="009C3074">
          <w:rPr>
            <w:rStyle w:val="Hyperlink"/>
            <w:rFonts w:ascii="Times New Roman" w:hAnsi="Times New Roman" w:cs="Times New Roman"/>
            <w:sz w:val="22"/>
            <w:szCs w:val="22"/>
            <w:lang w:val="en-GB"/>
          </w:rPr>
          <w:t>http://ccea.org.uk/curriculum/assess_progress/types_assessment/summative</w:t>
        </w:r>
      </w:hyperlink>
      <w:r w:rsidRPr="009C3074">
        <w:rPr>
          <w:rFonts w:ascii="Times New Roman" w:hAnsi="Times New Roman" w:cs="Times New Roman"/>
          <w:sz w:val="22"/>
          <w:szCs w:val="22"/>
          <w:lang w:val="en-GB"/>
        </w:rPr>
        <w:t xml:space="preserve"> [Accessed on 6th December 2019]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Donaldson, G. (2015) </w:t>
      </w:r>
      <w:r w:rsidRPr="009C3074">
        <w:rPr>
          <w:rFonts w:ascii="Times New Roman" w:hAnsi="Times New Roman" w:cs="Times New Roman"/>
          <w:i/>
          <w:sz w:val="22"/>
          <w:szCs w:val="22"/>
          <w:lang w:val="en-GB"/>
        </w:rPr>
        <w:t xml:space="preserve">Successful Futures. </w:t>
      </w:r>
      <w:r w:rsidRPr="009C3074">
        <w:rPr>
          <w:rFonts w:ascii="Times New Roman" w:hAnsi="Times New Roman" w:cs="Times New Roman"/>
          <w:sz w:val="22"/>
          <w:szCs w:val="22"/>
          <w:lang w:val="en-GB"/>
        </w:rPr>
        <w:t>Cardiff: Welsh Government</w:t>
      </w:r>
      <w:r>
        <w:rPr>
          <w:rFonts w:ascii="Times New Roman" w:hAnsi="Times New Roman" w:cs="Times New Roman"/>
          <w:sz w:val="22"/>
          <w:szCs w:val="22"/>
          <w:lang w:val="en-GB"/>
        </w:rPr>
        <w:t>.</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Estyn. (2018) </w:t>
      </w:r>
      <w:r w:rsidRPr="009C3074">
        <w:rPr>
          <w:rFonts w:ascii="Times New Roman" w:hAnsi="Times New Roman" w:cs="Times New Roman"/>
          <w:i/>
          <w:sz w:val="22"/>
          <w:szCs w:val="22"/>
          <w:lang w:val="en-GB"/>
        </w:rPr>
        <w:t xml:space="preserve">Annual Report. </w:t>
      </w:r>
      <w:r w:rsidRPr="009C3074">
        <w:rPr>
          <w:rFonts w:ascii="Times New Roman" w:hAnsi="Times New Roman" w:cs="Times New Roman"/>
          <w:sz w:val="22"/>
          <w:szCs w:val="22"/>
          <w:lang w:val="en-GB"/>
        </w:rPr>
        <w:t xml:space="preserve">Cardiff: Welsh Government. </w:t>
      </w:r>
    </w:p>
    <w:p w:rsidR="00387783" w:rsidRDefault="00387783" w:rsidP="00D359DD">
      <w:pPr>
        <w:spacing w:line="360" w:lineRule="auto"/>
        <w:rPr>
          <w:rFonts w:ascii="Times New Roman" w:hAnsi="Times New Roman" w:cs="Times New Roman"/>
          <w:sz w:val="22"/>
          <w:szCs w:val="22"/>
          <w:lang w:val="en-GB"/>
        </w:rPr>
      </w:pPr>
    </w:p>
    <w:p w:rsidR="00387783" w:rsidRPr="00387783" w:rsidRDefault="00387783" w:rsidP="00D359DD">
      <w:pPr>
        <w:spacing w:line="360" w:lineRule="auto"/>
        <w:rPr>
          <w:rFonts w:ascii="Times New Roman" w:hAnsi="Times New Roman" w:cs="Times New Roman"/>
          <w:sz w:val="22"/>
          <w:szCs w:val="22"/>
          <w:lang w:val="en-GB"/>
        </w:rPr>
      </w:pPr>
      <w:r>
        <w:rPr>
          <w:rFonts w:ascii="Times New Roman" w:hAnsi="Times New Roman" w:cs="Times New Roman"/>
          <w:sz w:val="22"/>
          <w:szCs w:val="22"/>
          <w:lang w:val="en-GB"/>
        </w:rPr>
        <w:t xml:space="preserve">Evensen, L.S et al. (2016) </w:t>
      </w:r>
      <w:r>
        <w:rPr>
          <w:rFonts w:ascii="Times New Roman" w:hAnsi="Times New Roman" w:cs="Times New Roman"/>
          <w:i/>
          <w:sz w:val="22"/>
          <w:szCs w:val="22"/>
          <w:lang w:val="en-GB"/>
        </w:rPr>
        <w:t xml:space="preserve">Standards as a Tool for Teaching and Assessing Cross-Curricular Writing. </w:t>
      </w:r>
      <w:r>
        <w:rPr>
          <w:rFonts w:ascii="Times New Roman" w:hAnsi="Times New Roman" w:cs="Times New Roman"/>
          <w:sz w:val="22"/>
          <w:szCs w:val="22"/>
          <w:lang w:val="en-GB"/>
        </w:rPr>
        <w:t xml:space="preserve">N/A: The Research Council of Norway and South </w:t>
      </w:r>
      <w:proofErr w:type="spellStart"/>
      <w:r>
        <w:rPr>
          <w:rFonts w:ascii="Times New Roman" w:hAnsi="Times New Roman" w:cs="Times New Roman"/>
          <w:sz w:val="22"/>
          <w:szCs w:val="22"/>
          <w:lang w:val="en-GB"/>
        </w:rPr>
        <w:t>Trondelag</w:t>
      </w:r>
      <w:proofErr w:type="spellEnd"/>
      <w:r>
        <w:rPr>
          <w:rFonts w:ascii="Times New Roman" w:hAnsi="Times New Roman" w:cs="Times New Roman"/>
          <w:sz w:val="22"/>
          <w:szCs w:val="22"/>
          <w:lang w:val="en-GB"/>
        </w:rPr>
        <w:t xml:space="preserve"> University College.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Everette, M. (2018) </w:t>
      </w:r>
      <w:r w:rsidRPr="009C3074">
        <w:rPr>
          <w:rFonts w:ascii="Times New Roman" w:hAnsi="Times New Roman" w:cs="Times New Roman"/>
          <w:i/>
          <w:sz w:val="22"/>
          <w:szCs w:val="22"/>
          <w:lang w:val="en-GB"/>
        </w:rPr>
        <w:t xml:space="preserve">Using Formative Assessment across the Curriculum. </w:t>
      </w:r>
      <w:r w:rsidRPr="009C3074">
        <w:rPr>
          <w:rFonts w:ascii="Times New Roman" w:hAnsi="Times New Roman" w:cs="Times New Roman"/>
          <w:sz w:val="22"/>
          <w:szCs w:val="22"/>
          <w:lang w:val="en-GB"/>
        </w:rPr>
        <w:t xml:space="preserve">N/A: Scholastic. Available at: </w:t>
      </w:r>
      <w:hyperlink r:id="rId9" w:history="1">
        <w:r w:rsidRPr="009C3074">
          <w:rPr>
            <w:rStyle w:val="Hyperlink"/>
            <w:rFonts w:ascii="Times New Roman" w:hAnsi="Times New Roman" w:cs="Times New Roman"/>
            <w:sz w:val="22"/>
            <w:szCs w:val="22"/>
            <w:lang w:val="en-GB"/>
          </w:rPr>
          <w:t>https://www.scholastic.com/teachers/blog-posts/meghan-everette/17-18/Using-Formative-Assessments-Across-the-Curriculum/</w:t>
        </w:r>
      </w:hyperlink>
      <w:r w:rsidRPr="009C3074">
        <w:rPr>
          <w:rFonts w:ascii="Times New Roman" w:hAnsi="Times New Roman" w:cs="Times New Roman"/>
          <w:sz w:val="22"/>
          <w:szCs w:val="22"/>
          <w:lang w:val="en-GB"/>
        </w:rPr>
        <w:t xml:space="preserve"> [Accessed on 7</w:t>
      </w:r>
      <w:r w:rsidRPr="009C3074">
        <w:rPr>
          <w:rFonts w:ascii="Times New Roman" w:hAnsi="Times New Roman" w:cs="Times New Roman"/>
          <w:sz w:val="22"/>
          <w:szCs w:val="22"/>
          <w:vertAlign w:val="superscript"/>
          <w:lang w:val="en-GB"/>
        </w:rPr>
        <w:t>th</w:t>
      </w:r>
      <w:r w:rsidRPr="009C3074">
        <w:rPr>
          <w:rFonts w:ascii="Times New Roman" w:hAnsi="Times New Roman" w:cs="Times New Roman"/>
          <w:sz w:val="22"/>
          <w:szCs w:val="22"/>
          <w:lang w:val="en-GB"/>
        </w:rPr>
        <w:t xml:space="preserve"> December 2019]</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Hadow, W.H. (1931) </w:t>
      </w:r>
      <w:r w:rsidRPr="009C3074">
        <w:rPr>
          <w:rFonts w:ascii="Times New Roman" w:hAnsi="Times New Roman" w:cs="Times New Roman"/>
          <w:i/>
          <w:sz w:val="22"/>
          <w:szCs w:val="22"/>
          <w:lang w:val="en-GB"/>
        </w:rPr>
        <w:t xml:space="preserve">Report of the Consultative Committee on The Primary School. </w:t>
      </w:r>
      <w:r w:rsidRPr="009C3074">
        <w:rPr>
          <w:rFonts w:ascii="Times New Roman" w:hAnsi="Times New Roman" w:cs="Times New Roman"/>
          <w:sz w:val="22"/>
          <w:szCs w:val="22"/>
          <w:lang w:val="en-GB"/>
        </w:rPr>
        <w:t>London: HM Stationery Office.</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Hayes, D. (2010) </w:t>
      </w:r>
      <w:r w:rsidRPr="009C3074">
        <w:rPr>
          <w:rFonts w:ascii="Times New Roman" w:hAnsi="Times New Roman" w:cs="Times New Roman"/>
          <w:i/>
          <w:sz w:val="22"/>
          <w:szCs w:val="22"/>
          <w:lang w:val="en-GB"/>
        </w:rPr>
        <w:t xml:space="preserve">The Seductive Charms of a Cross-Curricular Approach. </w:t>
      </w:r>
      <w:r w:rsidRPr="009C3074">
        <w:rPr>
          <w:rFonts w:ascii="Times New Roman" w:hAnsi="Times New Roman" w:cs="Times New Roman"/>
          <w:sz w:val="22"/>
          <w:szCs w:val="22"/>
          <w:lang w:val="en-GB"/>
        </w:rPr>
        <w:t xml:space="preserve">Plymouth: Routledge.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Institute for the Future. And Dell Technologies. (2017) </w:t>
      </w:r>
      <w:r w:rsidRPr="009C3074">
        <w:rPr>
          <w:rFonts w:ascii="Times New Roman" w:hAnsi="Times New Roman" w:cs="Times New Roman"/>
          <w:i/>
          <w:sz w:val="22"/>
          <w:szCs w:val="22"/>
          <w:lang w:val="en-GB"/>
        </w:rPr>
        <w:t xml:space="preserve">Emerging Technologies’ Impact on Society and Work in 2030. </w:t>
      </w:r>
      <w:r w:rsidRPr="009C3074">
        <w:rPr>
          <w:rFonts w:ascii="Times New Roman" w:hAnsi="Times New Roman" w:cs="Times New Roman"/>
          <w:sz w:val="22"/>
          <w:szCs w:val="22"/>
          <w:lang w:val="en-GB"/>
        </w:rPr>
        <w:t xml:space="preserve">USA: IFF/Dell. Available at: </w:t>
      </w:r>
      <w:hyperlink r:id="rId10" w:history="1">
        <w:r w:rsidRPr="009C3074">
          <w:rPr>
            <w:rStyle w:val="Hyperlink"/>
            <w:rFonts w:ascii="Times New Roman" w:hAnsi="Times New Roman" w:cs="Times New Roman"/>
            <w:sz w:val="22"/>
            <w:szCs w:val="22"/>
            <w:lang w:val="en-GB"/>
          </w:rPr>
          <w:t>https://www.delltechnologies.com/content/dam/delltechnologies/assets/perspectives/2030/pdf/SR1940_IFTFforDellTechnologies_Human-Machine_070517_readerhigh-res.pdf</w:t>
        </w:r>
      </w:hyperlink>
      <w:r w:rsidRPr="009C3074">
        <w:rPr>
          <w:rFonts w:ascii="Times New Roman" w:hAnsi="Times New Roman" w:cs="Times New Roman"/>
          <w:sz w:val="22"/>
          <w:szCs w:val="22"/>
          <w:lang w:val="en-GB"/>
        </w:rPr>
        <w:t xml:space="preserve"> [Accessed on 27th November 2019]</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McNamara, D. (1991) </w:t>
      </w:r>
      <w:r w:rsidRPr="009C3074">
        <w:rPr>
          <w:rFonts w:ascii="Times New Roman" w:hAnsi="Times New Roman" w:cs="Times New Roman"/>
          <w:i/>
          <w:sz w:val="22"/>
          <w:szCs w:val="22"/>
          <w:lang w:val="en-GB"/>
        </w:rPr>
        <w:t xml:space="preserve">Subject Knowledge and its Application: Problems and Possibilities for Teacher Educators. </w:t>
      </w:r>
      <w:r w:rsidRPr="009C3074">
        <w:rPr>
          <w:rFonts w:ascii="Times New Roman" w:hAnsi="Times New Roman" w:cs="Times New Roman"/>
          <w:sz w:val="22"/>
          <w:szCs w:val="22"/>
          <w:lang w:val="en-GB"/>
        </w:rPr>
        <w:t xml:space="preserve">N/A: Journal of Education for Teaching.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Metzler, J. and Woessman, L. (2010) </w:t>
      </w:r>
      <w:r w:rsidRPr="009C3074">
        <w:rPr>
          <w:rFonts w:ascii="Times New Roman" w:hAnsi="Times New Roman" w:cs="Times New Roman"/>
          <w:i/>
          <w:sz w:val="22"/>
          <w:szCs w:val="22"/>
          <w:lang w:val="en-GB"/>
        </w:rPr>
        <w:t xml:space="preserve">The Impact of Teacher Subject Knowledge on Student Achievement: Evidence from within-teacher within-student variation. </w:t>
      </w:r>
      <w:r w:rsidRPr="009C3074">
        <w:rPr>
          <w:rFonts w:ascii="Times New Roman" w:hAnsi="Times New Roman" w:cs="Times New Roman"/>
          <w:sz w:val="22"/>
          <w:szCs w:val="22"/>
          <w:lang w:val="en-GB"/>
        </w:rPr>
        <w:t xml:space="preserve">Munich: Leibniz Institute for Economic Research.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National Union for Teachers. (2016) </w:t>
      </w:r>
      <w:r w:rsidRPr="009C3074">
        <w:rPr>
          <w:rFonts w:ascii="Times New Roman" w:hAnsi="Times New Roman" w:cs="Times New Roman"/>
          <w:i/>
          <w:sz w:val="22"/>
          <w:szCs w:val="22"/>
          <w:lang w:val="en-GB"/>
        </w:rPr>
        <w:t xml:space="preserve">The Crisis in Primary Assessment. </w:t>
      </w:r>
      <w:r w:rsidRPr="009C3074">
        <w:rPr>
          <w:rFonts w:ascii="Times New Roman" w:hAnsi="Times New Roman" w:cs="Times New Roman"/>
          <w:sz w:val="22"/>
          <w:szCs w:val="22"/>
          <w:lang w:val="en-GB"/>
        </w:rPr>
        <w:t xml:space="preserve">UK: National Education Union.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Newton, D. (2018) </w:t>
      </w:r>
      <w:r w:rsidRPr="009C3074">
        <w:rPr>
          <w:rFonts w:ascii="Times New Roman" w:hAnsi="Times New Roman" w:cs="Times New Roman"/>
          <w:i/>
          <w:sz w:val="22"/>
          <w:szCs w:val="22"/>
          <w:lang w:val="en-GB"/>
        </w:rPr>
        <w:t xml:space="preserve">The Myth of Jobs that Don’t Exist Yet. </w:t>
      </w:r>
      <w:r w:rsidRPr="009C3074">
        <w:rPr>
          <w:rFonts w:ascii="Times New Roman" w:hAnsi="Times New Roman" w:cs="Times New Roman"/>
          <w:sz w:val="22"/>
          <w:szCs w:val="22"/>
          <w:lang w:val="en-GB"/>
        </w:rPr>
        <w:t xml:space="preserve">USA: Forbes. Available at: </w:t>
      </w:r>
      <w:hyperlink r:id="rId11" w:history="1">
        <w:r w:rsidRPr="009C3074">
          <w:rPr>
            <w:rStyle w:val="Hyperlink"/>
            <w:rFonts w:ascii="Times New Roman" w:hAnsi="Times New Roman" w:cs="Times New Roman"/>
            <w:sz w:val="22"/>
            <w:szCs w:val="22"/>
            <w:lang w:val="en-GB"/>
          </w:rPr>
          <w:t>https://www.forbes.com/sites/dereknewton/2018/12/28/the-myth-of-jobs-that-dont-exist-yet/#270d236a70ec</w:t>
        </w:r>
      </w:hyperlink>
      <w:r w:rsidRPr="009C3074">
        <w:rPr>
          <w:rFonts w:ascii="Times New Roman" w:hAnsi="Times New Roman" w:cs="Times New Roman"/>
          <w:sz w:val="22"/>
          <w:szCs w:val="22"/>
          <w:lang w:val="en-GB"/>
        </w:rPr>
        <w:t xml:space="preserve"> [Accessed on 27</w:t>
      </w:r>
      <w:r w:rsidRPr="009C3074">
        <w:rPr>
          <w:rFonts w:ascii="Times New Roman" w:hAnsi="Times New Roman" w:cs="Times New Roman"/>
          <w:sz w:val="22"/>
          <w:szCs w:val="22"/>
          <w:vertAlign w:val="superscript"/>
          <w:lang w:val="en-GB"/>
        </w:rPr>
        <w:t>th</w:t>
      </w:r>
      <w:r w:rsidRPr="009C3074">
        <w:rPr>
          <w:rFonts w:ascii="Times New Roman" w:hAnsi="Times New Roman" w:cs="Times New Roman"/>
          <w:sz w:val="22"/>
          <w:szCs w:val="22"/>
          <w:lang w:val="en-GB"/>
        </w:rPr>
        <w:t xml:space="preserve"> November 2019]</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Paton, G. (2014) </w:t>
      </w:r>
      <w:r w:rsidRPr="009C3074">
        <w:rPr>
          <w:rFonts w:ascii="Times New Roman" w:hAnsi="Times New Roman" w:cs="Times New Roman"/>
          <w:i/>
          <w:sz w:val="22"/>
          <w:szCs w:val="22"/>
          <w:lang w:val="en-GB"/>
        </w:rPr>
        <w:t xml:space="preserve">Ofsted: Primary Schools ‘place too much focus on 3 R’s. </w:t>
      </w:r>
      <w:r w:rsidRPr="009C3074">
        <w:rPr>
          <w:rFonts w:ascii="Times New Roman" w:hAnsi="Times New Roman" w:cs="Times New Roman"/>
          <w:sz w:val="22"/>
          <w:szCs w:val="22"/>
          <w:lang w:val="en-GB"/>
        </w:rPr>
        <w:t xml:space="preserve">England: The Guardian. Available at: </w:t>
      </w:r>
      <w:hyperlink r:id="rId12" w:history="1">
        <w:r w:rsidRPr="009C3074">
          <w:rPr>
            <w:rStyle w:val="Hyperlink"/>
            <w:rFonts w:ascii="Times New Roman" w:hAnsi="Times New Roman" w:cs="Times New Roman"/>
            <w:sz w:val="22"/>
            <w:szCs w:val="22"/>
            <w:lang w:val="en-GB"/>
          </w:rPr>
          <w:t>https://www.telegraph.co.uk/education/educationnews/11108981/Ofsted-primary-schools-place-too-much-focus-on-three-Rs.html</w:t>
        </w:r>
      </w:hyperlink>
      <w:r w:rsidRPr="009C3074">
        <w:rPr>
          <w:rFonts w:ascii="Times New Roman" w:hAnsi="Times New Roman" w:cs="Times New Roman"/>
          <w:sz w:val="22"/>
          <w:szCs w:val="22"/>
          <w:lang w:val="en-GB"/>
        </w:rPr>
        <w:t xml:space="preserve"> [Accessed on 27th November 2019]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Peal, R. (2015) </w:t>
      </w:r>
      <w:r w:rsidRPr="009C3074">
        <w:rPr>
          <w:rFonts w:ascii="Times New Roman" w:hAnsi="Times New Roman" w:cs="Times New Roman"/>
          <w:i/>
          <w:sz w:val="22"/>
          <w:szCs w:val="22"/>
          <w:lang w:val="en-GB"/>
        </w:rPr>
        <w:t xml:space="preserve">A Myth for Teachers: Jobs That Don’t Exist Yet. </w:t>
      </w:r>
      <w:r w:rsidRPr="009C3074">
        <w:rPr>
          <w:rFonts w:ascii="Times New Roman" w:hAnsi="Times New Roman" w:cs="Times New Roman"/>
          <w:sz w:val="22"/>
          <w:szCs w:val="22"/>
          <w:lang w:val="en-GB"/>
        </w:rPr>
        <w:t xml:space="preserve">Available at: </w:t>
      </w:r>
      <w:hyperlink r:id="rId13" w:history="1">
        <w:r w:rsidRPr="009C3074">
          <w:rPr>
            <w:rStyle w:val="Hyperlink"/>
            <w:rFonts w:ascii="Times New Roman" w:hAnsi="Times New Roman" w:cs="Times New Roman"/>
            <w:sz w:val="22"/>
            <w:szCs w:val="22"/>
            <w:lang w:val="en-GB"/>
          </w:rPr>
          <w:t>https://teachingbattleground.wordpress.com/2015/05/27/a-myth-for-teachers-jobs-that-dont-exist-yet/</w:t>
        </w:r>
      </w:hyperlink>
      <w:r w:rsidRPr="009C3074">
        <w:rPr>
          <w:rFonts w:ascii="Times New Roman" w:hAnsi="Times New Roman" w:cs="Times New Roman"/>
          <w:sz w:val="22"/>
          <w:szCs w:val="22"/>
          <w:lang w:val="en-GB"/>
        </w:rPr>
        <w:t xml:space="preserve"> [Accessed on 27</w:t>
      </w:r>
      <w:r w:rsidRPr="009C3074">
        <w:rPr>
          <w:rFonts w:ascii="Times New Roman" w:hAnsi="Times New Roman" w:cs="Times New Roman"/>
          <w:sz w:val="22"/>
          <w:szCs w:val="22"/>
          <w:vertAlign w:val="superscript"/>
          <w:lang w:val="en-GB"/>
        </w:rPr>
        <w:t>th</w:t>
      </w:r>
      <w:r w:rsidRPr="009C3074">
        <w:rPr>
          <w:rFonts w:ascii="Times New Roman" w:hAnsi="Times New Roman" w:cs="Times New Roman"/>
          <w:sz w:val="22"/>
          <w:szCs w:val="22"/>
          <w:lang w:val="en-GB"/>
        </w:rPr>
        <w:t xml:space="preserve"> November 2019]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Plowden, B. (1967) </w:t>
      </w:r>
      <w:r w:rsidRPr="009C3074">
        <w:rPr>
          <w:rFonts w:ascii="Times New Roman" w:hAnsi="Times New Roman" w:cs="Times New Roman"/>
          <w:i/>
          <w:sz w:val="22"/>
          <w:szCs w:val="22"/>
          <w:lang w:val="en-GB"/>
        </w:rPr>
        <w:t xml:space="preserve">Children and their Primary Schools. </w:t>
      </w:r>
      <w:r w:rsidRPr="009C3074">
        <w:rPr>
          <w:rFonts w:ascii="Times New Roman" w:hAnsi="Times New Roman" w:cs="Times New Roman"/>
          <w:sz w:val="22"/>
          <w:szCs w:val="22"/>
          <w:lang w:val="en-GB"/>
        </w:rPr>
        <w:t xml:space="preserve">London: HM Stationery Office.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Timmerman, V. (2017) </w:t>
      </w:r>
      <w:r w:rsidRPr="009C3074">
        <w:rPr>
          <w:rFonts w:ascii="Times New Roman" w:hAnsi="Times New Roman" w:cs="Times New Roman"/>
          <w:i/>
          <w:sz w:val="22"/>
          <w:szCs w:val="22"/>
          <w:lang w:val="en-GB"/>
        </w:rPr>
        <w:t xml:space="preserve">Cross Curricular Teaching: How does it work? </w:t>
      </w:r>
      <w:r w:rsidRPr="009C3074">
        <w:rPr>
          <w:rFonts w:ascii="Times New Roman" w:hAnsi="Times New Roman" w:cs="Times New Roman"/>
          <w:sz w:val="22"/>
          <w:szCs w:val="22"/>
          <w:lang w:val="en-GB"/>
        </w:rPr>
        <w:t xml:space="preserve">N/A: Erasmus and European Union. Available at: </w:t>
      </w:r>
      <w:hyperlink r:id="rId14" w:history="1">
        <w:r w:rsidRPr="009C3074">
          <w:rPr>
            <w:rStyle w:val="Hyperlink"/>
            <w:rFonts w:ascii="Times New Roman" w:hAnsi="Times New Roman" w:cs="Times New Roman"/>
            <w:sz w:val="22"/>
            <w:szCs w:val="22"/>
            <w:lang w:val="en-GB"/>
          </w:rPr>
          <w:t>https://www.ciep.fr/sites/default/files/atoms/files/crosscut-cross-curricular-teaching-how-does-it-work-synthesis.pdf</w:t>
        </w:r>
      </w:hyperlink>
      <w:r w:rsidRPr="009C3074">
        <w:rPr>
          <w:rFonts w:ascii="Times New Roman" w:hAnsi="Times New Roman" w:cs="Times New Roman"/>
          <w:sz w:val="22"/>
          <w:szCs w:val="22"/>
          <w:lang w:val="en-GB"/>
        </w:rPr>
        <w:t xml:space="preserve"> [Accessed on 23rd November 2019]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lastRenderedPageBreak/>
        <w:t xml:space="preserve">UK Parliament. (2017) </w:t>
      </w:r>
      <w:r w:rsidRPr="009C3074">
        <w:rPr>
          <w:rFonts w:ascii="Times New Roman" w:hAnsi="Times New Roman" w:cs="Times New Roman"/>
          <w:i/>
          <w:sz w:val="22"/>
          <w:szCs w:val="22"/>
          <w:lang w:val="en-GB"/>
        </w:rPr>
        <w:t xml:space="preserve">Digital Skills in School. </w:t>
      </w:r>
      <w:r w:rsidRPr="009C3074">
        <w:rPr>
          <w:rFonts w:ascii="Times New Roman" w:hAnsi="Times New Roman" w:cs="Times New Roman"/>
          <w:sz w:val="22"/>
          <w:szCs w:val="22"/>
          <w:lang w:val="en-GB"/>
        </w:rPr>
        <w:t xml:space="preserve">UK: Parliament.uk. Available at: </w:t>
      </w:r>
      <w:hyperlink r:id="rId15" w:history="1">
        <w:r w:rsidRPr="009C3074">
          <w:rPr>
            <w:rStyle w:val="Hyperlink"/>
            <w:rFonts w:ascii="Times New Roman" w:hAnsi="Times New Roman" w:cs="Times New Roman"/>
            <w:sz w:val="22"/>
            <w:szCs w:val="22"/>
            <w:lang w:val="en-GB"/>
          </w:rPr>
          <w:t>https://publications.parliament.uk/pa/cm201617/cmselect/cmsctech/270/27006.htm?fbclid=IwAR2JZBsJuRRLfa1lk3LEV0T0K6WmuEnLEuUuEK-VONssn1w3CnIO4QBn9mw</w:t>
        </w:r>
      </w:hyperlink>
      <w:r w:rsidRPr="009C3074">
        <w:rPr>
          <w:rFonts w:ascii="Times New Roman" w:hAnsi="Times New Roman" w:cs="Times New Roman"/>
          <w:sz w:val="22"/>
          <w:szCs w:val="22"/>
          <w:lang w:val="en-GB"/>
        </w:rPr>
        <w:t xml:space="preserve"> [Accessed on 2</w:t>
      </w:r>
      <w:r w:rsidRPr="009C3074">
        <w:rPr>
          <w:rFonts w:ascii="Times New Roman" w:hAnsi="Times New Roman" w:cs="Times New Roman"/>
          <w:sz w:val="22"/>
          <w:szCs w:val="22"/>
          <w:vertAlign w:val="superscript"/>
          <w:lang w:val="en-GB"/>
        </w:rPr>
        <w:t>nd</w:t>
      </w:r>
      <w:r w:rsidRPr="009C3074">
        <w:rPr>
          <w:rFonts w:ascii="Times New Roman" w:hAnsi="Times New Roman" w:cs="Times New Roman"/>
          <w:sz w:val="22"/>
          <w:szCs w:val="22"/>
          <w:lang w:val="en-GB"/>
        </w:rPr>
        <w:t xml:space="preserve"> December 2019]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Welsh Government. (2013) </w:t>
      </w:r>
      <w:r w:rsidRPr="009C3074">
        <w:rPr>
          <w:rFonts w:ascii="Times New Roman" w:hAnsi="Times New Roman" w:cs="Times New Roman"/>
          <w:i/>
          <w:sz w:val="22"/>
          <w:szCs w:val="22"/>
          <w:lang w:val="en-GB"/>
        </w:rPr>
        <w:t xml:space="preserve">Literacy and Numeracy in Wales. </w:t>
      </w:r>
      <w:r w:rsidRPr="009C3074">
        <w:rPr>
          <w:rFonts w:ascii="Times New Roman" w:hAnsi="Times New Roman" w:cs="Times New Roman"/>
          <w:sz w:val="22"/>
          <w:szCs w:val="22"/>
          <w:lang w:val="en-GB"/>
        </w:rPr>
        <w:t xml:space="preserve">Cardiff: Welsh Government.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Welsh Government. (2015) </w:t>
      </w:r>
      <w:r w:rsidRPr="009C3074">
        <w:rPr>
          <w:rFonts w:ascii="Times New Roman" w:hAnsi="Times New Roman" w:cs="Times New Roman"/>
          <w:i/>
          <w:sz w:val="22"/>
          <w:szCs w:val="22"/>
          <w:lang w:val="en-GB"/>
        </w:rPr>
        <w:t xml:space="preserve">Digital Competence Framework. </w:t>
      </w:r>
      <w:r w:rsidRPr="009C3074">
        <w:rPr>
          <w:rFonts w:ascii="Times New Roman" w:hAnsi="Times New Roman" w:cs="Times New Roman"/>
          <w:sz w:val="22"/>
          <w:szCs w:val="22"/>
          <w:lang w:val="en-GB"/>
        </w:rPr>
        <w:t xml:space="preserve">Cardiff: Welsh Government.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Welsh Government. (2015) </w:t>
      </w:r>
      <w:r w:rsidRPr="009C3074">
        <w:rPr>
          <w:rFonts w:ascii="Times New Roman" w:hAnsi="Times New Roman" w:cs="Times New Roman"/>
          <w:i/>
          <w:sz w:val="22"/>
          <w:szCs w:val="22"/>
          <w:lang w:val="en-GB"/>
        </w:rPr>
        <w:t xml:space="preserve">Literacy and Numeracy Framework. </w:t>
      </w:r>
      <w:r w:rsidRPr="009C3074">
        <w:rPr>
          <w:rFonts w:ascii="Times New Roman" w:hAnsi="Times New Roman" w:cs="Times New Roman"/>
          <w:sz w:val="22"/>
          <w:szCs w:val="22"/>
          <w:lang w:val="en-GB"/>
        </w:rPr>
        <w:t xml:space="preserve">Cardiff: Welsh Government.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Welsh Government. (2019) </w:t>
      </w:r>
      <w:r w:rsidRPr="009C3074">
        <w:rPr>
          <w:rFonts w:ascii="Times New Roman" w:hAnsi="Times New Roman" w:cs="Times New Roman"/>
          <w:i/>
          <w:sz w:val="22"/>
          <w:szCs w:val="22"/>
          <w:lang w:val="en-GB"/>
        </w:rPr>
        <w:t xml:space="preserve">Curriculum for Wales 2022: Feedback Analysis. </w:t>
      </w:r>
      <w:r w:rsidRPr="009C3074">
        <w:rPr>
          <w:rFonts w:ascii="Times New Roman" w:hAnsi="Times New Roman" w:cs="Times New Roman"/>
          <w:sz w:val="22"/>
          <w:szCs w:val="22"/>
          <w:lang w:val="en-GB"/>
        </w:rPr>
        <w:t>Wales: Welsh Government/</w:t>
      </w:r>
      <w:proofErr w:type="spellStart"/>
      <w:r w:rsidRPr="009C3074">
        <w:rPr>
          <w:rFonts w:ascii="Times New Roman" w:hAnsi="Times New Roman" w:cs="Times New Roman"/>
          <w:sz w:val="22"/>
          <w:szCs w:val="22"/>
          <w:lang w:val="en-GB"/>
        </w:rPr>
        <w:t>Wavehill</w:t>
      </w:r>
      <w:proofErr w:type="spellEnd"/>
      <w:r w:rsidRPr="009C3074">
        <w:rPr>
          <w:rFonts w:ascii="Times New Roman" w:hAnsi="Times New Roman" w:cs="Times New Roman"/>
          <w:sz w:val="22"/>
          <w:szCs w:val="22"/>
          <w:lang w:val="en-GB"/>
        </w:rPr>
        <w:t xml:space="preserve">. Available at: </w:t>
      </w:r>
      <w:hyperlink r:id="rId16" w:history="1">
        <w:r w:rsidRPr="009C3074">
          <w:rPr>
            <w:rStyle w:val="Hyperlink"/>
            <w:rFonts w:ascii="Times New Roman" w:hAnsi="Times New Roman" w:cs="Times New Roman"/>
            <w:sz w:val="22"/>
            <w:szCs w:val="22"/>
            <w:lang w:val="en-GB"/>
          </w:rPr>
          <w:t>https://gov.wales/sites/default/files/consultations/2019-10/curriculum-wales-2022-feedback-analysis.pdf</w:t>
        </w:r>
      </w:hyperlink>
      <w:r w:rsidRPr="009C3074">
        <w:rPr>
          <w:rFonts w:ascii="Times New Roman" w:hAnsi="Times New Roman" w:cs="Times New Roman"/>
          <w:sz w:val="22"/>
          <w:szCs w:val="22"/>
          <w:lang w:val="en-GB"/>
        </w:rPr>
        <w:t xml:space="preserve"> [Accessed on 5th December 2019] </w:t>
      </w:r>
    </w:p>
    <w:p w:rsidR="00D359DD" w:rsidRPr="009C3074" w:rsidRDefault="00D359DD" w:rsidP="00D359DD">
      <w:pPr>
        <w:spacing w:line="360" w:lineRule="auto"/>
        <w:rPr>
          <w:rFonts w:ascii="Times New Roman" w:hAnsi="Times New Roman" w:cs="Times New Roman"/>
          <w:sz w:val="22"/>
          <w:szCs w:val="22"/>
          <w:lang w:val="en-GB"/>
        </w:rPr>
      </w:pPr>
    </w:p>
    <w:p w:rsidR="00D359DD"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Whitty, G., Rowe, G. and Aggleton, P. (1994) </w:t>
      </w:r>
      <w:r w:rsidRPr="009C3074">
        <w:rPr>
          <w:rFonts w:ascii="Times New Roman" w:hAnsi="Times New Roman" w:cs="Times New Roman"/>
          <w:i/>
          <w:sz w:val="22"/>
          <w:szCs w:val="22"/>
          <w:lang w:val="en-GB"/>
        </w:rPr>
        <w:t xml:space="preserve">Discourse in Cross-Curricular Contexts: Limits to Empowerment. </w:t>
      </w:r>
      <w:r w:rsidRPr="009C3074">
        <w:rPr>
          <w:rFonts w:ascii="Times New Roman" w:hAnsi="Times New Roman" w:cs="Times New Roman"/>
          <w:sz w:val="22"/>
          <w:szCs w:val="22"/>
          <w:lang w:val="en-GB"/>
        </w:rPr>
        <w:t xml:space="preserve">UK: Routledge. </w:t>
      </w:r>
    </w:p>
    <w:p w:rsidR="00D359DD" w:rsidRPr="009C3074" w:rsidRDefault="00D359DD" w:rsidP="00D359DD">
      <w:pPr>
        <w:spacing w:line="360" w:lineRule="auto"/>
        <w:rPr>
          <w:rFonts w:ascii="Times New Roman" w:hAnsi="Times New Roman" w:cs="Times New Roman"/>
          <w:sz w:val="22"/>
          <w:szCs w:val="22"/>
          <w:lang w:val="en-GB"/>
        </w:rPr>
      </w:pPr>
    </w:p>
    <w:p w:rsidR="00D359DD" w:rsidRPr="009C3074" w:rsidRDefault="00D359DD" w:rsidP="00D359DD">
      <w:pPr>
        <w:spacing w:line="360" w:lineRule="auto"/>
        <w:rPr>
          <w:rFonts w:ascii="Times New Roman" w:hAnsi="Times New Roman" w:cs="Times New Roman"/>
          <w:sz w:val="22"/>
          <w:szCs w:val="22"/>
          <w:lang w:val="en-GB"/>
        </w:rPr>
      </w:pPr>
      <w:r w:rsidRPr="009C3074">
        <w:rPr>
          <w:rFonts w:ascii="Times New Roman" w:hAnsi="Times New Roman" w:cs="Times New Roman"/>
          <w:sz w:val="22"/>
          <w:szCs w:val="22"/>
          <w:lang w:val="en-GB"/>
        </w:rPr>
        <w:t xml:space="preserve">World Economic Forum. (2018) </w:t>
      </w:r>
      <w:r w:rsidRPr="009C3074">
        <w:rPr>
          <w:rFonts w:ascii="Times New Roman" w:hAnsi="Times New Roman" w:cs="Times New Roman"/>
          <w:i/>
          <w:sz w:val="22"/>
          <w:szCs w:val="22"/>
          <w:lang w:val="en-GB"/>
        </w:rPr>
        <w:t xml:space="preserve">The Future of Jobs Report 2018. </w:t>
      </w:r>
      <w:r w:rsidRPr="009C3074">
        <w:rPr>
          <w:rFonts w:ascii="Times New Roman" w:hAnsi="Times New Roman" w:cs="Times New Roman"/>
          <w:sz w:val="22"/>
          <w:szCs w:val="22"/>
          <w:lang w:val="en-GB"/>
        </w:rPr>
        <w:t xml:space="preserve">Switzerland: WEC. Available at: </w:t>
      </w:r>
      <w:hyperlink r:id="rId17" w:history="1">
        <w:r w:rsidRPr="009C3074">
          <w:rPr>
            <w:rStyle w:val="Hyperlink"/>
            <w:rFonts w:ascii="Times New Roman" w:hAnsi="Times New Roman" w:cs="Times New Roman"/>
            <w:sz w:val="22"/>
            <w:szCs w:val="22"/>
            <w:lang w:val="en-GB"/>
          </w:rPr>
          <w:t>http://www3.weforum.org/docs/WEF_Future_of_Jobs_2018.pdf</w:t>
        </w:r>
      </w:hyperlink>
      <w:r w:rsidRPr="009C3074">
        <w:rPr>
          <w:rFonts w:ascii="Times New Roman" w:hAnsi="Times New Roman" w:cs="Times New Roman"/>
          <w:sz w:val="22"/>
          <w:szCs w:val="22"/>
          <w:lang w:val="en-GB"/>
        </w:rPr>
        <w:t xml:space="preserve"> [Accessed on 27th November 2019] </w:t>
      </w:r>
    </w:p>
    <w:p w:rsidR="00D359DD" w:rsidRPr="00D359DD" w:rsidRDefault="00D359DD" w:rsidP="007E6502">
      <w:pPr>
        <w:pStyle w:val="NormalWeb"/>
        <w:rPr>
          <w:sz w:val="22"/>
          <w:u w:val="single"/>
        </w:rPr>
      </w:pPr>
    </w:p>
    <w:p w:rsidR="00FB314F" w:rsidRDefault="00FB314F" w:rsidP="007E6502">
      <w:pPr>
        <w:pStyle w:val="NormalWeb"/>
        <w:rPr>
          <w:sz w:val="22"/>
        </w:rPr>
      </w:pPr>
    </w:p>
    <w:p w:rsidR="0052230E" w:rsidRPr="00077AD3" w:rsidRDefault="0052230E" w:rsidP="007E6502">
      <w:pPr>
        <w:pStyle w:val="NormalWeb"/>
        <w:rPr>
          <w:sz w:val="22"/>
        </w:rPr>
      </w:pPr>
    </w:p>
    <w:p w:rsidR="00855682" w:rsidRPr="007E6502" w:rsidRDefault="00855682">
      <w:pPr>
        <w:rPr>
          <w:lang w:val="en-GB"/>
        </w:rPr>
      </w:pPr>
    </w:p>
    <w:sectPr w:rsidR="00855682" w:rsidRPr="007E6502" w:rsidSect="00853A60">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559A" w:rsidRDefault="00DD559A" w:rsidP="00ED3914">
      <w:r>
        <w:separator/>
      </w:r>
    </w:p>
  </w:endnote>
  <w:endnote w:type="continuationSeparator" w:id="0">
    <w:p w:rsidR="00DD559A" w:rsidRDefault="00DD559A" w:rsidP="00ED39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4196908"/>
      <w:docPartObj>
        <w:docPartGallery w:val="Page Numbers (Bottom of Page)"/>
        <w:docPartUnique/>
      </w:docPartObj>
    </w:sdtPr>
    <w:sdtContent>
      <w:p w:rsidR="00ED3914" w:rsidRDefault="00ED3914" w:rsidP="000638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D3914" w:rsidRDefault="00ED3914" w:rsidP="00ED39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8433648"/>
      <w:docPartObj>
        <w:docPartGallery w:val="Page Numbers (Bottom of Page)"/>
        <w:docPartUnique/>
      </w:docPartObj>
    </w:sdtPr>
    <w:sdtContent>
      <w:p w:rsidR="00ED3914" w:rsidRDefault="00ED3914" w:rsidP="000638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D3914" w:rsidRDefault="00ED3914" w:rsidP="00ED39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559A" w:rsidRDefault="00DD559A" w:rsidP="00ED3914">
      <w:r>
        <w:separator/>
      </w:r>
    </w:p>
  </w:footnote>
  <w:footnote w:type="continuationSeparator" w:id="0">
    <w:p w:rsidR="00DD559A" w:rsidRDefault="00DD559A" w:rsidP="00ED39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3914" w:rsidRDefault="00ED3914">
    <w:pPr>
      <w:pStyle w:val="Header"/>
    </w:pPr>
    <w:r>
      <w:t>1701257</w:t>
    </w:r>
  </w:p>
  <w:p w:rsidR="00ED3914" w:rsidRDefault="00ED39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502"/>
    <w:rsid w:val="00073C56"/>
    <w:rsid w:val="000762ED"/>
    <w:rsid w:val="000776D6"/>
    <w:rsid w:val="00077AD3"/>
    <w:rsid w:val="000835EC"/>
    <w:rsid w:val="00085311"/>
    <w:rsid w:val="000A39B6"/>
    <w:rsid w:val="000B7C90"/>
    <w:rsid w:val="001467ED"/>
    <w:rsid w:val="0019190D"/>
    <w:rsid w:val="00200C82"/>
    <w:rsid w:val="00217DAA"/>
    <w:rsid w:val="0024653F"/>
    <w:rsid w:val="0030017C"/>
    <w:rsid w:val="00301F2E"/>
    <w:rsid w:val="00387783"/>
    <w:rsid w:val="003C3750"/>
    <w:rsid w:val="003D378D"/>
    <w:rsid w:val="003E0F80"/>
    <w:rsid w:val="003E5E1B"/>
    <w:rsid w:val="00412E51"/>
    <w:rsid w:val="0043458E"/>
    <w:rsid w:val="004667CA"/>
    <w:rsid w:val="004C7EAD"/>
    <w:rsid w:val="0052230E"/>
    <w:rsid w:val="00551CE9"/>
    <w:rsid w:val="00561ACA"/>
    <w:rsid w:val="005A663B"/>
    <w:rsid w:val="005B7FED"/>
    <w:rsid w:val="005F21AE"/>
    <w:rsid w:val="005F40F8"/>
    <w:rsid w:val="005F58F0"/>
    <w:rsid w:val="0067341F"/>
    <w:rsid w:val="006B7959"/>
    <w:rsid w:val="006F6A73"/>
    <w:rsid w:val="00707EB7"/>
    <w:rsid w:val="00712FEB"/>
    <w:rsid w:val="0073675C"/>
    <w:rsid w:val="007717B1"/>
    <w:rsid w:val="007730A5"/>
    <w:rsid w:val="00783A0D"/>
    <w:rsid w:val="007A185E"/>
    <w:rsid w:val="007E6502"/>
    <w:rsid w:val="00853A60"/>
    <w:rsid w:val="0085402F"/>
    <w:rsid w:val="00855682"/>
    <w:rsid w:val="00870BE9"/>
    <w:rsid w:val="00894DC7"/>
    <w:rsid w:val="009C0650"/>
    <w:rsid w:val="00A53252"/>
    <w:rsid w:val="00A733A3"/>
    <w:rsid w:val="00B36F14"/>
    <w:rsid w:val="00B5593F"/>
    <w:rsid w:val="00B8081F"/>
    <w:rsid w:val="00B875D1"/>
    <w:rsid w:val="00BC680F"/>
    <w:rsid w:val="00BE0A09"/>
    <w:rsid w:val="00C87091"/>
    <w:rsid w:val="00CA622A"/>
    <w:rsid w:val="00CC36B5"/>
    <w:rsid w:val="00CD367D"/>
    <w:rsid w:val="00D359DD"/>
    <w:rsid w:val="00D570AE"/>
    <w:rsid w:val="00D574F7"/>
    <w:rsid w:val="00D87095"/>
    <w:rsid w:val="00DA1A3D"/>
    <w:rsid w:val="00DC2BE0"/>
    <w:rsid w:val="00DD559A"/>
    <w:rsid w:val="00DF5034"/>
    <w:rsid w:val="00DF52B9"/>
    <w:rsid w:val="00E27178"/>
    <w:rsid w:val="00E60AAC"/>
    <w:rsid w:val="00EB7E31"/>
    <w:rsid w:val="00ED3914"/>
    <w:rsid w:val="00F312AA"/>
    <w:rsid w:val="00F515DF"/>
    <w:rsid w:val="00F52FC8"/>
    <w:rsid w:val="00F74A1B"/>
    <w:rsid w:val="00F914F1"/>
    <w:rsid w:val="00FB31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2A5FF23"/>
  <w14:defaultImageDpi w14:val="32767"/>
  <w15:chartTrackingRefBased/>
  <w15:docId w15:val="{4B0EDFE5-72AA-644F-9939-42B473D11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E6502"/>
    <w:pPr>
      <w:spacing w:before="100" w:beforeAutospacing="1" w:after="100" w:afterAutospacing="1"/>
    </w:pPr>
    <w:rPr>
      <w:rFonts w:ascii="Times New Roman" w:eastAsia="Times New Roman" w:hAnsi="Times New Roman" w:cs="Times New Roman"/>
      <w:lang w:val="en-GB"/>
    </w:rPr>
  </w:style>
  <w:style w:type="paragraph" w:styleId="Footer">
    <w:name w:val="footer"/>
    <w:basedOn w:val="Normal"/>
    <w:link w:val="FooterChar"/>
    <w:uiPriority w:val="99"/>
    <w:unhideWhenUsed/>
    <w:rsid w:val="00ED3914"/>
    <w:pPr>
      <w:tabs>
        <w:tab w:val="center" w:pos="4513"/>
        <w:tab w:val="right" w:pos="9026"/>
      </w:tabs>
    </w:pPr>
  </w:style>
  <w:style w:type="character" w:customStyle="1" w:styleId="FooterChar">
    <w:name w:val="Footer Char"/>
    <w:basedOn w:val="DefaultParagraphFont"/>
    <w:link w:val="Footer"/>
    <w:uiPriority w:val="99"/>
    <w:rsid w:val="00ED3914"/>
  </w:style>
  <w:style w:type="character" w:styleId="PageNumber">
    <w:name w:val="page number"/>
    <w:basedOn w:val="DefaultParagraphFont"/>
    <w:uiPriority w:val="99"/>
    <w:semiHidden/>
    <w:unhideWhenUsed/>
    <w:rsid w:val="00ED3914"/>
  </w:style>
  <w:style w:type="paragraph" w:styleId="Header">
    <w:name w:val="header"/>
    <w:basedOn w:val="Normal"/>
    <w:link w:val="HeaderChar"/>
    <w:uiPriority w:val="99"/>
    <w:unhideWhenUsed/>
    <w:rsid w:val="00ED3914"/>
    <w:pPr>
      <w:tabs>
        <w:tab w:val="center" w:pos="4513"/>
        <w:tab w:val="right" w:pos="9026"/>
      </w:tabs>
    </w:pPr>
  </w:style>
  <w:style w:type="character" w:customStyle="1" w:styleId="HeaderChar">
    <w:name w:val="Header Char"/>
    <w:basedOn w:val="DefaultParagraphFont"/>
    <w:link w:val="Header"/>
    <w:uiPriority w:val="99"/>
    <w:rsid w:val="00ED3914"/>
  </w:style>
  <w:style w:type="character" w:styleId="Hyperlink">
    <w:name w:val="Hyperlink"/>
    <w:basedOn w:val="DefaultParagraphFont"/>
    <w:uiPriority w:val="99"/>
    <w:unhideWhenUsed/>
    <w:rsid w:val="00D359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5551804">
      <w:bodyDiv w:val="1"/>
      <w:marLeft w:val="0"/>
      <w:marRight w:val="0"/>
      <w:marTop w:val="0"/>
      <w:marBottom w:val="0"/>
      <w:divBdr>
        <w:top w:val="none" w:sz="0" w:space="0" w:color="auto"/>
        <w:left w:val="none" w:sz="0" w:space="0" w:color="auto"/>
        <w:bottom w:val="none" w:sz="0" w:space="0" w:color="auto"/>
        <w:right w:val="none" w:sz="0" w:space="0" w:color="auto"/>
      </w:divBdr>
      <w:divsChild>
        <w:div w:id="1282807770">
          <w:marLeft w:val="0"/>
          <w:marRight w:val="0"/>
          <w:marTop w:val="0"/>
          <w:marBottom w:val="0"/>
          <w:divBdr>
            <w:top w:val="none" w:sz="0" w:space="0" w:color="auto"/>
            <w:left w:val="none" w:sz="0" w:space="0" w:color="auto"/>
            <w:bottom w:val="none" w:sz="0" w:space="0" w:color="auto"/>
            <w:right w:val="none" w:sz="0" w:space="0" w:color="auto"/>
          </w:divBdr>
          <w:divsChild>
            <w:div w:id="1573617591">
              <w:marLeft w:val="0"/>
              <w:marRight w:val="0"/>
              <w:marTop w:val="0"/>
              <w:marBottom w:val="0"/>
              <w:divBdr>
                <w:top w:val="none" w:sz="0" w:space="0" w:color="auto"/>
                <w:left w:val="none" w:sz="0" w:space="0" w:color="auto"/>
                <w:bottom w:val="none" w:sz="0" w:space="0" w:color="auto"/>
                <w:right w:val="none" w:sz="0" w:space="0" w:color="auto"/>
              </w:divBdr>
              <w:divsChild>
                <w:div w:id="156679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cea.org.uk/curriculum/assess_progress/types_assessment/summative" TargetMode="External"/><Relationship Id="rId13" Type="http://schemas.openxmlformats.org/officeDocument/2006/relationships/hyperlink" Target="https://teachingbattleground.wordpress.com/2015/05/27/a-myth-for-teachers-jobs-that-dont-exist-yet/"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www.nicurriculum.org.uk/docs/key_stages_1_and_2/areas_of_learning/Guidance_on_Assessment_Primary.pdf" TargetMode="External"/><Relationship Id="rId12" Type="http://schemas.openxmlformats.org/officeDocument/2006/relationships/hyperlink" Target="https://www.telegraph.co.uk/education/educationnews/11108981/Ofsted-primary-schools-place-too-much-focus-on-three-Rs.html" TargetMode="External"/><Relationship Id="rId17" Type="http://schemas.openxmlformats.org/officeDocument/2006/relationships/hyperlink" Target="http://www3.weforum.org/docs/WEF_Future_of_Jobs_2018.pdf" TargetMode="External"/><Relationship Id="rId2" Type="http://schemas.openxmlformats.org/officeDocument/2006/relationships/settings" Target="settings.xml"/><Relationship Id="rId16" Type="http://schemas.openxmlformats.org/officeDocument/2006/relationships/hyperlink" Target="https://gov.wales/sites/default/files/consultations/2019-10/curriculum-wales-2022-feedback-analysis.pdf"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hansard.parliament.uk/Lords/2016-06-13/debates/0ECEFEA3-AF27-4B97-98CD-79EC03CE2AB9/DigitalSkills(SelectCommitteeReport)" TargetMode="External"/><Relationship Id="rId11" Type="http://schemas.openxmlformats.org/officeDocument/2006/relationships/hyperlink" Target="https://www.forbes.com/sites/dereknewton/2018/12/28/the-myth-of-jobs-that-dont-exist-yet/#270d236a70ec" TargetMode="External"/><Relationship Id="rId5" Type="http://schemas.openxmlformats.org/officeDocument/2006/relationships/endnotes" Target="endnotes.xml"/><Relationship Id="rId15" Type="http://schemas.openxmlformats.org/officeDocument/2006/relationships/hyperlink" Target="https://publications.parliament.uk/pa/cm201617/cmselect/cmsctech/270/27006.htm?fbclid=IwAR2JZBsJuRRLfa1lk3LEV0T0K6WmuEnLEuUuEK-VONssn1w3CnIO4QBn9mw" TargetMode="External"/><Relationship Id="rId10" Type="http://schemas.openxmlformats.org/officeDocument/2006/relationships/hyperlink" Target="https://www.delltechnologies.com/content/dam/delltechnologies/assets/perspectives/2030/pdf/SR1940_IFTFforDellTechnologies_Human-Machine_070517_readerhigh-res.pd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scholastic.com/teachers/blog-posts/meghan-everette/17-18/Using-Formative-Assessments-Across-the-Curriculum/" TargetMode="External"/><Relationship Id="rId14" Type="http://schemas.openxmlformats.org/officeDocument/2006/relationships/hyperlink" Target="https://www.ciep.fr/sites/default/files/atoms/files/crosscut-cross-curricular-teaching-how-does-it-work-synthesi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427</TotalTime>
  <Pages>9</Pages>
  <Words>3638</Words>
  <Characters>20742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dylanhowlettt@gmail.com</dc:creator>
  <cp:keywords/>
  <dc:description/>
  <cp:lastModifiedBy>dylanhowlettt@gmail.com</cp:lastModifiedBy>
  <cp:revision>22</cp:revision>
  <dcterms:created xsi:type="dcterms:W3CDTF">2019-12-04T14:05:00Z</dcterms:created>
  <dcterms:modified xsi:type="dcterms:W3CDTF">2019-12-17T09:57:00Z</dcterms:modified>
</cp:coreProperties>
</file>