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41388" w14:textId="77777777" w:rsidR="00172F01" w:rsidRDefault="00172F01" w:rsidP="00E655EE">
      <w:pPr>
        <w:pStyle w:val="ListParagraph"/>
        <w:jc w:val="center"/>
        <w:rPr>
          <w:rFonts w:cs="Times New Roman"/>
          <w:b/>
          <w:bCs/>
          <w:sz w:val="26"/>
          <w:szCs w:val="26"/>
        </w:rPr>
      </w:pPr>
    </w:p>
    <w:p w14:paraId="65F9054E" w14:textId="77777777" w:rsidR="00605581" w:rsidRPr="002D6278" w:rsidRDefault="00605581" w:rsidP="00197FF5">
      <w:pPr>
        <w:pStyle w:val="ListParagraph"/>
        <w:ind w:left="0"/>
        <w:jc w:val="center"/>
        <w:rPr>
          <w:rFonts w:ascii="Book Antiqua" w:hAnsi="Book Antiqua" w:cs="Times New Roman"/>
          <w:b/>
          <w:bCs/>
          <w:sz w:val="28"/>
          <w:szCs w:val="28"/>
        </w:rPr>
      </w:pPr>
    </w:p>
    <w:p w14:paraId="3F80F30D" w14:textId="77777777" w:rsidR="00605581" w:rsidRPr="002D6278" w:rsidRDefault="00605581" w:rsidP="00197FF5">
      <w:pPr>
        <w:pStyle w:val="ListParagraph"/>
        <w:ind w:left="0"/>
        <w:jc w:val="center"/>
        <w:rPr>
          <w:rFonts w:ascii="Book Antiqua" w:hAnsi="Book Antiqua" w:cs="Times New Roman"/>
          <w:b/>
          <w:bCs/>
          <w:sz w:val="28"/>
          <w:szCs w:val="28"/>
        </w:rPr>
      </w:pPr>
    </w:p>
    <w:p w14:paraId="42450568" w14:textId="77777777" w:rsidR="00333D69" w:rsidRPr="002D6278" w:rsidRDefault="00333D69" w:rsidP="00F4272B">
      <w:pPr>
        <w:pStyle w:val="ListParagraph"/>
        <w:ind w:left="0"/>
        <w:jc w:val="both"/>
        <w:rPr>
          <w:rFonts w:ascii="Book Antiqua" w:hAnsi="Book Antiqua" w:cs="Times New Roman"/>
          <w:b/>
          <w:bCs/>
          <w:sz w:val="20"/>
          <w:szCs w:val="20"/>
        </w:rPr>
      </w:pPr>
    </w:p>
    <w:p w14:paraId="0C0DE90F" w14:textId="7DB50812" w:rsidR="00333D69" w:rsidRPr="002D6278" w:rsidRDefault="00333D69" w:rsidP="00F4272B">
      <w:pPr>
        <w:pStyle w:val="ListParagraph"/>
        <w:ind w:left="0"/>
        <w:jc w:val="both"/>
        <w:rPr>
          <w:rFonts w:ascii="Book Antiqua" w:hAnsi="Book Antiqua" w:cs="Times New Roman"/>
          <w:b/>
          <w:bCs/>
          <w:sz w:val="20"/>
          <w:szCs w:val="20"/>
        </w:rPr>
      </w:pPr>
    </w:p>
    <w:p w14:paraId="6CDB52D5" w14:textId="6319F822" w:rsidR="00197FF5" w:rsidRPr="001825BD" w:rsidRDefault="001F44F9" w:rsidP="00197FF5">
      <w:pPr>
        <w:pStyle w:val="ListParagraph"/>
        <w:jc w:val="center"/>
        <w:rPr>
          <w:rFonts w:ascii="Book Antiqua" w:hAnsi="Book Antiqua" w:cs="Times New Roman"/>
          <w:b/>
          <w:bCs/>
          <w:sz w:val="28"/>
          <w:szCs w:val="28"/>
        </w:rPr>
      </w:pPr>
      <w:r w:rsidRPr="001825BD">
        <w:rPr>
          <w:rFonts w:ascii="Book Antiqua" w:hAnsi="Book Antiqua" w:cs="Times New Roman"/>
          <w:b/>
          <w:bCs/>
          <w:sz w:val="28"/>
          <w:szCs w:val="28"/>
        </w:rPr>
        <w:t xml:space="preserve">Converting </w:t>
      </w:r>
      <w:r w:rsidR="00197FF5" w:rsidRPr="001825BD">
        <w:rPr>
          <w:rFonts w:ascii="Book Antiqua" w:hAnsi="Book Antiqua" w:cs="Times New Roman"/>
          <w:b/>
          <w:bCs/>
          <w:sz w:val="28"/>
          <w:szCs w:val="28"/>
        </w:rPr>
        <w:t>Research </w:t>
      </w:r>
      <w:r w:rsidRPr="001825BD">
        <w:rPr>
          <w:rFonts w:ascii="Book Antiqua" w:hAnsi="Book Antiqua" w:cs="Times New Roman"/>
          <w:b/>
          <w:bCs/>
          <w:sz w:val="28"/>
          <w:szCs w:val="28"/>
        </w:rPr>
        <w:t>into Practice</w:t>
      </w:r>
    </w:p>
    <w:p w14:paraId="3505AC4B" w14:textId="195F6DE5" w:rsidR="00197FF5" w:rsidRPr="001825BD" w:rsidRDefault="00197FF5" w:rsidP="00197FF5">
      <w:pPr>
        <w:pStyle w:val="ListParagraph"/>
        <w:jc w:val="center"/>
        <w:rPr>
          <w:rFonts w:ascii="Book Antiqua" w:hAnsi="Book Antiqua" w:cs="Times New Roman"/>
          <w:b/>
          <w:bCs/>
          <w:sz w:val="28"/>
          <w:szCs w:val="28"/>
        </w:rPr>
      </w:pPr>
      <w:r w:rsidRPr="001825BD">
        <w:rPr>
          <w:rFonts w:ascii="Book Antiqua" w:hAnsi="Book Antiqua" w:cs="Times New Roman"/>
          <w:b/>
          <w:bCs/>
          <w:sz w:val="28"/>
          <w:szCs w:val="28"/>
        </w:rPr>
        <w:t>LCDB70</w:t>
      </w:r>
      <w:r w:rsidR="001F44F9" w:rsidRPr="001825BD">
        <w:rPr>
          <w:rFonts w:ascii="Book Antiqua" w:hAnsi="Book Antiqua" w:cs="Times New Roman"/>
          <w:b/>
          <w:bCs/>
          <w:sz w:val="28"/>
          <w:szCs w:val="28"/>
        </w:rPr>
        <w:t>10</w:t>
      </w:r>
    </w:p>
    <w:p w14:paraId="35AF76EA" w14:textId="0FA03244" w:rsidR="00197FF5" w:rsidRPr="001825BD" w:rsidRDefault="00197FF5" w:rsidP="00197FF5">
      <w:pPr>
        <w:pStyle w:val="ListParagraph"/>
        <w:jc w:val="center"/>
        <w:rPr>
          <w:rFonts w:ascii="Book Antiqua" w:hAnsi="Book Antiqua" w:cs="Times New Roman"/>
          <w:b/>
          <w:bCs/>
          <w:sz w:val="28"/>
          <w:szCs w:val="28"/>
        </w:rPr>
      </w:pPr>
      <w:r w:rsidRPr="001825BD">
        <w:rPr>
          <w:rFonts w:ascii="Book Antiqua" w:hAnsi="Book Antiqua" w:cs="Times New Roman"/>
          <w:b/>
          <w:bCs/>
          <w:sz w:val="28"/>
          <w:szCs w:val="28"/>
        </w:rPr>
        <w:t>Programme: D</w:t>
      </w:r>
      <w:r w:rsidR="00AD2A32" w:rsidRPr="001825BD">
        <w:rPr>
          <w:rFonts w:ascii="Book Antiqua" w:hAnsi="Book Antiqua" w:cs="Times New Roman"/>
          <w:b/>
          <w:bCs/>
          <w:sz w:val="28"/>
          <w:szCs w:val="28"/>
        </w:rPr>
        <w:t xml:space="preserve">octor of </w:t>
      </w:r>
      <w:r w:rsidRPr="001825BD">
        <w:rPr>
          <w:rFonts w:ascii="Book Antiqua" w:hAnsi="Book Antiqua" w:cs="Times New Roman"/>
          <w:b/>
          <w:bCs/>
          <w:sz w:val="28"/>
          <w:szCs w:val="28"/>
        </w:rPr>
        <w:t>B</w:t>
      </w:r>
      <w:r w:rsidR="00AD2A32" w:rsidRPr="001825BD">
        <w:rPr>
          <w:rFonts w:ascii="Book Antiqua" w:hAnsi="Book Antiqua" w:cs="Times New Roman"/>
          <w:b/>
          <w:bCs/>
          <w:sz w:val="28"/>
          <w:szCs w:val="28"/>
        </w:rPr>
        <w:t xml:space="preserve">usiness </w:t>
      </w:r>
      <w:r w:rsidRPr="001825BD">
        <w:rPr>
          <w:rFonts w:ascii="Book Antiqua" w:hAnsi="Book Antiqua" w:cs="Times New Roman"/>
          <w:b/>
          <w:bCs/>
          <w:sz w:val="28"/>
          <w:szCs w:val="28"/>
        </w:rPr>
        <w:t>A</w:t>
      </w:r>
      <w:r w:rsidR="00AD2A32" w:rsidRPr="001825BD">
        <w:rPr>
          <w:rFonts w:ascii="Book Antiqua" w:hAnsi="Book Antiqua" w:cs="Times New Roman"/>
          <w:b/>
          <w:bCs/>
          <w:sz w:val="28"/>
          <w:szCs w:val="28"/>
        </w:rPr>
        <w:t>dministration</w:t>
      </w:r>
    </w:p>
    <w:p w14:paraId="3C77F9E1" w14:textId="77777777" w:rsidR="00333D69" w:rsidRPr="002D6278" w:rsidRDefault="00333D69" w:rsidP="00F4272B">
      <w:pPr>
        <w:pStyle w:val="ListParagraph"/>
        <w:ind w:left="0"/>
        <w:jc w:val="both"/>
        <w:rPr>
          <w:rFonts w:ascii="Book Antiqua" w:hAnsi="Book Antiqua" w:cs="Times New Roman"/>
          <w:b/>
          <w:bCs/>
          <w:sz w:val="20"/>
          <w:szCs w:val="20"/>
        </w:rPr>
      </w:pPr>
    </w:p>
    <w:p w14:paraId="3875CF1F" w14:textId="77777777" w:rsidR="00333D69" w:rsidRPr="002D6278" w:rsidRDefault="00333D69" w:rsidP="00F4272B">
      <w:pPr>
        <w:pStyle w:val="ListParagraph"/>
        <w:ind w:left="0"/>
        <w:jc w:val="both"/>
        <w:rPr>
          <w:rFonts w:ascii="Book Antiqua" w:hAnsi="Book Antiqua" w:cs="Times New Roman"/>
          <w:b/>
          <w:bCs/>
          <w:sz w:val="20"/>
          <w:szCs w:val="20"/>
        </w:rPr>
      </w:pPr>
    </w:p>
    <w:p w14:paraId="450EE9DB" w14:textId="77777777" w:rsidR="00333D69" w:rsidRPr="002D6278" w:rsidRDefault="00333D69" w:rsidP="00F4272B">
      <w:pPr>
        <w:pStyle w:val="ListParagraph"/>
        <w:ind w:left="0"/>
        <w:jc w:val="both"/>
        <w:rPr>
          <w:rFonts w:ascii="Book Antiqua" w:hAnsi="Book Antiqua" w:cs="Times New Roman"/>
          <w:b/>
          <w:bCs/>
          <w:sz w:val="20"/>
          <w:szCs w:val="20"/>
        </w:rPr>
      </w:pPr>
    </w:p>
    <w:p w14:paraId="52CF563C" w14:textId="77777777" w:rsidR="00333D69" w:rsidRPr="002D6278" w:rsidRDefault="00333D69" w:rsidP="00F4272B">
      <w:pPr>
        <w:pStyle w:val="ListParagraph"/>
        <w:ind w:left="0"/>
        <w:jc w:val="both"/>
        <w:rPr>
          <w:rFonts w:ascii="Book Antiqua" w:hAnsi="Book Antiqua" w:cs="Times New Roman"/>
          <w:b/>
          <w:bCs/>
          <w:sz w:val="20"/>
          <w:szCs w:val="20"/>
        </w:rPr>
      </w:pPr>
    </w:p>
    <w:p w14:paraId="746E9B8B" w14:textId="77777777" w:rsidR="00333D69" w:rsidRPr="002D6278" w:rsidRDefault="00333D69" w:rsidP="00F4272B">
      <w:pPr>
        <w:pStyle w:val="ListParagraph"/>
        <w:ind w:left="0"/>
        <w:jc w:val="both"/>
        <w:rPr>
          <w:rFonts w:ascii="Book Antiqua" w:hAnsi="Book Antiqua" w:cs="Times New Roman"/>
          <w:b/>
          <w:bCs/>
          <w:sz w:val="20"/>
          <w:szCs w:val="20"/>
        </w:rPr>
      </w:pPr>
    </w:p>
    <w:p w14:paraId="3310E8B5" w14:textId="77777777" w:rsidR="00333D69" w:rsidRPr="002D6278" w:rsidRDefault="00333D69" w:rsidP="00F4272B">
      <w:pPr>
        <w:pStyle w:val="ListParagraph"/>
        <w:ind w:left="0"/>
        <w:jc w:val="both"/>
        <w:rPr>
          <w:rFonts w:ascii="Book Antiqua" w:hAnsi="Book Antiqua" w:cs="Times New Roman"/>
          <w:b/>
          <w:bCs/>
          <w:sz w:val="20"/>
          <w:szCs w:val="20"/>
        </w:rPr>
      </w:pPr>
    </w:p>
    <w:p w14:paraId="12ABDBB7" w14:textId="77777777" w:rsidR="00333D69" w:rsidRPr="002D6278" w:rsidRDefault="00333D69" w:rsidP="00F4272B">
      <w:pPr>
        <w:pStyle w:val="ListParagraph"/>
        <w:ind w:left="0"/>
        <w:jc w:val="both"/>
        <w:rPr>
          <w:rFonts w:ascii="Book Antiqua" w:hAnsi="Book Antiqua" w:cs="Times New Roman"/>
          <w:b/>
          <w:bCs/>
          <w:sz w:val="20"/>
          <w:szCs w:val="20"/>
        </w:rPr>
      </w:pPr>
    </w:p>
    <w:p w14:paraId="5AF72A71" w14:textId="77777777" w:rsidR="00333D69" w:rsidRPr="002D6278" w:rsidRDefault="00333D69" w:rsidP="00F4272B">
      <w:pPr>
        <w:pStyle w:val="ListParagraph"/>
        <w:ind w:left="0"/>
        <w:jc w:val="both"/>
        <w:rPr>
          <w:rFonts w:ascii="Book Antiqua" w:hAnsi="Book Antiqua" w:cs="Times New Roman"/>
          <w:b/>
          <w:bCs/>
          <w:sz w:val="20"/>
          <w:szCs w:val="20"/>
        </w:rPr>
      </w:pPr>
    </w:p>
    <w:p w14:paraId="21268BF0" w14:textId="77777777" w:rsidR="00333D69" w:rsidRPr="002D6278" w:rsidRDefault="00333D69" w:rsidP="00F4272B">
      <w:pPr>
        <w:pStyle w:val="ListParagraph"/>
        <w:ind w:left="0"/>
        <w:jc w:val="both"/>
        <w:rPr>
          <w:rFonts w:ascii="Book Antiqua" w:hAnsi="Book Antiqua" w:cs="Times New Roman"/>
          <w:b/>
          <w:bCs/>
          <w:sz w:val="20"/>
          <w:szCs w:val="20"/>
        </w:rPr>
      </w:pPr>
    </w:p>
    <w:p w14:paraId="65DE1155" w14:textId="77777777" w:rsidR="00333D69" w:rsidRPr="002D6278" w:rsidRDefault="00333D69" w:rsidP="00F4272B">
      <w:pPr>
        <w:pStyle w:val="ListParagraph"/>
        <w:ind w:left="0"/>
        <w:jc w:val="both"/>
        <w:rPr>
          <w:rFonts w:ascii="Book Antiqua" w:hAnsi="Book Antiqua" w:cs="Times New Roman"/>
          <w:b/>
          <w:bCs/>
          <w:sz w:val="20"/>
          <w:szCs w:val="20"/>
        </w:rPr>
      </w:pPr>
    </w:p>
    <w:p w14:paraId="64F0EF70" w14:textId="51273EA9" w:rsidR="00A47F82" w:rsidRPr="002D6278" w:rsidRDefault="00A47F82" w:rsidP="00A47F82">
      <w:pPr>
        <w:pStyle w:val="ListParagraph"/>
        <w:jc w:val="center"/>
        <w:rPr>
          <w:rFonts w:ascii="Book Antiqua" w:hAnsi="Book Antiqua" w:cs="Times New Roman"/>
          <w:b/>
          <w:bCs/>
          <w:sz w:val="18"/>
          <w:szCs w:val="18"/>
        </w:rPr>
      </w:pPr>
      <w:r w:rsidRPr="002D6278">
        <w:rPr>
          <w:rFonts w:ascii="Book Antiqua" w:hAnsi="Book Antiqua" w:cs="Times New Roman"/>
          <w:b/>
          <w:bCs/>
          <w:sz w:val="18"/>
          <w:szCs w:val="18"/>
        </w:rPr>
        <w:t>Submitted By: Parmita Saha</w:t>
      </w:r>
    </w:p>
    <w:p w14:paraId="0A1E94DA" w14:textId="699BC30B" w:rsidR="00A47F82" w:rsidRPr="002D6278" w:rsidRDefault="00A47F82" w:rsidP="00A47F82">
      <w:pPr>
        <w:pStyle w:val="ListParagraph"/>
        <w:jc w:val="center"/>
        <w:rPr>
          <w:rFonts w:ascii="Book Antiqua" w:hAnsi="Book Antiqua" w:cs="Times New Roman"/>
          <w:b/>
          <w:bCs/>
          <w:sz w:val="18"/>
          <w:szCs w:val="18"/>
        </w:rPr>
      </w:pPr>
      <w:r w:rsidRPr="002D6278">
        <w:rPr>
          <w:rFonts w:ascii="Book Antiqua" w:hAnsi="Book Antiqua" w:cs="Times New Roman"/>
          <w:b/>
          <w:bCs/>
          <w:sz w:val="18"/>
          <w:szCs w:val="18"/>
        </w:rPr>
        <w:t>Student ID: 2523926</w:t>
      </w:r>
    </w:p>
    <w:p w14:paraId="524117A8" w14:textId="17965B2F" w:rsidR="00A47F82" w:rsidRPr="002D6278" w:rsidRDefault="00A47F82" w:rsidP="00A47F82">
      <w:pPr>
        <w:pStyle w:val="ListParagraph"/>
        <w:jc w:val="center"/>
        <w:rPr>
          <w:rFonts w:ascii="Book Antiqua" w:hAnsi="Book Antiqua" w:cs="Times New Roman"/>
          <w:b/>
          <w:bCs/>
          <w:sz w:val="18"/>
          <w:szCs w:val="18"/>
        </w:rPr>
      </w:pPr>
    </w:p>
    <w:p w14:paraId="2635652B" w14:textId="7E34D9E9" w:rsidR="00A47F82" w:rsidRPr="002D6278" w:rsidRDefault="00A47F82" w:rsidP="00A47F82">
      <w:pPr>
        <w:pStyle w:val="ListParagraph"/>
        <w:jc w:val="center"/>
        <w:rPr>
          <w:rFonts w:ascii="Book Antiqua" w:hAnsi="Book Antiqua" w:cs="Times New Roman"/>
          <w:b/>
          <w:bCs/>
          <w:sz w:val="18"/>
          <w:szCs w:val="18"/>
        </w:rPr>
      </w:pPr>
    </w:p>
    <w:p w14:paraId="6976F3FE" w14:textId="083C0C7E" w:rsidR="00A47F82" w:rsidRPr="002D6278" w:rsidRDefault="00A47F82" w:rsidP="00A47F82">
      <w:pPr>
        <w:pStyle w:val="ListParagraph"/>
        <w:jc w:val="center"/>
        <w:rPr>
          <w:rFonts w:ascii="Book Antiqua" w:hAnsi="Book Antiqua" w:cs="Times New Roman"/>
          <w:b/>
          <w:bCs/>
          <w:sz w:val="18"/>
          <w:szCs w:val="18"/>
        </w:rPr>
      </w:pPr>
      <w:r w:rsidRPr="002D6278">
        <w:rPr>
          <w:rFonts w:ascii="Book Antiqua" w:hAnsi="Book Antiqua" w:cs="Times New Roman"/>
          <w:b/>
          <w:bCs/>
          <w:sz w:val="18"/>
          <w:szCs w:val="18"/>
        </w:rPr>
        <w:t>Submitted To: Prof. Dr</w:t>
      </w:r>
      <w:r w:rsidR="00BB38C1">
        <w:rPr>
          <w:rFonts w:ascii="Book Antiqua" w:hAnsi="Book Antiqua" w:cs="Times New Roman"/>
          <w:b/>
          <w:bCs/>
          <w:sz w:val="18"/>
          <w:szCs w:val="18"/>
        </w:rPr>
        <w:t>.</w:t>
      </w:r>
      <w:r w:rsidRPr="002D6278">
        <w:rPr>
          <w:rFonts w:ascii="Book Antiqua" w:hAnsi="Book Antiqua" w:cs="Times New Roman"/>
          <w:b/>
          <w:bCs/>
          <w:sz w:val="18"/>
          <w:szCs w:val="18"/>
        </w:rPr>
        <w:t> </w:t>
      </w:r>
      <w:r w:rsidR="00605581" w:rsidRPr="002D6278">
        <w:rPr>
          <w:rFonts w:ascii="Book Antiqua" w:hAnsi="Book Antiqua" w:cs="Times New Roman"/>
          <w:b/>
          <w:bCs/>
          <w:sz w:val="18"/>
          <w:szCs w:val="18"/>
        </w:rPr>
        <w:t>Eno Maycock</w:t>
      </w:r>
    </w:p>
    <w:p w14:paraId="137B3B28" w14:textId="4D99B240" w:rsidR="00A47F82" w:rsidRPr="002D6278" w:rsidRDefault="00A47F82" w:rsidP="00A47F82">
      <w:pPr>
        <w:pStyle w:val="ListParagraph"/>
        <w:jc w:val="center"/>
        <w:rPr>
          <w:rFonts w:ascii="Book Antiqua" w:hAnsi="Book Antiqua" w:cs="Times New Roman"/>
          <w:b/>
          <w:bCs/>
          <w:sz w:val="18"/>
          <w:szCs w:val="18"/>
        </w:rPr>
      </w:pPr>
      <w:r w:rsidRPr="002D6278">
        <w:rPr>
          <w:rFonts w:ascii="Book Antiqua" w:hAnsi="Book Antiqua" w:cs="Times New Roman"/>
          <w:b/>
          <w:bCs/>
          <w:sz w:val="18"/>
          <w:szCs w:val="18"/>
        </w:rPr>
        <w:t xml:space="preserve">Submission Date: </w:t>
      </w:r>
      <w:r w:rsidR="00605581" w:rsidRPr="002D6278">
        <w:rPr>
          <w:rFonts w:ascii="Book Antiqua" w:hAnsi="Book Antiqua" w:cs="Times New Roman"/>
          <w:b/>
          <w:bCs/>
          <w:sz w:val="18"/>
          <w:szCs w:val="18"/>
        </w:rPr>
        <w:t xml:space="preserve">June </w:t>
      </w:r>
      <w:r w:rsidR="002E0AB9">
        <w:rPr>
          <w:rFonts w:ascii="Book Antiqua" w:hAnsi="Book Antiqua" w:cs="Times New Roman"/>
          <w:b/>
          <w:bCs/>
          <w:sz w:val="18"/>
          <w:szCs w:val="18"/>
        </w:rPr>
        <w:t>29</w:t>
      </w:r>
      <w:r w:rsidRPr="002D6278">
        <w:rPr>
          <w:rFonts w:ascii="Book Antiqua" w:hAnsi="Book Antiqua" w:cs="Times New Roman"/>
          <w:b/>
          <w:bCs/>
          <w:sz w:val="18"/>
          <w:szCs w:val="18"/>
        </w:rPr>
        <w:t>, 2026</w:t>
      </w:r>
    </w:p>
    <w:p w14:paraId="60E1AA80" w14:textId="77777777" w:rsidR="00333D69" w:rsidRPr="002D6278" w:rsidRDefault="00333D69" w:rsidP="00F4272B">
      <w:pPr>
        <w:pStyle w:val="ListParagraph"/>
        <w:ind w:left="0"/>
        <w:jc w:val="both"/>
        <w:rPr>
          <w:rFonts w:ascii="Book Antiqua" w:hAnsi="Book Antiqua" w:cs="Times New Roman"/>
          <w:b/>
          <w:bCs/>
          <w:sz w:val="20"/>
          <w:szCs w:val="20"/>
        </w:rPr>
      </w:pPr>
    </w:p>
    <w:p w14:paraId="3A328B0B" w14:textId="77777777" w:rsidR="00333D69" w:rsidRPr="002D6278" w:rsidRDefault="00333D69" w:rsidP="00F4272B">
      <w:pPr>
        <w:pStyle w:val="ListParagraph"/>
        <w:ind w:left="0"/>
        <w:jc w:val="both"/>
        <w:rPr>
          <w:rFonts w:ascii="Book Antiqua" w:hAnsi="Book Antiqua" w:cs="Times New Roman"/>
          <w:b/>
          <w:bCs/>
          <w:sz w:val="20"/>
          <w:szCs w:val="20"/>
        </w:rPr>
      </w:pPr>
    </w:p>
    <w:p w14:paraId="4CB053E4" w14:textId="77777777" w:rsidR="00333D69" w:rsidRPr="002D6278" w:rsidRDefault="00333D69" w:rsidP="00F4272B">
      <w:pPr>
        <w:pStyle w:val="ListParagraph"/>
        <w:ind w:left="0"/>
        <w:jc w:val="both"/>
        <w:rPr>
          <w:rFonts w:ascii="Book Antiqua" w:hAnsi="Book Antiqua" w:cs="Times New Roman"/>
          <w:b/>
          <w:bCs/>
          <w:sz w:val="20"/>
          <w:szCs w:val="20"/>
        </w:rPr>
      </w:pPr>
    </w:p>
    <w:p w14:paraId="57A1DDB3" w14:textId="77777777" w:rsidR="00333D69" w:rsidRPr="002D6278" w:rsidRDefault="00333D69" w:rsidP="00F4272B">
      <w:pPr>
        <w:pStyle w:val="ListParagraph"/>
        <w:ind w:left="0"/>
        <w:jc w:val="both"/>
        <w:rPr>
          <w:rFonts w:ascii="Book Antiqua" w:hAnsi="Book Antiqua" w:cs="Times New Roman"/>
          <w:b/>
          <w:bCs/>
          <w:sz w:val="20"/>
          <w:szCs w:val="20"/>
        </w:rPr>
      </w:pPr>
    </w:p>
    <w:p w14:paraId="0EAF6831" w14:textId="77777777" w:rsidR="00333D69" w:rsidRPr="002D6278" w:rsidRDefault="00333D69" w:rsidP="00F4272B">
      <w:pPr>
        <w:pStyle w:val="ListParagraph"/>
        <w:ind w:left="0"/>
        <w:jc w:val="both"/>
        <w:rPr>
          <w:rFonts w:ascii="Book Antiqua" w:hAnsi="Book Antiqua" w:cs="Times New Roman"/>
          <w:b/>
          <w:bCs/>
          <w:sz w:val="20"/>
          <w:szCs w:val="20"/>
        </w:rPr>
      </w:pPr>
    </w:p>
    <w:p w14:paraId="70F6C601" w14:textId="77777777" w:rsidR="00333D69" w:rsidRPr="002D6278" w:rsidRDefault="00333D69" w:rsidP="00F4272B">
      <w:pPr>
        <w:pStyle w:val="ListParagraph"/>
        <w:ind w:left="0"/>
        <w:jc w:val="both"/>
        <w:rPr>
          <w:rFonts w:ascii="Book Antiqua" w:hAnsi="Book Antiqua" w:cs="Times New Roman"/>
          <w:b/>
          <w:bCs/>
          <w:sz w:val="20"/>
          <w:szCs w:val="20"/>
        </w:rPr>
      </w:pPr>
    </w:p>
    <w:p w14:paraId="6C187E7F" w14:textId="77777777" w:rsidR="002C182F" w:rsidRDefault="002C182F" w:rsidP="00F4272B">
      <w:pPr>
        <w:pStyle w:val="ListParagraph"/>
        <w:ind w:left="0"/>
        <w:jc w:val="both"/>
        <w:rPr>
          <w:rFonts w:ascii="Book Antiqua" w:hAnsi="Book Antiqua" w:cs="Times New Roman"/>
          <w:b/>
          <w:bCs/>
          <w:sz w:val="20"/>
          <w:szCs w:val="20"/>
        </w:rPr>
      </w:pPr>
    </w:p>
    <w:p w14:paraId="2D810D87" w14:textId="77777777" w:rsidR="002C182F" w:rsidRPr="00E91AC1" w:rsidRDefault="002C182F" w:rsidP="00F4272B">
      <w:pPr>
        <w:pStyle w:val="ListParagraph"/>
        <w:ind w:left="0"/>
        <w:jc w:val="both"/>
        <w:rPr>
          <w:rFonts w:ascii="Book Antiqua" w:hAnsi="Book Antiqua" w:cs="Times New Roman"/>
          <w:b/>
          <w:bCs/>
          <w:sz w:val="20"/>
          <w:szCs w:val="20"/>
        </w:rPr>
      </w:pPr>
    </w:p>
    <w:p w14:paraId="36F8CC56" w14:textId="77777777" w:rsidR="002D6278" w:rsidRDefault="002D6278" w:rsidP="00E66F08">
      <w:pPr>
        <w:pStyle w:val="ListParagraph"/>
        <w:ind w:left="0"/>
        <w:jc w:val="center"/>
        <w:rPr>
          <w:rFonts w:ascii="Book Antiqua" w:hAnsi="Book Antiqua" w:cs="Times New Roman"/>
          <w:b/>
          <w:bCs/>
          <w:sz w:val="20"/>
          <w:szCs w:val="20"/>
        </w:rPr>
      </w:pPr>
    </w:p>
    <w:p w14:paraId="4EF088E2" w14:textId="77777777" w:rsidR="002D6278" w:rsidRDefault="002D6278" w:rsidP="00E66F08">
      <w:pPr>
        <w:pStyle w:val="ListParagraph"/>
        <w:ind w:left="0"/>
        <w:jc w:val="center"/>
        <w:rPr>
          <w:rFonts w:ascii="Book Antiqua" w:hAnsi="Book Antiqua" w:cs="Times New Roman"/>
          <w:b/>
          <w:bCs/>
          <w:sz w:val="20"/>
          <w:szCs w:val="20"/>
        </w:rPr>
      </w:pPr>
    </w:p>
    <w:p w14:paraId="7006BB33" w14:textId="77777777" w:rsidR="002D6278" w:rsidRDefault="002D6278" w:rsidP="00E66F08">
      <w:pPr>
        <w:pStyle w:val="ListParagraph"/>
        <w:ind w:left="0"/>
        <w:jc w:val="center"/>
        <w:rPr>
          <w:rFonts w:ascii="Book Antiqua" w:hAnsi="Book Antiqua" w:cs="Times New Roman"/>
          <w:b/>
          <w:bCs/>
          <w:sz w:val="20"/>
          <w:szCs w:val="20"/>
        </w:rPr>
      </w:pPr>
    </w:p>
    <w:p w14:paraId="4F75E7C9" w14:textId="7CC01586" w:rsidR="007217CC" w:rsidRDefault="00E66F08" w:rsidP="00E66F08">
      <w:pPr>
        <w:pStyle w:val="ListParagraph"/>
        <w:ind w:left="0"/>
        <w:jc w:val="center"/>
        <w:rPr>
          <w:rFonts w:ascii="Book Antiqua" w:hAnsi="Book Antiqua" w:cs="Times New Roman"/>
          <w:b/>
          <w:bCs/>
          <w:sz w:val="20"/>
          <w:szCs w:val="20"/>
        </w:rPr>
      </w:pPr>
      <w:r>
        <w:rPr>
          <w:noProof/>
        </w:rPr>
        <w:drawing>
          <wp:inline distT="0" distB="0" distL="0" distR="0" wp14:anchorId="73130F7B" wp14:editId="3DADF76F">
            <wp:extent cx="4097655" cy="1354914"/>
            <wp:effectExtent l="0" t="0" r="0" b="0"/>
            <wp:docPr id="20809560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20629" cy="1362511"/>
                    </a:xfrm>
                    <a:prstGeom prst="rect">
                      <a:avLst/>
                    </a:prstGeom>
                    <a:noFill/>
                    <a:ln>
                      <a:noFill/>
                    </a:ln>
                  </pic:spPr>
                </pic:pic>
              </a:graphicData>
            </a:graphic>
          </wp:inline>
        </w:drawing>
      </w:r>
    </w:p>
    <w:p w14:paraId="6B01F2B4" w14:textId="77777777" w:rsidR="002D6278" w:rsidRDefault="002D6278" w:rsidP="00A7699F">
      <w:pPr>
        <w:pStyle w:val="ListParagraph"/>
        <w:ind w:left="0"/>
        <w:jc w:val="both"/>
        <w:rPr>
          <w:rFonts w:ascii="Book Antiqua" w:hAnsi="Book Antiqua" w:cs="Times New Roman"/>
          <w:b/>
          <w:bCs/>
          <w:sz w:val="20"/>
          <w:szCs w:val="20"/>
        </w:rPr>
      </w:pPr>
    </w:p>
    <w:p w14:paraId="148E7769" w14:textId="77777777" w:rsidR="00020FBA" w:rsidRDefault="00020FBA" w:rsidP="00A7699F">
      <w:pPr>
        <w:pStyle w:val="ListParagraph"/>
        <w:ind w:left="0"/>
        <w:jc w:val="both"/>
        <w:rPr>
          <w:rFonts w:ascii="Book Antiqua" w:hAnsi="Book Antiqua" w:cs="Times New Roman"/>
          <w:b/>
          <w:bCs/>
          <w:color w:val="0070C0"/>
          <w:sz w:val="16"/>
          <w:szCs w:val="16"/>
        </w:rPr>
      </w:pPr>
    </w:p>
    <w:p w14:paraId="19BA4DE8" w14:textId="77777777" w:rsidR="004F7BB0" w:rsidRDefault="004F7BB0" w:rsidP="00A7699F">
      <w:pPr>
        <w:pStyle w:val="ListParagraph"/>
        <w:ind w:left="0"/>
        <w:jc w:val="both"/>
        <w:rPr>
          <w:rFonts w:ascii="Book Antiqua" w:hAnsi="Book Antiqua" w:cs="Times New Roman"/>
          <w:b/>
          <w:bCs/>
          <w:color w:val="0070C0"/>
          <w:sz w:val="20"/>
          <w:szCs w:val="20"/>
        </w:rPr>
      </w:pPr>
    </w:p>
    <w:p w14:paraId="39E3A09F" w14:textId="77777777" w:rsidR="004F7BB0" w:rsidRDefault="004F7BB0" w:rsidP="00A7699F">
      <w:pPr>
        <w:pStyle w:val="ListParagraph"/>
        <w:ind w:left="0"/>
        <w:jc w:val="both"/>
        <w:rPr>
          <w:rFonts w:ascii="Book Antiqua" w:hAnsi="Book Antiqua" w:cs="Times New Roman"/>
          <w:b/>
          <w:bCs/>
          <w:color w:val="0070C0"/>
          <w:sz w:val="20"/>
          <w:szCs w:val="20"/>
        </w:rPr>
      </w:pPr>
    </w:p>
    <w:p w14:paraId="48A74E02" w14:textId="77777777" w:rsidR="004F7BB0" w:rsidRDefault="004F7BB0" w:rsidP="00A7699F">
      <w:pPr>
        <w:pStyle w:val="ListParagraph"/>
        <w:ind w:left="0"/>
        <w:jc w:val="both"/>
        <w:rPr>
          <w:rFonts w:ascii="Book Antiqua" w:hAnsi="Book Antiqua" w:cs="Times New Roman"/>
          <w:b/>
          <w:bCs/>
          <w:color w:val="0070C0"/>
          <w:sz w:val="20"/>
          <w:szCs w:val="20"/>
        </w:rPr>
      </w:pPr>
    </w:p>
    <w:p w14:paraId="146F0410" w14:textId="77777777" w:rsidR="001825BD" w:rsidRDefault="001825BD" w:rsidP="00A7699F">
      <w:pPr>
        <w:pStyle w:val="ListParagraph"/>
        <w:ind w:left="0"/>
        <w:jc w:val="both"/>
        <w:rPr>
          <w:rFonts w:ascii="Book Antiqua" w:hAnsi="Book Antiqua" w:cs="Times New Roman"/>
          <w:b/>
          <w:bCs/>
          <w:color w:val="0070C0"/>
          <w:sz w:val="20"/>
          <w:szCs w:val="20"/>
        </w:rPr>
      </w:pPr>
    </w:p>
    <w:p w14:paraId="2332275A" w14:textId="77777777" w:rsidR="004F7BB0" w:rsidRDefault="004F7BB0" w:rsidP="00A7699F">
      <w:pPr>
        <w:pStyle w:val="ListParagraph"/>
        <w:ind w:left="0"/>
        <w:jc w:val="both"/>
        <w:rPr>
          <w:rFonts w:ascii="Book Antiqua" w:hAnsi="Book Antiqua" w:cs="Times New Roman"/>
          <w:b/>
          <w:bCs/>
          <w:color w:val="0070C0"/>
          <w:sz w:val="20"/>
          <w:szCs w:val="20"/>
        </w:rPr>
      </w:pPr>
    </w:p>
    <w:p w14:paraId="74EB247B" w14:textId="77777777" w:rsidR="002B6F32" w:rsidRDefault="002B6F32" w:rsidP="002B6F32">
      <w:pPr>
        <w:pStyle w:val="ListParagraph"/>
        <w:ind w:left="0"/>
        <w:jc w:val="both"/>
        <w:rPr>
          <w:rFonts w:ascii="Book Antiqua" w:hAnsi="Book Antiqua" w:cs="Times New Roman"/>
          <w:b/>
          <w:bCs/>
          <w:color w:val="153D63" w:themeColor="text2" w:themeTint="E6"/>
          <w:sz w:val="20"/>
          <w:szCs w:val="20"/>
        </w:rPr>
      </w:pPr>
    </w:p>
    <w:p w14:paraId="52F47A15" w14:textId="07FC4B8D" w:rsidR="002B6F32" w:rsidRPr="002B6F32" w:rsidRDefault="004F7BB0" w:rsidP="002B6F32">
      <w:pPr>
        <w:pStyle w:val="ListParagraph"/>
        <w:ind w:left="0"/>
        <w:jc w:val="center"/>
        <w:rPr>
          <w:rFonts w:ascii="Book Antiqua" w:hAnsi="Book Antiqua" w:cs="Times New Roman"/>
          <w:b/>
          <w:bCs/>
          <w:color w:val="215E99" w:themeColor="text2" w:themeTint="BF"/>
        </w:rPr>
      </w:pPr>
      <w:r w:rsidRPr="002B6F32">
        <w:rPr>
          <w:rFonts w:ascii="Book Antiqua" w:hAnsi="Book Antiqua" w:cs="Times New Roman"/>
          <w:b/>
          <w:bCs/>
          <w:color w:val="215E99" w:themeColor="text2" w:themeTint="BF"/>
        </w:rPr>
        <w:lastRenderedPageBreak/>
        <w:t>PART I</w:t>
      </w:r>
    </w:p>
    <w:p w14:paraId="1B779AEA" w14:textId="056A1D58" w:rsidR="004F7BB0" w:rsidRPr="002B6F32" w:rsidRDefault="004F7BB0" w:rsidP="002B6F32">
      <w:pPr>
        <w:pStyle w:val="ListParagraph"/>
        <w:ind w:left="0"/>
        <w:jc w:val="both"/>
        <w:rPr>
          <w:rFonts w:ascii="Book Antiqua" w:hAnsi="Book Antiqua" w:cs="Times New Roman"/>
          <w:b/>
          <w:bCs/>
          <w:color w:val="215E99" w:themeColor="text2" w:themeTint="BF"/>
          <w:sz w:val="20"/>
          <w:szCs w:val="20"/>
        </w:rPr>
      </w:pPr>
      <w:r w:rsidRPr="002B6F32">
        <w:rPr>
          <w:rFonts w:ascii="Book Antiqua" w:hAnsi="Book Antiqua" w:cs="Times New Roman"/>
          <w:b/>
          <w:bCs/>
          <w:color w:val="215E99" w:themeColor="text2" w:themeTint="BF"/>
          <w:sz w:val="20"/>
          <w:szCs w:val="20"/>
        </w:rPr>
        <w:t>Designing Inclusive FinTech Strategies:</w:t>
      </w:r>
      <w:r w:rsidRPr="002B6F32">
        <w:rPr>
          <w:rFonts w:ascii="Book Antiqua" w:hAnsi="Book Antiqua" w:cs="Times New Roman"/>
          <w:b/>
          <w:bCs/>
          <w:color w:val="215E99" w:themeColor="text2" w:themeTint="BF"/>
          <w:sz w:val="20"/>
          <w:szCs w:val="20"/>
        </w:rPr>
        <w:t xml:space="preserve"> </w:t>
      </w:r>
      <w:r w:rsidRPr="002B6F32">
        <w:rPr>
          <w:rFonts w:ascii="Book Antiqua" w:hAnsi="Book Antiqua" w:cs="Times New Roman"/>
          <w:b/>
          <w:bCs/>
          <w:color w:val="215E99" w:themeColor="text2" w:themeTint="BF"/>
          <w:sz w:val="20"/>
          <w:szCs w:val="20"/>
        </w:rPr>
        <w:t>A Systematic Review of Socio-Cultural Determinants of Women’s Adoption and Financial Empowerment in South Asia</w:t>
      </w:r>
    </w:p>
    <w:p w14:paraId="57C97218" w14:textId="77777777" w:rsidR="004F7BB0" w:rsidRDefault="004F7BB0" w:rsidP="00A7699F">
      <w:pPr>
        <w:pStyle w:val="ListParagraph"/>
        <w:ind w:left="0"/>
        <w:jc w:val="both"/>
        <w:rPr>
          <w:rFonts w:ascii="Book Antiqua" w:hAnsi="Book Antiqua" w:cs="Times New Roman"/>
          <w:b/>
          <w:bCs/>
          <w:color w:val="0070C0"/>
          <w:sz w:val="20"/>
          <w:szCs w:val="20"/>
        </w:rPr>
      </w:pPr>
    </w:p>
    <w:p w14:paraId="02F5FD1B" w14:textId="561C6C67" w:rsidR="00A7699F" w:rsidRPr="00085297" w:rsidRDefault="00A7699F" w:rsidP="00A7699F">
      <w:pPr>
        <w:pStyle w:val="ListParagraph"/>
        <w:ind w:left="0"/>
        <w:jc w:val="both"/>
        <w:rPr>
          <w:rFonts w:ascii="Book Antiqua" w:hAnsi="Book Antiqua" w:cs="Times New Roman"/>
          <w:b/>
          <w:bCs/>
          <w:color w:val="0070C0"/>
          <w:sz w:val="20"/>
          <w:szCs w:val="20"/>
        </w:rPr>
      </w:pPr>
      <w:r w:rsidRPr="00085297">
        <w:rPr>
          <w:rFonts w:ascii="Book Antiqua" w:hAnsi="Book Antiqua" w:cs="Times New Roman"/>
          <w:b/>
          <w:bCs/>
          <w:color w:val="0070C0"/>
          <w:sz w:val="20"/>
          <w:szCs w:val="20"/>
        </w:rPr>
        <w:t>Abstract</w:t>
      </w:r>
    </w:p>
    <w:p w14:paraId="5E3EE8F1" w14:textId="5281E120" w:rsidR="00AE2B8D" w:rsidRPr="002D6278" w:rsidRDefault="00F975DA" w:rsidP="00F975DA">
      <w:pPr>
        <w:jc w:val="both"/>
        <w:rPr>
          <w:rFonts w:ascii="Book Antiqua" w:hAnsi="Book Antiqua" w:cs="Times New Roman"/>
          <w:sz w:val="16"/>
          <w:szCs w:val="16"/>
        </w:rPr>
      </w:pPr>
      <w:r w:rsidRPr="002D6278">
        <w:rPr>
          <w:rFonts w:ascii="Book Antiqua" w:hAnsi="Book Antiqua" w:cs="Times New Roman"/>
          <w:b/>
          <w:bCs/>
          <w:sz w:val="16"/>
          <w:szCs w:val="16"/>
        </w:rPr>
        <w:t>P</w:t>
      </w:r>
      <w:r w:rsidR="00AE2B8D" w:rsidRPr="002D6278">
        <w:rPr>
          <w:rFonts w:ascii="Book Antiqua" w:hAnsi="Book Antiqua" w:cs="Times New Roman"/>
          <w:b/>
          <w:bCs/>
          <w:sz w:val="16"/>
          <w:szCs w:val="16"/>
        </w:rPr>
        <w:t>urpose</w:t>
      </w:r>
      <w:r w:rsidR="00AE2B8D" w:rsidRPr="002D6278">
        <w:rPr>
          <w:rFonts w:ascii="Book Antiqua" w:hAnsi="Book Antiqua" w:cs="Times New Roman"/>
          <w:sz w:val="16"/>
          <w:szCs w:val="16"/>
        </w:rPr>
        <w:br/>
      </w:r>
      <w:r w:rsidR="009E1A9E" w:rsidRPr="009E1A9E">
        <w:rPr>
          <w:rFonts w:ascii="Book Antiqua" w:hAnsi="Book Antiqua" w:cs="Times New Roman"/>
          <w:sz w:val="16"/>
          <w:szCs w:val="16"/>
        </w:rPr>
        <w:t>This research intends to systematically examine and synthesize current literature regarding the socio-cultural factors influencing FinTech adoption among women in South Asia</w:t>
      </w:r>
      <w:r w:rsidR="00AE2B8D" w:rsidRPr="002D6278">
        <w:rPr>
          <w:rFonts w:ascii="Book Antiqua" w:hAnsi="Book Antiqua" w:cs="Times New Roman"/>
          <w:sz w:val="16"/>
          <w:szCs w:val="16"/>
        </w:rPr>
        <w:t xml:space="preserve">, and to </w:t>
      </w:r>
      <w:r w:rsidR="001D48FD">
        <w:rPr>
          <w:rFonts w:ascii="Book Antiqua" w:hAnsi="Book Antiqua" w:cs="Times New Roman"/>
          <w:sz w:val="16"/>
          <w:szCs w:val="16"/>
        </w:rPr>
        <w:t>evaluate</w:t>
      </w:r>
      <w:r w:rsidR="00AE2B8D" w:rsidRPr="002D6278">
        <w:rPr>
          <w:rFonts w:ascii="Book Antiqua" w:hAnsi="Book Antiqua" w:cs="Times New Roman"/>
          <w:sz w:val="16"/>
          <w:szCs w:val="16"/>
        </w:rPr>
        <w:t xml:space="preserve"> the downstream effects of that adoption on income, enterprise activity, and household bargaining power.</w:t>
      </w:r>
    </w:p>
    <w:p w14:paraId="48FFCA00" w14:textId="4777C7F8" w:rsidR="006C5179" w:rsidRPr="002D6278" w:rsidRDefault="00AE2B8D" w:rsidP="006C5179">
      <w:pPr>
        <w:jc w:val="both"/>
        <w:rPr>
          <w:rFonts w:ascii="Book Antiqua" w:hAnsi="Book Antiqua" w:cs="Times New Roman"/>
          <w:sz w:val="16"/>
          <w:szCs w:val="16"/>
        </w:rPr>
      </w:pPr>
      <w:r w:rsidRPr="002D6278">
        <w:rPr>
          <w:rFonts w:ascii="Book Antiqua" w:hAnsi="Book Antiqua" w:cs="Times New Roman"/>
          <w:b/>
          <w:bCs/>
          <w:sz w:val="16"/>
          <w:szCs w:val="16"/>
        </w:rPr>
        <w:t>Design/methodology/approach</w:t>
      </w:r>
      <w:r w:rsidRPr="002D6278">
        <w:rPr>
          <w:rFonts w:ascii="Book Antiqua" w:hAnsi="Book Antiqua" w:cs="Times New Roman"/>
          <w:sz w:val="16"/>
          <w:szCs w:val="16"/>
        </w:rPr>
        <w:br/>
      </w:r>
      <w:r w:rsidR="006C5179" w:rsidRPr="002D6278">
        <w:rPr>
          <w:rFonts w:ascii="Book Antiqua" w:hAnsi="Book Antiqua" w:cs="Times New Roman"/>
          <w:sz w:val="16"/>
          <w:szCs w:val="16"/>
        </w:rPr>
        <w:t xml:space="preserve">Following the PRISMA 2020 framework, a rigorous systematic literature review (SLR) was executed across two primary databases: Web of Science (n = 86) and Scopus (n=51). </w:t>
      </w:r>
      <w:r w:rsidR="00220A65" w:rsidRPr="002D6278">
        <w:rPr>
          <w:rFonts w:ascii="Book Antiqua" w:hAnsi="Book Antiqua" w:cs="Times New Roman"/>
          <w:sz w:val="16"/>
          <w:szCs w:val="16"/>
        </w:rPr>
        <w:t>Employing a four-block Boolean search strategy, 137 initial records were screened against strict inclusion/exclusion criteria, yielding 43 peer-reviewed studies for thematic synthesis.</w:t>
      </w:r>
      <w:r w:rsidR="00641C11" w:rsidRPr="002D6278">
        <w:rPr>
          <w:rFonts w:ascii="Book Antiqua" w:hAnsi="Book Antiqua"/>
          <w:sz w:val="16"/>
          <w:szCs w:val="16"/>
        </w:rPr>
        <w:t xml:space="preserve"> </w:t>
      </w:r>
      <w:r w:rsidR="00641C11" w:rsidRPr="002D6278">
        <w:rPr>
          <w:rFonts w:ascii="Book Antiqua" w:hAnsi="Book Antiqua" w:cs="Times New Roman"/>
          <w:sz w:val="16"/>
          <w:szCs w:val="16"/>
        </w:rPr>
        <w:t xml:space="preserve">The review integrates </w:t>
      </w:r>
      <w:r w:rsidR="00656655">
        <w:rPr>
          <w:rFonts w:ascii="Book Antiqua" w:hAnsi="Book Antiqua" w:cs="Times New Roman"/>
          <w:sz w:val="16"/>
          <w:szCs w:val="16"/>
        </w:rPr>
        <w:t>T</w:t>
      </w:r>
      <w:r w:rsidR="00641C11" w:rsidRPr="002D6278">
        <w:rPr>
          <w:rFonts w:ascii="Book Antiqua" w:hAnsi="Book Antiqua" w:cs="Times New Roman"/>
          <w:sz w:val="16"/>
          <w:szCs w:val="16"/>
        </w:rPr>
        <w:t xml:space="preserve">echnology </w:t>
      </w:r>
      <w:r w:rsidR="00656655">
        <w:rPr>
          <w:rFonts w:ascii="Book Antiqua" w:hAnsi="Book Antiqua" w:cs="Times New Roman"/>
          <w:sz w:val="16"/>
          <w:szCs w:val="16"/>
        </w:rPr>
        <w:t>A</w:t>
      </w:r>
      <w:r w:rsidR="00641C11" w:rsidRPr="002D6278">
        <w:rPr>
          <w:rFonts w:ascii="Book Antiqua" w:hAnsi="Book Antiqua" w:cs="Times New Roman"/>
          <w:sz w:val="16"/>
          <w:szCs w:val="16"/>
        </w:rPr>
        <w:t xml:space="preserve">cceptance </w:t>
      </w:r>
      <w:r w:rsidR="00656655">
        <w:rPr>
          <w:rFonts w:ascii="Book Antiqua" w:hAnsi="Book Antiqua" w:cs="Times New Roman"/>
          <w:sz w:val="16"/>
          <w:szCs w:val="16"/>
        </w:rPr>
        <w:t>F</w:t>
      </w:r>
      <w:r w:rsidR="00641C11" w:rsidRPr="002D6278">
        <w:rPr>
          <w:rFonts w:ascii="Book Antiqua" w:hAnsi="Book Antiqua" w:cs="Times New Roman"/>
          <w:sz w:val="16"/>
          <w:szCs w:val="16"/>
        </w:rPr>
        <w:t xml:space="preserve">rameworks (TAM/UTAUT) </w:t>
      </w:r>
      <w:r w:rsidR="00641C11" w:rsidRPr="002D6278">
        <w:rPr>
          <w:rFonts w:ascii="Book Antiqua" w:hAnsi="Book Antiqua" w:cs="Times New Roman"/>
          <w:color w:val="0070C0"/>
          <w:sz w:val="16"/>
          <w:szCs w:val="16"/>
        </w:rPr>
        <w:t xml:space="preserve">(Davis, 1989; Venkatesh </w:t>
      </w:r>
      <w:r w:rsidR="00641C11" w:rsidRPr="002D6278">
        <w:rPr>
          <w:rFonts w:ascii="Book Antiqua" w:hAnsi="Book Antiqua" w:cs="Times New Roman"/>
          <w:i/>
          <w:iCs/>
          <w:color w:val="0070C0"/>
          <w:sz w:val="16"/>
          <w:szCs w:val="16"/>
        </w:rPr>
        <w:t>et al.</w:t>
      </w:r>
      <w:r w:rsidR="00641C11" w:rsidRPr="002D6278">
        <w:rPr>
          <w:rFonts w:ascii="Book Antiqua" w:hAnsi="Book Antiqua" w:cs="Times New Roman"/>
          <w:color w:val="0070C0"/>
          <w:sz w:val="16"/>
          <w:szCs w:val="16"/>
        </w:rPr>
        <w:t xml:space="preserve">, 2003) </w:t>
      </w:r>
      <w:r w:rsidR="00641C11" w:rsidRPr="002D6278">
        <w:rPr>
          <w:rFonts w:ascii="Book Antiqua" w:hAnsi="Book Antiqua" w:cs="Times New Roman"/>
          <w:sz w:val="16"/>
          <w:szCs w:val="16"/>
        </w:rPr>
        <w:t xml:space="preserve">with </w:t>
      </w:r>
      <w:r w:rsidR="00641C11" w:rsidRPr="002D6278">
        <w:rPr>
          <w:rFonts w:ascii="Book Antiqua" w:hAnsi="Book Antiqua" w:cs="Times New Roman"/>
          <w:color w:val="0070C0"/>
          <w:sz w:val="16"/>
          <w:szCs w:val="16"/>
        </w:rPr>
        <w:t xml:space="preserve">Kabeer’s (1999) </w:t>
      </w:r>
      <w:r w:rsidR="00641C11" w:rsidRPr="002D6278">
        <w:rPr>
          <w:rFonts w:ascii="Book Antiqua" w:hAnsi="Book Antiqua" w:cs="Times New Roman"/>
          <w:sz w:val="16"/>
          <w:szCs w:val="16"/>
        </w:rPr>
        <w:t xml:space="preserve">multi-dimensional </w:t>
      </w:r>
      <w:r w:rsidR="006D1F5B">
        <w:rPr>
          <w:rFonts w:ascii="Book Antiqua" w:hAnsi="Book Antiqua" w:cs="Times New Roman"/>
          <w:sz w:val="16"/>
          <w:szCs w:val="16"/>
        </w:rPr>
        <w:t>R</w:t>
      </w:r>
      <w:r w:rsidR="00641C11" w:rsidRPr="002D6278">
        <w:rPr>
          <w:rFonts w:ascii="Book Antiqua" w:hAnsi="Book Antiqua" w:cs="Times New Roman"/>
          <w:sz w:val="16"/>
          <w:szCs w:val="16"/>
        </w:rPr>
        <w:t>esources-</w:t>
      </w:r>
      <w:r w:rsidR="006D1F5B">
        <w:rPr>
          <w:rFonts w:ascii="Book Antiqua" w:hAnsi="Book Antiqua" w:cs="Times New Roman"/>
          <w:sz w:val="16"/>
          <w:szCs w:val="16"/>
        </w:rPr>
        <w:t>A</w:t>
      </w:r>
      <w:r w:rsidR="00641C11" w:rsidRPr="002D6278">
        <w:rPr>
          <w:rFonts w:ascii="Book Antiqua" w:hAnsi="Book Antiqua" w:cs="Times New Roman"/>
          <w:sz w:val="16"/>
          <w:szCs w:val="16"/>
        </w:rPr>
        <w:t>gency-</w:t>
      </w:r>
      <w:r w:rsidR="006D1F5B">
        <w:rPr>
          <w:rFonts w:ascii="Book Antiqua" w:hAnsi="Book Antiqua" w:cs="Times New Roman"/>
          <w:sz w:val="16"/>
          <w:szCs w:val="16"/>
        </w:rPr>
        <w:t>A</w:t>
      </w:r>
      <w:r w:rsidR="00641C11" w:rsidRPr="002D6278">
        <w:rPr>
          <w:rFonts w:ascii="Book Antiqua" w:hAnsi="Book Antiqua" w:cs="Times New Roman"/>
          <w:sz w:val="16"/>
          <w:szCs w:val="16"/>
        </w:rPr>
        <w:t xml:space="preserve">chievements framework via a structured Context-Intervention-Mechanism-Outcome (CIMO) logic. </w:t>
      </w:r>
      <w:r w:rsidR="0081718A" w:rsidRPr="0081718A">
        <w:rPr>
          <w:rFonts w:ascii="Book Antiqua" w:hAnsi="Book Antiqua" w:cs="Times New Roman"/>
          <w:sz w:val="16"/>
          <w:szCs w:val="16"/>
        </w:rPr>
        <w:t xml:space="preserve">A systematic quality </w:t>
      </w:r>
      <w:r w:rsidR="00DA4C6D" w:rsidRPr="0081718A">
        <w:rPr>
          <w:rFonts w:ascii="Book Antiqua" w:hAnsi="Book Antiqua" w:cs="Times New Roman"/>
          <w:sz w:val="16"/>
          <w:szCs w:val="16"/>
        </w:rPr>
        <w:t>evaluation</w:t>
      </w:r>
      <w:r w:rsidR="0081718A" w:rsidRPr="0081718A">
        <w:rPr>
          <w:rFonts w:ascii="Book Antiqua" w:hAnsi="Book Antiqua" w:cs="Times New Roman"/>
          <w:sz w:val="16"/>
          <w:szCs w:val="16"/>
        </w:rPr>
        <w:t xml:space="preserve"> was </w:t>
      </w:r>
      <w:r w:rsidR="00DA4C6D">
        <w:rPr>
          <w:rFonts w:ascii="Book Antiqua" w:hAnsi="Book Antiqua" w:cs="Times New Roman"/>
          <w:sz w:val="16"/>
          <w:szCs w:val="16"/>
        </w:rPr>
        <w:t>conducted</w:t>
      </w:r>
      <w:r w:rsidR="0081718A" w:rsidRPr="0081718A">
        <w:rPr>
          <w:rFonts w:ascii="Book Antiqua" w:hAnsi="Book Antiqua" w:cs="Times New Roman"/>
          <w:sz w:val="16"/>
          <w:szCs w:val="16"/>
        </w:rPr>
        <w:t xml:space="preserve"> </w:t>
      </w:r>
      <w:r w:rsidR="00626EC8">
        <w:rPr>
          <w:rFonts w:ascii="Book Antiqua" w:hAnsi="Book Antiqua" w:cs="Times New Roman"/>
          <w:sz w:val="16"/>
          <w:szCs w:val="16"/>
        </w:rPr>
        <w:t>with</w:t>
      </w:r>
      <w:r w:rsidR="0081718A" w:rsidRPr="0081718A">
        <w:rPr>
          <w:rFonts w:ascii="Book Antiqua" w:hAnsi="Book Antiqua" w:cs="Times New Roman"/>
          <w:sz w:val="16"/>
          <w:szCs w:val="16"/>
        </w:rPr>
        <w:t xml:space="preserve"> Mixed Methods Appraisal Tool (MMAT) alongside Critical Appraisal Skills Programme (CASP) framework</w:t>
      </w:r>
      <w:r w:rsidR="00641C11" w:rsidRPr="002D6278">
        <w:rPr>
          <w:rFonts w:ascii="Book Antiqua" w:hAnsi="Book Antiqua" w:cs="Times New Roman"/>
          <w:sz w:val="16"/>
          <w:szCs w:val="16"/>
        </w:rPr>
        <w:t>.</w:t>
      </w:r>
      <w:r w:rsidR="006C5179" w:rsidRPr="002D6278">
        <w:rPr>
          <w:rFonts w:ascii="Book Antiqua" w:hAnsi="Book Antiqua" w:cs="Times New Roman"/>
          <w:sz w:val="16"/>
          <w:szCs w:val="16"/>
        </w:rPr>
        <w:t xml:space="preserve"> </w:t>
      </w:r>
    </w:p>
    <w:p w14:paraId="4F4CADFC" w14:textId="4255DA63" w:rsidR="000B3752" w:rsidRPr="002D6278" w:rsidRDefault="00CA20BD" w:rsidP="008E74AC">
      <w:pPr>
        <w:jc w:val="both"/>
        <w:rPr>
          <w:rFonts w:ascii="Book Antiqua" w:hAnsi="Book Antiqua" w:cs="Times New Roman"/>
          <w:sz w:val="16"/>
          <w:szCs w:val="16"/>
        </w:rPr>
      </w:pPr>
      <w:r w:rsidRPr="002D6278">
        <w:rPr>
          <w:rFonts w:ascii="Book Antiqua" w:hAnsi="Book Antiqua" w:cs="Times New Roman"/>
          <w:b/>
          <w:bCs/>
          <w:sz w:val="16"/>
          <w:szCs w:val="16"/>
        </w:rPr>
        <w:t>Findings</w:t>
      </w:r>
      <w:r w:rsidRPr="002D6278">
        <w:rPr>
          <w:rFonts w:ascii="Book Antiqua" w:hAnsi="Book Antiqua" w:cs="Times New Roman"/>
          <w:sz w:val="16"/>
          <w:szCs w:val="16"/>
        </w:rPr>
        <w:br/>
        <w:t>Patriarchal household authority, differential digital literacy, and low platform-level trust consistently constrain women's autonomous use of FinTech, even where account registration is comparatively high.</w:t>
      </w:r>
      <w:r w:rsidR="004F58E3" w:rsidRPr="002D6278">
        <w:rPr>
          <w:rFonts w:ascii="Book Antiqua" w:hAnsi="Book Antiqua" w:cs="Times New Roman"/>
          <w:sz w:val="16"/>
          <w:szCs w:val="16"/>
        </w:rPr>
        <w:t xml:space="preserve"> </w:t>
      </w:r>
      <w:r w:rsidR="000B3752" w:rsidRPr="002D6278">
        <w:rPr>
          <w:rFonts w:ascii="Book Antiqua" w:hAnsi="Book Antiqua" w:cs="Times New Roman"/>
          <w:sz w:val="16"/>
          <w:szCs w:val="16"/>
        </w:rPr>
        <w:t>Positive livelihood outcomes and economic optimization are highly conditional; they are most pronounced when adoption is explicitly paired with socially embedded support structures or group-based financial safety nets.</w:t>
      </w:r>
    </w:p>
    <w:p w14:paraId="47F7C868" w14:textId="5F186793" w:rsidR="001E6EBB" w:rsidRPr="002D6278" w:rsidRDefault="008E74AC" w:rsidP="001E6EBB">
      <w:pPr>
        <w:spacing w:after="0"/>
        <w:jc w:val="both"/>
        <w:rPr>
          <w:rFonts w:ascii="Book Antiqua" w:hAnsi="Book Antiqua" w:cs="Times New Roman"/>
          <w:b/>
          <w:bCs/>
          <w:sz w:val="16"/>
          <w:szCs w:val="16"/>
        </w:rPr>
      </w:pPr>
      <w:r w:rsidRPr="002D6278">
        <w:rPr>
          <w:rFonts w:ascii="Book Antiqua" w:hAnsi="Book Antiqua" w:cs="Times New Roman"/>
          <w:b/>
          <w:bCs/>
          <w:sz w:val="16"/>
          <w:szCs w:val="16"/>
        </w:rPr>
        <w:t>Principal Contributions to knowledge</w:t>
      </w:r>
    </w:p>
    <w:p w14:paraId="734B1B25" w14:textId="33CEEAC7" w:rsidR="004F58E3" w:rsidRPr="002D6278" w:rsidRDefault="004F58E3" w:rsidP="001E6EBB">
      <w:pPr>
        <w:spacing w:after="0"/>
        <w:jc w:val="both"/>
        <w:rPr>
          <w:rFonts w:ascii="Book Antiqua" w:hAnsi="Book Antiqua" w:cs="Times New Roman"/>
          <w:sz w:val="16"/>
          <w:szCs w:val="16"/>
        </w:rPr>
      </w:pPr>
      <w:r w:rsidRPr="002D6278">
        <w:rPr>
          <w:rFonts w:ascii="Book Antiqua" w:hAnsi="Book Antiqua" w:cs="Times New Roman"/>
          <w:sz w:val="16"/>
          <w:szCs w:val="16"/>
        </w:rPr>
        <w:t>This review establishes a theoretically integrated explanatory model of the adoption-to-empowerment pathway. By bridging individualistic behaviourist theories with feminist political economy, it resolves a critical fracture in the literature, demonstrating that digital financial inclusion cannot bypass localized gender hierarchies without intentional, structural interface re-engineering.</w:t>
      </w:r>
    </w:p>
    <w:p w14:paraId="70A763AB" w14:textId="77777777" w:rsidR="008E74AC" w:rsidRPr="002D6278" w:rsidRDefault="008E74AC" w:rsidP="001E6EBB">
      <w:pPr>
        <w:spacing w:after="0"/>
        <w:jc w:val="both"/>
        <w:rPr>
          <w:rFonts w:ascii="Book Antiqua" w:hAnsi="Book Antiqua" w:cs="Times New Roman"/>
          <w:sz w:val="16"/>
          <w:szCs w:val="16"/>
        </w:rPr>
      </w:pPr>
    </w:p>
    <w:p w14:paraId="3145476A" w14:textId="77777777" w:rsidR="008E74AC" w:rsidRPr="002D6278" w:rsidRDefault="008E74AC" w:rsidP="008E74AC">
      <w:pPr>
        <w:spacing w:after="0"/>
        <w:rPr>
          <w:rFonts w:ascii="Book Antiqua" w:hAnsi="Book Antiqua" w:cs="Times New Roman"/>
          <w:b/>
          <w:bCs/>
          <w:sz w:val="16"/>
          <w:szCs w:val="16"/>
        </w:rPr>
      </w:pPr>
      <w:r w:rsidRPr="002D6278">
        <w:rPr>
          <w:rFonts w:ascii="Book Antiqua" w:hAnsi="Book Antiqua" w:cs="Times New Roman"/>
          <w:b/>
          <w:bCs/>
          <w:sz w:val="16"/>
          <w:szCs w:val="16"/>
        </w:rPr>
        <w:t>Practical Implications</w:t>
      </w:r>
    </w:p>
    <w:p w14:paraId="22920450" w14:textId="4CEF8DD2" w:rsidR="00BC3717" w:rsidRPr="002D6278" w:rsidRDefault="00BC3717" w:rsidP="00BC3717">
      <w:pPr>
        <w:spacing w:after="0"/>
        <w:jc w:val="both"/>
        <w:rPr>
          <w:rFonts w:ascii="Book Antiqua" w:hAnsi="Book Antiqua" w:cs="Times New Roman"/>
          <w:sz w:val="16"/>
          <w:szCs w:val="16"/>
        </w:rPr>
      </w:pPr>
      <w:r w:rsidRPr="002D6278">
        <w:rPr>
          <w:rFonts w:ascii="Book Antiqua" w:hAnsi="Book Antiqua" w:cs="Times New Roman"/>
          <w:sz w:val="16"/>
          <w:szCs w:val="16"/>
        </w:rPr>
        <w:t>These findings provide an actionable strategic playbook for FinTech platform designers, non-governmental organisations (NGOs), and policymakers. The study moves industry practice away from superficial account-opening metrics toward interventions that structurally address shared-device dynamics, localized mobility restrictions, and humanic-cue trust architectures.</w:t>
      </w:r>
    </w:p>
    <w:p w14:paraId="0D573AEB" w14:textId="77777777" w:rsidR="000D18F7" w:rsidRPr="002D6278" w:rsidRDefault="000D18F7" w:rsidP="001E6EBB">
      <w:pPr>
        <w:spacing w:after="0"/>
        <w:jc w:val="both"/>
        <w:rPr>
          <w:rFonts w:ascii="Book Antiqua" w:hAnsi="Book Antiqua" w:cs="Times New Roman"/>
          <w:sz w:val="16"/>
          <w:szCs w:val="16"/>
        </w:rPr>
      </w:pPr>
    </w:p>
    <w:p w14:paraId="3E538A6C" w14:textId="59A61F0F" w:rsidR="000D18F7" w:rsidRPr="002D6278" w:rsidRDefault="00BB2416" w:rsidP="001E6EBB">
      <w:pPr>
        <w:spacing w:after="0"/>
        <w:jc w:val="both"/>
        <w:rPr>
          <w:rFonts w:ascii="Book Antiqua" w:hAnsi="Book Antiqua" w:cs="Times New Roman"/>
          <w:b/>
          <w:bCs/>
          <w:sz w:val="16"/>
          <w:szCs w:val="16"/>
        </w:rPr>
      </w:pPr>
      <w:r w:rsidRPr="002D6278">
        <w:rPr>
          <w:rFonts w:ascii="Book Antiqua" w:hAnsi="Book Antiqua" w:cs="Times New Roman"/>
          <w:b/>
          <w:bCs/>
          <w:sz w:val="16"/>
          <w:szCs w:val="16"/>
        </w:rPr>
        <w:t>Keywords</w:t>
      </w:r>
    </w:p>
    <w:p w14:paraId="5592E074" w14:textId="2E63C471" w:rsidR="00BB2416" w:rsidRPr="002D6278" w:rsidRDefault="00BB2416" w:rsidP="001E6EBB">
      <w:pPr>
        <w:spacing w:after="0"/>
        <w:jc w:val="both"/>
        <w:rPr>
          <w:rFonts w:ascii="Book Antiqua" w:hAnsi="Book Antiqua" w:cs="Times New Roman"/>
          <w:sz w:val="16"/>
          <w:szCs w:val="16"/>
        </w:rPr>
      </w:pPr>
      <w:r w:rsidRPr="002D6278">
        <w:rPr>
          <w:rFonts w:ascii="Book Antiqua" w:hAnsi="Book Antiqua" w:cs="Times New Roman"/>
          <w:sz w:val="16"/>
          <w:szCs w:val="16"/>
        </w:rPr>
        <w:t>FinTech adoption; women's financial empowerment; South Asia; socio-cultural determinants; financial inclusion; systematic literature review; Kabeer's framework; technology acceptance model.</w:t>
      </w:r>
    </w:p>
    <w:p w14:paraId="740B0D33" w14:textId="77777777" w:rsidR="00BB2416" w:rsidRPr="002D6278" w:rsidRDefault="00BB2416" w:rsidP="001E6EBB">
      <w:pPr>
        <w:spacing w:after="0"/>
        <w:jc w:val="both"/>
        <w:rPr>
          <w:rFonts w:ascii="Book Antiqua" w:hAnsi="Book Antiqua" w:cs="Times New Roman"/>
          <w:sz w:val="16"/>
          <w:szCs w:val="16"/>
        </w:rPr>
      </w:pPr>
    </w:p>
    <w:p w14:paraId="7A57DFE7" w14:textId="78EA5149" w:rsidR="00BB2416" w:rsidRPr="002D6278" w:rsidRDefault="00BB2416" w:rsidP="001E6EBB">
      <w:pPr>
        <w:spacing w:after="0"/>
        <w:jc w:val="both"/>
        <w:rPr>
          <w:rFonts w:ascii="Book Antiqua" w:hAnsi="Book Antiqua" w:cs="Times New Roman"/>
          <w:b/>
          <w:bCs/>
          <w:sz w:val="16"/>
          <w:szCs w:val="16"/>
        </w:rPr>
      </w:pPr>
      <w:r w:rsidRPr="002D6278">
        <w:rPr>
          <w:rFonts w:ascii="Book Antiqua" w:hAnsi="Book Antiqua" w:cs="Times New Roman"/>
          <w:b/>
          <w:bCs/>
          <w:sz w:val="16"/>
          <w:szCs w:val="16"/>
        </w:rPr>
        <w:t>Paper Type</w:t>
      </w:r>
    </w:p>
    <w:p w14:paraId="741B95A0" w14:textId="3FBF326D" w:rsidR="0031675A" w:rsidRDefault="002049B4" w:rsidP="00AE2B8D">
      <w:pPr>
        <w:pStyle w:val="ListParagraph"/>
        <w:ind w:left="0"/>
        <w:rPr>
          <w:rFonts w:ascii="Book Antiqua" w:hAnsi="Book Antiqua" w:cs="Times New Roman"/>
          <w:sz w:val="16"/>
          <w:szCs w:val="16"/>
        </w:rPr>
      </w:pPr>
      <w:r w:rsidRPr="002D6278">
        <w:rPr>
          <w:rFonts w:ascii="Book Antiqua" w:hAnsi="Book Antiqua" w:cs="Times New Roman"/>
          <w:sz w:val="16"/>
          <w:szCs w:val="16"/>
        </w:rPr>
        <w:t>SLR, Research Paper</w:t>
      </w:r>
    </w:p>
    <w:p w14:paraId="63B9437A" w14:textId="77777777" w:rsidR="00085297" w:rsidRDefault="00085297" w:rsidP="00AE2B8D">
      <w:pPr>
        <w:pStyle w:val="ListParagraph"/>
        <w:ind w:left="0"/>
        <w:rPr>
          <w:rFonts w:ascii="Book Antiqua" w:hAnsi="Book Antiqua" w:cs="Times New Roman"/>
          <w:sz w:val="16"/>
          <w:szCs w:val="16"/>
        </w:rPr>
      </w:pPr>
    </w:p>
    <w:p w14:paraId="26E76E36" w14:textId="77777777" w:rsidR="00085297" w:rsidRDefault="00085297" w:rsidP="00AE2B8D">
      <w:pPr>
        <w:pStyle w:val="ListParagraph"/>
        <w:ind w:left="0"/>
        <w:rPr>
          <w:rFonts w:ascii="Book Antiqua" w:hAnsi="Book Antiqua" w:cs="Times New Roman"/>
          <w:sz w:val="16"/>
          <w:szCs w:val="16"/>
        </w:rPr>
      </w:pPr>
    </w:p>
    <w:p w14:paraId="0523BF6F" w14:textId="77777777" w:rsidR="00085297" w:rsidRDefault="00085297" w:rsidP="00AE2B8D">
      <w:pPr>
        <w:pStyle w:val="ListParagraph"/>
        <w:ind w:left="0"/>
        <w:rPr>
          <w:rFonts w:ascii="Book Antiqua" w:hAnsi="Book Antiqua" w:cs="Times New Roman"/>
          <w:sz w:val="16"/>
          <w:szCs w:val="16"/>
        </w:rPr>
      </w:pPr>
    </w:p>
    <w:p w14:paraId="3C578FB9" w14:textId="77777777" w:rsidR="00085297" w:rsidRDefault="00085297" w:rsidP="00AE2B8D">
      <w:pPr>
        <w:pStyle w:val="ListParagraph"/>
        <w:ind w:left="0"/>
        <w:rPr>
          <w:rFonts w:ascii="Book Antiqua" w:hAnsi="Book Antiqua" w:cs="Times New Roman"/>
          <w:sz w:val="16"/>
          <w:szCs w:val="16"/>
        </w:rPr>
      </w:pPr>
    </w:p>
    <w:p w14:paraId="367A1A51" w14:textId="77777777" w:rsidR="00085297" w:rsidRDefault="00085297" w:rsidP="00AE2B8D">
      <w:pPr>
        <w:pStyle w:val="ListParagraph"/>
        <w:ind w:left="0"/>
        <w:rPr>
          <w:rFonts w:ascii="Book Antiqua" w:hAnsi="Book Antiqua" w:cs="Times New Roman"/>
          <w:sz w:val="16"/>
          <w:szCs w:val="16"/>
        </w:rPr>
      </w:pPr>
    </w:p>
    <w:p w14:paraId="7599259C" w14:textId="77777777" w:rsidR="00085297" w:rsidRDefault="00085297" w:rsidP="00AE2B8D">
      <w:pPr>
        <w:pStyle w:val="ListParagraph"/>
        <w:ind w:left="0"/>
        <w:rPr>
          <w:rFonts w:ascii="Book Antiqua" w:hAnsi="Book Antiqua" w:cs="Times New Roman"/>
          <w:sz w:val="16"/>
          <w:szCs w:val="16"/>
        </w:rPr>
      </w:pPr>
    </w:p>
    <w:p w14:paraId="5E87AC4B" w14:textId="77777777" w:rsidR="00085297" w:rsidRDefault="00085297" w:rsidP="00AE2B8D">
      <w:pPr>
        <w:pStyle w:val="ListParagraph"/>
        <w:ind w:left="0"/>
        <w:rPr>
          <w:rFonts w:ascii="Book Antiqua" w:hAnsi="Book Antiqua" w:cs="Times New Roman"/>
          <w:sz w:val="16"/>
          <w:szCs w:val="16"/>
        </w:rPr>
      </w:pPr>
    </w:p>
    <w:p w14:paraId="41C16ADB" w14:textId="77777777" w:rsidR="00085297" w:rsidRDefault="00085297" w:rsidP="00AE2B8D">
      <w:pPr>
        <w:pStyle w:val="ListParagraph"/>
        <w:ind w:left="0"/>
        <w:rPr>
          <w:rFonts w:ascii="Book Antiqua" w:hAnsi="Book Antiqua" w:cs="Times New Roman"/>
          <w:sz w:val="16"/>
          <w:szCs w:val="16"/>
        </w:rPr>
      </w:pPr>
    </w:p>
    <w:p w14:paraId="0120849E" w14:textId="77777777" w:rsidR="00624E94" w:rsidRDefault="00624E94" w:rsidP="00AE2B8D">
      <w:pPr>
        <w:pStyle w:val="ListParagraph"/>
        <w:ind w:left="0"/>
        <w:rPr>
          <w:rFonts w:ascii="Book Antiqua" w:hAnsi="Book Antiqua" w:cs="Times New Roman"/>
          <w:sz w:val="16"/>
          <w:szCs w:val="16"/>
        </w:rPr>
      </w:pPr>
    </w:p>
    <w:p w14:paraId="55C9FF0C" w14:textId="77777777" w:rsidR="00E37372" w:rsidRDefault="00E37372" w:rsidP="00AE2B8D">
      <w:pPr>
        <w:pStyle w:val="ListParagraph"/>
        <w:ind w:left="0"/>
        <w:rPr>
          <w:rFonts w:ascii="Book Antiqua" w:hAnsi="Book Antiqua" w:cs="Times New Roman"/>
          <w:sz w:val="16"/>
          <w:szCs w:val="16"/>
        </w:rPr>
      </w:pPr>
    </w:p>
    <w:p w14:paraId="5D87716D" w14:textId="77777777" w:rsidR="00E37372" w:rsidRDefault="00E37372" w:rsidP="00AE2B8D">
      <w:pPr>
        <w:pStyle w:val="ListParagraph"/>
        <w:ind w:left="0"/>
        <w:rPr>
          <w:rFonts w:ascii="Book Antiqua" w:hAnsi="Book Antiqua" w:cs="Times New Roman"/>
          <w:sz w:val="16"/>
          <w:szCs w:val="16"/>
        </w:rPr>
      </w:pPr>
    </w:p>
    <w:p w14:paraId="0822B318" w14:textId="77777777" w:rsidR="00E37372" w:rsidRDefault="00E37372" w:rsidP="00AE2B8D">
      <w:pPr>
        <w:pStyle w:val="ListParagraph"/>
        <w:ind w:left="0"/>
        <w:rPr>
          <w:rFonts w:ascii="Book Antiqua" w:hAnsi="Book Antiqua" w:cs="Times New Roman"/>
          <w:sz w:val="16"/>
          <w:szCs w:val="16"/>
        </w:rPr>
      </w:pPr>
    </w:p>
    <w:p w14:paraId="699397FF" w14:textId="77777777" w:rsidR="00E37372" w:rsidRDefault="00E37372" w:rsidP="00AE2B8D">
      <w:pPr>
        <w:pStyle w:val="ListParagraph"/>
        <w:ind w:left="0"/>
        <w:rPr>
          <w:rFonts w:ascii="Book Antiqua" w:hAnsi="Book Antiqua" w:cs="Times New Roman"/>
          <w:sz w:val="16"/>
          <w:szCs w:val="16"/>
        </w:rPr>
      </w:pPr>
    </w:p>
    <w:p w14:paraId="1AE619C1" w14:textId="77777777" w:rsidR="00E37372" w:rsidRDefault="00E37372" w:rsidP="00AE2B8D">
      <w:pPr>
        <w:pStyle w:val="ListParagraph"/>
        <w:ind w:left="0"/>
        <w:rPr>
          <w:rFonts w:ascii="Book Antiqua" w:hAnsi="Book Antiqua" w:cs="Times New Roman"/>
          <w:sz w:val="16"/>
          <w:szCs w:val="16"/>
        </w:rPr>
      </w:pPr>
    </w:p>
    <w:p w14:paraId="4F9E5823" w14:textId="77777777" w:rsidR="00E37372" w:rsidRDefault="00E37372" w:rsidP="00AE2B8D">
      <w:pPr>
        <w:pStyle w:val="ListParagraph"/>
        <w:ind w:left="0"/>
        <w:rPr>
          <w:rFonts w:ascii="Book Antiqua" w:hAnsi="Book Antiqua" w:cs="Times New Roman"/>
          <w:sz w:val="16"/>
          <w:szCs w:val="16"/>
        </w:rPr>
      </w:pPr>
    </w:p>
    <w:p w14:paraId="31175A33" w14:textId="77777777" w:rsidR="00E37372" w:rsidRDefault="00E37372" w:rsidP="00AE2B8D">
      <w:pPr>
        <w:pStyle w:val="ListParagraph"/>
        <w:ind w:left="0"/>
        <w:rPr>
          <w:rFonts w:ascii="Book Antiqua" w:hAnsi="Book Antiqua" w:cs="Times New Roman"/>
          <w:sz w:val="16"/>
          <w:szCs w:val="16"/>
        </w:rPr>
      </w:pPr>
    </w:p>
    <w:p w14:paraId="6B6173CF" w14:textId="77777777" w:rsidR="00E37372" w:rsidRDefault="00E37372" w:rsidP="00AE2B8D">
      <w:pPr>
        <w:pStyle w:val="ListParagraph"/>
        <w:ind w:left="0"/>
        <w:rPr>
          <w:rFonts w:ascii="Book Antiqua" w:hAnsi="Book Antiqua" w:cs="Times New Roman"/>
          <w:sz w:val="16"/>
          <w:szCs w:val="16"/>
        </w:rPr>
      </w:pPr>
    </w:p>
    <w:p w14:paraId="0F4B53BA" w14:textId="77777777" w:rsidR="00E37372" w:rsidRDefault="00E37372" w:rsidP="00AE2B8D">
      <w:pPr>
        <w:pStyle w:val="ListParagraph"/>
        <w:ind w:left="0"/>
        <w:rPr>
          <w:rFonts w:ascii="Book Antiqua" w:hAnsi="Book Antiqua" w:cs="Times New Roman"/>
          <w:sz w:val="16"/>
          <w:szCs w:val="16"/>
        </w:rPr>
      </w:pPr>
    </w:p>
    <w:p w14:paraId="08CFDE22" w14:textId="77777777" w:rsidR="00E37372" w:rsidRDefault="00E37372" w:rsidP="00AE2B8D">
      <w:pPr>
        <w:pStyle w:val="ListParagraph"/>
        <w:ind w:left="0"/>
        <w:rPr>
          <w:rFonts w:ascii="Book Antiqua" w:hAnsi="Book Antiqua" w:cs="Times New Roman"/>
          <w:sz w:val="16"/>
          <w:szCs w:val="16"/>
        </w:rPr>
      </w:pPr>
    </w:p>
    <w:p w14:paraId="172317BC" w14:textId="77777777" w:rsidR="00E37372" w:rsidRDefault="00E37372" w:rsidP="00AE2B8D">
      <w:pPr>
        <w:pStyle w:val="ListParagraph"/>
        <w:ind w:left="0"/>
        <w:rPr>
          <w:rFonts w:ascii="Book Antiqua" w:hAnsi="Book Antiqua" w:cs="Times New Roman"/>
          <w:sz w:val="16"/>
          <w:szCs w:val="16"/>
        </w:rPr>
      </w:pPr>
    </w:p>
    <w:p w14:paraId="49518550" w14:textId="77777777" w:rsidR="00E37372" w:rsidRDefault="00E37372" w:rsidP="00AE2B8D">
      <w:pPr>
        <w:pStyle w:val="ListParagraph"/>
        <w:ind w:left="0"/>
        <w:rPr>
          <w:rFonts w:ascii="Book Antiqua" w:hAnsi="Book Antiqua" w:cs="Times New Roman"/>
          <w:sz w:val="16"/>
          <w:szCs w:val="16"/>
        </w:rPr>
      </w:pPr>
    </w:p>
    <w:p w14:paraId="04D42012" w14:textId="46318D40" w:rsidR="0024745B" w:rsidRPr="00085297" w:rsidRDefault="009F25F8" w:rsidP="00214546">
      <w:pPr>
        <w:pStyle w:val="ListParagraph"/>
        <w:numPr>
          <w:ilvl w:val="0"/>
          <w:numId w:val="19"/>
        </w:numPr>
        <w:jc w:val="both"/>
        <w:rPr>
          <w:rFonts w:ascii="Book Antiqua" w:hAnsi="Book Antiqua" w:cs="Times New Roman"/>
          <w:color w:val="0070C0"/>
          <w:sz w:val="18"/>
          <w:szCs w:val="18"/>
        </w:rPr>
      </w:pPr>
      <w:r w:rsidRPr="00085297">
        <w:rPr>
          <w:rFonts w:ascii="Book Antiqua" w:hAnsi="Book Antiqua" w:cs="Times New Roman"/>
          <w:b/>
          <w:bCs/>
          <w:color w:val="0070C0"/>
          <w:sz w:val="20"/>
          <w:szCs w:val="20"/>
        </w:rPr>
        <w:lastRenderedPageBreak/>
        <w:t>Introduction</w:t>
      </w:r>
      <w:r w:rsidR="005E1BEC" w:rsidRPr="00085297">
        <w:rPr>
          <w:rFonts w:ascii="Book Antiqua" w:hAnsi="Book Antiqua" w:cs="Times New Roman"/>
          <w:b/>
          <w:bCs/>
          <w:color w:val="0070C0"/>
          <w:sz w:val="20"/>
          <w:szCs w:val="20"/>
        </w:rPr>
        <w:t xml:space="preserve"> and </w:t>
      </w:r>
      <w:r w:rsidR="00D51C7B" w:rsidRPr="00085297">
        <w:rPr>
          <w:rFonts w:ascii="Book Antiqua" w:hAnsi="Book Antiqua" w:cs="Times New Roman"/>
          <w:b/>
          <w:bCs/>
          <w:color w:val="0070C0"/>
          <w:sz w:val="20"/>
          <w:szCs w:val="20"/>
        </w:rPr>
        <w:t>Research Rationale</w:t>
      </w:r>
    </w:p>
    <w:p w14:paraId="43DF1F86" w14:textId="3B57EC57" w:rsidR="00FF727A" w:rsidRDefault="00FF727A" w:rsidP="00FF727A">
      <w:pPr>
        <w:jc w:val="both"/>
        <w:rPr>
          <w:rFonts w:ascii="Book Antiqua" w:eastAsia="Times New Roman" w:hAnsi="Book Antiqua" w:cs="Times New Roman"/>
          <w:sz w:val="16"/>
          <w:szCs w:val="16"/>
        </w:rPr>
      </w:pPr>
      <w:r w:rsidRPr="00FF727A">
        <w:rPr>
          <w:rFonts w:ascii="Book Antiqua" w:eastAsia="Times New Roman" w:hAnsi="Book Antiqua" w:cs="Times New Roman"/>
          <w:sz w:val="16"/>
          <w:szCs w:val="16"/>
        </w:rPr>
        <w:t xml:space="preserve">Financial Technology (FinTech) has </w:t>
      </w:r>
      <w:r w:rsidR="00C13BD1" w:rsidRPr="00FF727A">
        <w:rPr>
          <w:rFonts w:ascii="Book Antiqua" w:eastAsia="Times New Roman" w:hAnsi="Book Antiqua" w:cs="Times New Roman"/>
          <w:sz w:val="16"/>
          <w:szCs w:val="16"/>
        </w:rPr>
        <w:t>altered</w:t>
      </w:r>
      <w:r w:rsidRPr="00FF727A">
        <w:rPr>
          <w:rFonts w:ascii="Book Antiqua" w:eastAsia="Times New Roman" w:hAnsi="Book Antiqua" w:cs="Times New Roman"/>
          <w:sz w:val="16"/>
          <w:szCs w:val="16"/>
        </w:rPr>
        <w:t xml:space="preserve"> global </w:t>
      </w:r>
      <w:r w:rsidR="00C13BD1" w:rsidRPr="00FF727A">
        <w:rPr>
          <w:rFonts w:ascii="Book Antiqua" w:eastAsia="Times New Roman" w:hAnsi="Book Antiqua" w:cs="Times New Roman"/>
          <w:sz w:val="16"/>
          <w:szCs w:val="16"/>
        </w:rPr>
        <w:t>fiscal</w:t>
      </w:r>
      <w:r w:rsidRPr="00FF727A">
        <w:rPr>
          <w:rFonts w:ascii="Book Antiqua" w:eastAsia="Times New Roman" w:hAnsi="Book Antiqua" w:cs="Times New Roman"/>
          <w:sz w:val="16"/>
          <w:szCs w:val="16"/>
        </w:rPr>
        <w:t xml:space="preserve"> delivery through mobile banking and</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digital payment architectures</w:t>
      </w:r>
      <w:r w:rsidR="00921B78">
        <w:rPr>
          <w:rFonts w:ascii="Book Antiqua" w:eastAsia="Times New Roman" w:hAnsi="Book Antiqua" w:cs="Times New Roman"/>
          <w:sz w:val="16"/>
          <w:szCs w:val="16"/>
        </w:rPr>
        <w:t xml:space="preserve"> (</w:t>
      </w:r>
      <w:r w:rsidR="009F1A00" w:rsidRPr="009F1A00">
        <w:rPr>
          <w:rFonts w:ascii="Book Antiqua" w:eastAsia="Times New Roman" w:hAnsi="Book Antiqua" w:cs="Times New Roman"/>
          <w:color w:val="0070C0"/>
          <w:sz w:val="16"/>
          <w:szCs w:val="16"/>
        </w:rPr>
        <w:t xml:space="preserve">Gomber </w:t>
      </w:r>
      <w:r w:rsidR="009F1A00" w:rsidRPr="009F1A00">
        <w:rPr>
          <w:rFonts w:ascii="Book Antiqua" w:eastAsia="Times New Roman" w:hAnsi="Book Antiqua" w:cs="Times New Roman"/>
          <w:i/>
          <w:iCs/>
          <w:color w:val="0070C0"/>
          <w:sz w:val="16"/>
          <w:szCs w:val="16"/>
        </w:rPr>
        <w:t>et al.,</w:t>
      </w:r>
      <w:r w:rsidR="009F1A00" w:rsidRPr="009F1A00">
        <w:rPr>
          <w:rFonts w:ascii="Book Antiqua" w:eastAsia="Times New Roman" w:hAnsi="Book Antiqua" w:cs="Times New Roman"/>
          <w:color w:val="0070C0"/>
          <w:sz w:val="16"/>
          <w:szCs w:val="16"/>
        </w:rPr>
        <w:t xml:space="preserve"> 2017</w:t>
      </w:r>
      <w:r w:rsidR="00921B78">
        <w:rPr>
          <w:rFonts w:ascii="Book Antiqua" w:eastAsia="Times New Roman" w:hAnsi="Book Antiqua" w:cs="Times New Roman"/>
          <w:sz w:val="16"/>
          <w:szCs w:val="16"/>
        </w:rPr>
        <w:t>)</w:t>
      </w:r>
      <w:r w:rsidRPr="00FF727A">
        <w:rPr>
          <w:rFonts w:ascii="Book Antiqua" w:eastAsia="Times New Roman" w:hAnsi="Book Antiqua" w:cs="Times New Roman"/>
          <w:sz w:val="16"/>
          <w:szCs w:val="16"/>
        </w:rPr>
        <w:t>. In South Asia, these innovations drastically reduce transaction costs,</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allowing service providers across Bangladesh, India, and Pakistan to capture vast consumer markets</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w:t>
      </w:r>
      <w:r w:rsidRPr="00FF727A">
        <w:rPr>
          <w:rFonts w:ascii="Book Antiqua" w:eastAsia="Times New Roman" w:hAnsi="Book Antiqua" w:cs="Times New Roman"/>
          <w:color w:val="0070C0"/>
          <w:sz w:val="16"/>
          <w:szCs w:val="16"/>
        </w:rPr>
        <w:t xml:space="preserve">Pazarbasioglu </w:t>
      </w:r>
      <w:r w:rsidRPr="00FF727A">
        <w:rPr>
          <w:rFonts w:ascii="Book Antiqua" w:eastAsia="Times New Roman" w:hAnsi="Book Antiqua" w:cs="Times New Roman"/>
          <w:i/>
          <w:iCs/>
          <w:color w:val="0070C0"/>
          <w:sz w:val="16"/>
          <w:szCs w:val="16"/>
        </w:rPr>
        <w:t>et al.,</w:t>
      </w:r>
      <w:r w:rsidRPr="00FF727A">
        <w:rPr>
          <w:rFonts w:ascii="Book Antiqua" w:eastAsia="Times New Roman" w:hAnsi="Book Antiqua" w:cs="Times New Roman"/>
          <w:color w:val="0070C0"/>
          <w:sz w:val="16"/>
          <w:szCs w:val="16"/>
        </w:rPr>
        <w:t xml:space="preserve"> 2020</w:t>
      </w:r>
      <w:r w:rsidRPr="00FF727A">
        <w:rPr>
          <w:rFonts w:ascii="Book Antiqua" w:eastAsia="Times New Roman" w:hAnsi="Book Antiqua" w:cs="Times New Roman"/>
          <w:sz w:val="16"/>
          <w:szCs w:val="16"/>
        </w:rPr>
        <w:t>). Within this expansion, women represent one of the largest underserved</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 xml:space="preserve">customer segments. Nevertheless, </w:t>
      </w:r>
      <w:r w:rsidR="00A72F7C" w:rsidRPr="00A72F7C">
        <w:rPr>
          <w:rFonts w:ascii="Book Antiqua" w:eastAsia="Times New Roman" w:hAnsi="Book Antiqua" w:cs="Times New Roman"/>
          <w:sz w:val="16"/>
          <w:szCs w:val="16"/>
        </w:rPr>
        <w:t xml:space="preserve">Global Findex statistics indicate a lasting gender gap in </w:t>
      </w:r>
      <w:r w:rsidR="007E2256">
        <w:rPr>
          <w:rFonts w:ascii="Book Antiqua" w:eastAsia="Times New Roman" w:hAnsi="Book Antiqua" w:cs="Times New Roman"/>
          <w:sz w:val="16"/>
          <w:szCs w:val="16"/>
        </w:rPr>
        <w:t xml:space="preserve">mobile money </w:t>
      </w:r>
      <w:r w:rsidR="00A72F7C" w:rsidRPr="00A72F7C">
        <w:rPr>
          <w:rFonts w:ascii="Book Antiqua" w:eastAsia="Times New Roman" w:hAnsi="Book Antiqua" w:cs="Times New Roman"/>
          <w:sz w:val="16"/>
          <w:szCs w:val="16"/>
        </w:rPr>
        <w:t>account ownership across the region</w:t>
      </w:r>
      <w:r w:rsidR="00A72F7C">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w:t>
      </w:r>
      <w:r w:rsidRPr="00FF727A">
        <w:rPr>
          <w:rFonts w:ascii="Book Antiqua" w:eastAsia="Times New Roman" w:hAnsi="Book Antiqua" w:cs="Times New Roman"/>
          <w:color w:val="0070C0"/>
          <w:sz w:val="16"/>
          <w:szCs w:val="16"/>
        </w:rPr>
        <w:t xml:space="preserve">Demirgüç-Kunt </w:t>
      </w:r>
      <w:r w:rsidRPr="00FF727A">
        <w:rPr>
          <w:rFonts w:ascii="Book Antiqua" w:eastAsia="Times New Roman" w:hAnsi="Book Antiqua" w:cs="Times New Roman"/>
          <w:i/>
          <w:iCs/>
          <w:color w:val="0070C0"/>
          <w:sz w:val="16"/>
          <w:szCs w:val="16"/>
        </w:rPr>
        <w:t>et al.,</w:t>
      </w:r>
      <w:r w:rsidRPr="00FF727A">
        <w:rPr>
          <w:rFonts w:ascii="Book Antiqua" w:eastAsia="Times New Roman" w:hAnsi="Book Antiqua" w:cs="Times New Roman"/>
          <w:color w:val="0070C0"/>
          <w:sz w:val="16"/>
          <w:szCs w:val="16"/>
        </w:rPr>
        <w:t xml:space="preserve"> 2018</w:t>
      </w:r>
      <w:r w:rsidRPr="00FF727A">
        <w:rPr>
          <w:rFonts w:ascii="Book Antiqua" w:eastAsia="Times New Roman" w:hAnsi="Book Antiqua" w:cs="Times New Roman"/>
          <w:sz w:val="16"/>
          <w:szCs w:val="16"/>
        </w:rPr>
        <w:t>). Consequently, FinTech platforms are</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frequently positioned by policymakers and development agencies as liberating vehicles capable of</w:t>
      </w:r>
      <w:r>
        <w:rPr>
          <w:rFonts w:ascii="Book Antiqua" w:eastAsia="Times New Roman" w:hAnsi="Book Antiqua" w:cs="Times New Roman"/>
          <w:sz w:val="16"/>
          <w:szCs w:val="16"/>
        </w:rPr>
        <w:t xml:space="preserve"> </w:t>
      </w:r>
      <w:r w:rsidRPr="00FF727A">
        <w:rPr>
          <w:rFonts w:ascii="Book Antiqua" w:eastAsia="Times New Roman" w:hAnsi="Book Antiqua" w:cs="Times New Roman"/>
          <w:sz w:val="16"/>
          <w:szCs w:val="16"/>
        </w:rPr>
        <w:t>expanding female capital access and economic agency (</w:t>
      </w:r>
      <w:r w:rsidRPr="00FF727A">
        <w:rPr>
          <w:rFonts w:ascii="Book Antiqua" w:eastAsia="Times New Roman" w:hAnsi="Book Antiqua" w:cs="Times New Roman"/>
          <w:color w:val="0070C0"/>
          <w:sz w:val="16"/>
          <w:szCs w:val="16"/>
        </w:rPr>
        <w:t>World Bank, 2022</w:t>
      </w:r>
      <w:r w:rsidRPr="00FF727A">
        <w:rPr>
          <w:rFonts w:ascii="Book Antiqua" w:eastAsia="Times New Roman" w:hAnsi="Book Antiqua" w:cs="Times New Roman"/>
          <w:sz w:val="16"/>
          <w:szCs w:val="16"/>
        </w:rPr>
        <w:t>).</w:t>
      </w:r>
    </w:p>
    <w:p w14:paraId="553956FB" w14:textId="3D6ACE35" w:rsidR="007B6CC3" w:rsidRDefault="007B6CC3" w:rsidP="00FF727A">
      <w:pPr>
        <w:jc w:val="both"/>
        <w:rPr>
          <w:rFonts w:ascii="Book Antiqua" w:eastAsia="Times New Roman" w:hAnsi="Book Antiqua" w:cs="Times New Roman"/>
          <w:sz w:val="16"/>
          <w:szCs w:val="16"/>
        </w:rPr>
      </w:pPr>
      <w:r w:rsidRPr="007B6CC3">
        <w:rPr>
          <w:rFonts w:ascii="Book Antiqua" w:eastAsia="Times New Roman" w:hAnsi="Book Antiqua" w:cs="Times New Roman"/>
          <w:sz w:val="16"/>
          <w:szCs w:val="16"/>
        </w:rPr>
        <w:t>This regional growth trajectory is not merely a matter of infrastructure roll-out; it intersects with deeply entrenched social structures that determine who within a household ultimately controls a digital financial instrument. South Asia records the widest mobile internet gender gap of any world region at 32%, and its mobile money account ownership gender gap stood at 59% as of 2024</w:t>
      </w:r>
      <w:r>
        <w:rPr>
          <w:rFonts w:ascii="Book Antiqua" w:eastAsia="Times New Roman" w:hAnsi="Book Antiqua" w:cs="Times New Roman"/>
          <w:sz w:val="16"/>
          <w:szCs w:val="16"/>
        </w:rPr>
        <w:t xml:space="preserve">, </w:t>
      </w:r>
      <w:r w:rsidRPr="007B6CC3">
        <w:rPr>
          <w:rFonts w:ascii="Book Antiqua" w:eastAsia="Times New Roman" w:hAnsi="Book Antiqua" w:cs="Times New Roman"/>
          <w:sz w:val="16"/>
          <w:szCs w:val="16"/>
        </w:rPr>
        <w:t>still the largest of any region globally despite recent narrowing (</w:t>
      </w:r>
      <w:r w:rsidRPr="007B6CC3">
        <w:rPr>
          <w:rFonts w:ascii="Book Antiqua" w:eastAsia="Times New Roman" w:hAnsi="Book Antiqua" w:cs="Times New Roman"/>
          <w:color w:val="0070C0"/>
          <w:sz w:val="16"/>
          <w:szCs w:val="16"/>
        </w:rPr>
        <w:t>GSMA, 2025</w:t>
      </w:r>
      <w:r w:rsidRPr="007B6CC3">
        <w:rPr>
          <w:rFonts w:ascii="Book Antiqua" w:eastAsia="Times New Roman" w:hAnsi="Book Antiqua" w:cs="Times New Roman"/>
          <w:sz w:val="16"/>
          <w:szCs w:val="16"/>
        </w:rPr>
        <w:t>). This disparity is compounded by variable literacy rates, uneven agent-network density, and religiously and culturally inflected norms governing female mobility and independent economic activity, several of which are documented later in this review. Understanding whether, and how, FinTech genuinely reconfigures these dynamics, rather than simply digitising existing patriarchal control, is therefore both an academically underserved question and a matter of immediate practical consequence for the firms, NGOs, and governments seeking to serve this market.</w:t>
      </w:r>
    </w:p>
    <w:p w14:paraId="2D568EF8" w14:textId="6FBA3223" w:rsidR="00DB29D5" w:rsidRDefault="00EA25E2" w:rsidP="00DB29D5">
      <w:pPr>
        <w:pStyle w:val="ListParagraph"/>
        <w:ind w:left="0"/>
        <w:jc w:val="both"/>
        <w:rPr>
          <w:rFonts w:ascii="Book Antiqua" w:hAnsi="Book Antiqua" w:cs="Times New Roman"/>
          <w:sz w:val="16"/>
          <w:szCs w:val="16"/>
        </w:rPr>
      </w:pPr>
      <w:r w:rsidRPr="002D6278">
        <w:rPr>
          <w:rFonts w:ascii="Book Antiqua" w:hAnsi="Book Antiqua" w:cs="Times New Roman"/>
          <w:sz w:val="16"/>
          <w:szCs w:val="16"/>
        </w:rPr>
        <w:t xml:space="preserve">Despite optimistic </w:t>
      </w:r>
      <w:r w:rsidR="0057797B">
        <w:rPr>
          <w:rFonts w:ascii="Book Antiqua" w:hAnsi="Book Antiqua" w:cs="Times New Roman"/>
          <w:sz w:val="16"/>
          <w:szCs w:val="16"/>
        </w:rPr>
        <w:t>narratives</w:t>
      </w:r>
      <w:r w:rsidRPr="002D6278">
        <w:rPr>
          <w:rFonts w:ascii="Book Antiqua" w:hAnsi="Book Antiqua" w:cs="Times New Roman"/>
          <w:sz w:val="16"/>
          <w:szCs w:val="16"/>
        </w:rPr>
        <w:t>,</w:t>
      </w:r>
      <w:r w:rsidR="00991E2D" w:rsidRPr="002D6278">
        <w:rPr>
          <w:rFonts w:ascii="Book Antiqua" w:hAnsi="Book Antiqua" w:cs="Times New Roman"/>
          <w:sz w:val="16"/>
          <w:szCs w:val="16"/>
        </w:rPr>
        <w:t xml:space="preserve"> </w:t>
      </w:r>
      <w:r w:rsidR="003530DD" w:rsidRPr="003530DD">
        <w:rPr>
          <w:rFonts w:ascii="Book Antiqua" w:hAnsi="Book Antiqua" w:cs="Times New Roman"/>
          <w:sz w:val="16"/>
          <w:szCs w:val="16"/>
        </w:rPr>
        <w:t xml:space="preserve">which </w:t>
      </w:r>
      <w:r w:rsidR="003530DD" w:rsidRPr="003530DD">
        <w:rPr>
          <w:rFonts w:ascii="Book Antiqua" w:hAnsi="Book Antiqua" w:cs="Times New Roman"/>
          <w:color w:val="0070C0"/>
          <w:sz w:val="16"/>
          <w:szCs w:val="16"/>
        </w:rPr>
        <w:t>Ozili (2020)</w:t>
      </w:r>
      <w:r w:rsidR="003530DD" w:rsidRPr="003530DD">
        <w:rPr>
          <w:rFonts w:ascii="Book Antiqua" w:hAnsi="Book Antiqua" w:cs="Times New Roman"/>
          <w:sz w:val="16"/>
          <w:szCs w:val="16"/>
        </w:rPr>
        <w:t xml:space="preserve"> argues frequently overstate the benefits of digital finance for the poorest and most excluded populations, </w:t>
      </w:r>
      <w:r w:rsidR="00EA446F" w:rsidRPr="002D6278">
        <w:rPr>
          <w:rFonts w:ascii="Book Antiqua" w:hAnsi="Book Antiqua" w:cs="Times New Roman"/>
          <w:sz w:val="16"/>
          <w:szCs w:val="16"/>
        </w:rPr>
        <w:t xml:space="preserve">female adoption rates </w:t>
      </w:r>
      <w:r w:rsidR="0000525D" w:rsidRPr="002D6278">
        <w:rPr>
          <w:rFonts w:ascii="Book Antiqua" w:hAnsi="Book Antiqua" w:cs="Times New Roman"/>
          <w:sz w:val="16"/>
          <w:szCs w:val="16"/>
        </w:rPr>
        <w:t xml:space="preserve">remain consistently lower than men across </w:t>
      </w:r>
      <w:r w:rsidR="00991E2D" w:rsidRPr="002D6278">
        <w:rPr>
          <w:rFonts w:ascii="Book Antiqua" w:hAnsi="Book Antiqua" w:cs="Times New Roman"/>
          <w:sz w:val="16"/>
          <w:szCs w:val="16"/>
        </w:rPr>
        <w:t>South Asia</w:t>
      </w:r>
      <w:r w:rsidR="00267DFC" w:rsidRPr="002D6278">
        <w:rPr>
          <w:rFonts w:ascii="Book Antiqua" w:hAnsi="Book Antiqua" w:cs="Times New Roman"/>
          <w:sz w:val="16"/>
          <w:szCs w:val="16"/>
        </w:rPr>
        <w:t xml:space="preserve">. Furthermore, where </w:t>
      </w:r>
      <w:r w:rsidR="0000525D" w:rsidRPr="002D6278">
        <w:rPr>
          <w:rFonts w:ascii="Book Antiqua" w:hAnsi="Book Antiqua" w:cs="Times New Roman"/>
          <w:sz w:val="16"/>
          <w:szCs w:val="16"/>
        </w:rPr>
        <w:t>adoption occur</w:t>
      </w:r>
      <w:r w:rsidR="0057797B">
        <w:rPr>
          <w:rFonts w:ascii="Book Antiqua" w:hAnsi="Book Antiqua" w:cs="Times New Roman"/>
          <w:sz w:val="16"/>
          <w:szCs w:val="16"/>
        </w:rPr>
        <w:t>s</w:t>
      </w:r>
      <w:r w:rsidR="0000525D" w:rsidRPr="002D6278">
        <w:rPr>
          <w:rFonts w:ascii="Book Antiqua" w:hAnsi="Book Antiqua" w:cs="Times New Roman"/>
          <w:sz w:val="16"/>
          <w:szCs w:val="16"/>
        </w:rPr>
        <w:t xml:space="preserve">, livelihood outcomes are </w:t>
      </w:r>
      <w:r w:rsidR="00C01E00" w:rsidRPr="002D6278">
        <w:rPr>
          <w:rFonts w:ascii="Book Antiqua" w:hAnsi="Book Antiqua" w:cs="Times New Roman"/>
          <w:sz w:val="16"/>
          <w:szCs w:val="16"/>
        </w:rPr>
        <w:t xml:space="preserve">highly asymmetric, volatile, </w:t>
      </w:r>
      <w:r w:rsidR="0000525D" w:rsidRPr="002D6278">
        <w:rPr>
          <w:rFonts w:ascii="Book Antiqua" w:hAnsi="Book Antiqua" w:cs="Times New Roman"/>
          <w:sz w:val="16"/>
          <w:szCs w:val="16"/>
        </w:rPr>
        <w:t xml:space="preserve">and mediated by </w:t>
      </w:r>
      <w:r w:rsidR="006A51B1" w:rsidRPr="002D6278">
        <w:rPr>
          <w:rFonts w:ascii="Book Antiqua" w:hAnsi="Book Antiqua" w:cs="Times New Roman"/>
          <w:sz w:val="16"/>
          <w:szCs w:val="16"/>
        </w:rPr>
        <w:t xml:space="preserve">non-technological variables </w:t>
      </w:r>
      <w:r w:rsidR="0000525D" w:rsidRPr="002D6278">
        <w:rPr>
          <w:rFonts w:ascii="Book Antiqua" w:hAnsi="Book Antiqua" w:cs="Times New Roman"/>
          <w:sz w:val="16"/>
          <w:szCs w:val="16"/>
        </w:rPr>
        <w:t>(</w:t>
      </w:r>
      <w:r w:rsidR="0078070F" w:rsidRPr="002D6278">
        <w:rPr>
          <w:rFonts w:ascii="Book Antiqua" w:hAnsi="Book Antiqua" w:cs="Times New Roman"/>
          <w:color w:val="0070C0"/>
          <w:sz w:val="16"/>
          <w:szCs w:val="16"/>
        </w:rPr>
        <w:t>Kabeer, 202</w:t>
      </w:r>
      <w:r w:rsidR="0096042A" w:rsidRPr="002D6278">
        <w:rPr>
          <w:rFonts w:ascii="Book Antiqua" w:hAnsi="Book Antiqua" w:cs="Times New Roman"/>
          <w:color w:val="0070C0"/>
          <w:sz w:val="16"/>
          <w:szCs w:val="16"/>
        </w:rPr>
        <w:t>0</w:t>
      </w:r>
      <w:r w:rsidR="0078070F" w:rsidRPr="002D6278">
        <w:rPr>
          <w:rFonts w:ascii="Book Antiqua" w:hAnsi="Book Antiqua" w:cs="Times New Roman"/>
          <w:color w:val="0070C0"/>
          <w:sz w:val="16"/>
          <w:szCs w:val="16"/>
        </w:rPr>
        <w:t>; Kulkarni and Ghosh, 2021</w:t>
      </w:r>
      <w:r w:rsidR="0000525D" w:rsidRPr="002D6278">
        <w:rPr>
          <w:rFonts w:ascii="Book Antiqua" w:hAnsi="Book Antiqua" w:cs="Times New Roman"/>
          <w:sz w:val="16"/>
          <w:szCs w:val="16"/>
        </w:rPr>
        <w:t>).</w:t>
      </w:r>
      <w:r w:rsidR="00FF2743" w:rsidRPr="002D6278">
        <w:rPr>
          <w:rFonts w:ascii="Book Antiqua" w:hAnsi="Book Antiqua" w:cs="Times New Roman"/>
          <w:sz w:val="16"/>
          <w:szCs w:val="16"/>
        </w:rPr>
        <w:t xml:space="preserve"> </w:t>
      </w:r>
      <w:r w:rsidR="00026C9A" w:rsidRPr="002D6278">
        <w:rPr>
          <w:rFonts w:ascii="Book Antiqua" w:hAnsi="Book Antiqua" w:cs="Times New Roman"/>
          <w:sz w:val="16"/>
          <w:szCs w:val="16"/>
        </w:rPr>
        <w:t>Paradoxically, FinTech providers and policymakers continue to evaluate inclusion through superficial metrics like gross account registration.</w:t>
      </w:r>
      <w:r w:rsidR="00A96749" w:rsidRPr="002D6278">
        <w:rPr>
          <w:rFonts w:ascii="Book Antiqua" w:hAnsi="Book Antiqua" w:cs="Times New Roman"/>
          <w:sz w:val="16"/>
          <w:szCs w:val="16"/>
        </w:rPr>
        <w:t xml:space="preserve"> </w:t>
      </w:r>
      <w:r w:rsidR="00490E9F" w:rsidRPr="002D6278">
        <w:rPr>
          <w:rFonts w:ascii="Book Antiqua" w:hAnsi="Book Antiqua" w:cs="Times New Roman"/>
          <w:sz w:val="16"/>
          <w:szCs w:val="16"/>
        </w:rPr>
        <w:t>A</w:t>
      </w:r>
      <w:r w:rsidR="00B92D5F" w:rsidRPr="002D6278">
        <w:rPr>
          <w:rFonts w:ascii="Book Antiqua" w:hAnsi="Book Antiqua" w:cs="Times New Roman"/>
          <w:sz w:val="16"/>
          <w:szCs w:val="16"/>
        </w:rPr>
        <w:t xml:space="preserve">s </w:t>
      </w:r>
      <w:r w:rsidR="00B92D5F" w:rsidRPr="0057797B">
        <w:rPr>
          <w:rFonts w:ascii="Book Antiqua" w:hAnsi="Book Antiqua" w:cs="Times New Roman"/>
          <w:color w:val="0070C0"/>
          <w:sz w:val="16"/>
          <w:szCs w:val="16"/>
        </w:rPr>
        <w:t>Kabeer</w:t>
      </w:r>
      <w:r w:rsidR="00DB6A9F" w:rsidRPr="0057797B">
        <w:rPr>
          <w:rFonts w:ascii="Book Antiqua" w:hAnsi="Book Antiqua" w:cs="Times New Roman"/>
          <w:color w:val="0070C0"/>
          <w:sz w:val="16"/>
          <w:szCs w:val="16"/>
        </w:rPr>
        <w:t xml:space="preserve"> (2020)</w:t>
      </w:r>
      <w:r w:rsidR="00B92D5F" w:rsidRPr="0057797B">
        <w:rPr>
          <w:rFonts w:ascii="Book Antiqua" w:hAnsi="Book Antiqua" w:cs="Times New Roman"/>
          <w:color w:val="0070C0"/>
          <w:sz w:val="16"/>
          <w:szCs w:val="16"/>
        </w:rPr>
        <w:t xml:space="preserve"> </w:t>
      </w:r>
      <w:r w:rsidR="00B92D5F" w:rsidRPr="002D6278">
        <w:rPr>
          <w:rFonts w:ascii="Book Antiqua" w:hAnsi="Book Antiqua" w:cs="Times New Roman"/>
          <w:sz w:val="16"/>
          <w:szCs w:val="16"/>
        </w:rPr>
        <w:t xml:space="preserve">observes, </w:t>
      </w:r>
      <w:r w:rsidR="004F65E4" w:rsidRPr="002D6278">
        <w:rPr>
          <w:rFonts w:ascii="Book Antiqua" w:hAnsi="Book Antiqua" w:cs="Times New Roman"/>
          <w:sz w:val="16"/>
          <w:szCs w:val="16"/>
        </w:rPr>
        <w:t xml:space="preserve">these metrics fail to </w:t>
      </w:r>
      <w:r w:rsidR="0057797B" w:rsidRPr="0057797B">
        <w:rPr>
          <w:rFonts w:ascii="Book Antiqua" w:hAnsi="Book Antiqua" w:cs="Times New Roman"/>
          <w:sz w:val="16"/>
          <w:szCs w:val="16"/>
        </w:rPr>
        <w:t>measure autonomous control.</w:t>
      </w:r>
      <w:r w:rsidR="0057797B">
        <w:rPr>
          <w:rFonts w:ascii="Book Antiqua" w:hAnsi="Book Antiqua" w:cs="Times New Roman"/>
          <w:sz w:val="16"/>
          <w:szCs w:val="16"/>
        </w:rPr>
        <w:t xml:space="preserve"> </w:t>
      </w:r>
      <w:r w:rsidR="0000525D" w:rsidRPr="002D6278">
        <w:rPr>
          <w:rFonts w:ascii="Book Antiqua" w:hAnsi="Book Antiqua" w:cs="Times New Roman"/>
          <w:sz w:val="16"/>
          <w:szCs w:val="16"/>
        </w:rPr>
        <w:t xml:space="preserve">In practice, </w:t>
      </w:r>
      <w:r w:rsidR="00E679B3" w:rsidRPr="002D6278">
        <w:rPr>
          <w:rFonts w:ascii="Book Antiqua" w:hAnsi="Book Antiqua" w:cs="Times New Roman"/>
          <w:sz w:val="16"/>
          <w:szCs w:val="16"/>
        </w:rPr>
        <w:t>p</w:t>
      </w:r>
      <w:r w:rsidR="0000525D" w:rsidRPr="002D6278">
        <w:rPr>
          <w:rFonts w:ascii="Book Antiqua" w:hAnsi="Book Antiqua" w:cs="Times New Roman"/>
          <w:sz w:val="16"/>
          <w:szCs w:val="16"/>
        </w:rPr>
        <w:t xml:space="preserve">atriarchal norms governing resource ownership, restricted mobility, low digital literacy, and </w:t>
      </w:r>
      <w:r w:rsidR="008C327F">
        <w:rPr>
          <w:rFonts w:ascii="Book Antiqua" w:hAnsi="Book Antiqua" w:cs="Times New Roman"/>
          <w:sz w:val="16"/>
          <w:szCs w:val="16"/>
        </w:rPr>
        <w:t>male surveillance</w:t>
      </w:r>
      <w:r w:rsidR="002D70BB">
        <w:rPr>
          <w:rFonts w:ascii="Book Antiqua" w:hAnsi="Book Antiqua" w:cs="Times New Roman"/>
          <w:sz w:val="16"/>
          <w:szCs w:val="16"/>
        </w:rPr>
        <w:t xml:space="preserve"> c</w:t>
      </w:r>
      <w:r w:rsidR="0000525D" w:rsidRPr="002D6278">
        <w:rPr>
          <w:rFonts w:ascii="Book Antiqua" w:hAnsi="Book Antiqua" w:cs="Times New Roman"/>
          <w:sz w:val="16"/>
          <w:szCs w:val="16"/>
        </w:rPr>
        <w:t xml:space="preserve">onstrain how </w:t>
      </w:r>
      <w:r w:rsidR="00D85ADB" w:rsidRPr="002D6278">
        <w:rPr>
          <w:rFonts w:ascii="Book Antiqua" w:hAnsi="Book Antiqua" w:cs="Times New Roman"/>
          <w:sz w:val="16"/>
          <w:szCs w:val="16"/>
        </w:rPr>
        <w:t>and, on whose terms,</w:t>
      </w:r>
      <w:r w:rsidR="0000525D" w:rsidRPr="002D6278">
        <w:rPr>
          <w:rFonts w:ascii="Book Antiqua" w:hAnsi="Book Antiqua" w:cs="Times New Roman"/>
          <w:sz w:val="16"/>
          <w:szCs w:val="16"/>
        </w:rPr>
        <w:t xml:space="preserve"> </w:t>
      </w:r>
      <w:r w:rsidR="002D70BB">
        <w:rPr>
          <w:rFonts w:ascii="Book Antiqua" w:hAnsi="Book Antiqua" w:cs="Times New Roman"/>
          <w:sz w:val="16"/>
          <w:szCs w:val="16"/>
        </w:rPr>
        <w:t xml:space="preserve">women engage with technology </w:t>
      </w:r>
      <w:r w:rsidR="0083547F" w:rsidRPr="002D6278">
        <w:rPr>
          <w:rFonts w:ascii="Book Antiqua" w:hAnsi="Book Antiqua" w:cs="Times New Roman"/>
          <w:sz w:val="16"/>
          <w:szCs w:val="16"/>
        </w:rPr>
        <w:t>(</w:t>
      </w:r>
      <w:r w:rsidR="008635A7" w:rsidRPr="002D6278">
        <w:rPr>
          <w:rFonts w:ascii="Book Antiqua" w:hAnsi="Book Antiqua" w:cs="Times New Roman"/>
          <w:color w:val="0070C0"/>
          <w:sz w:val="16"/>
          <w:szCs w:val="16"/>
        </w:rPr>
        <w:t>Dey and Majumder, 2024</w:t>
      </w:r>
      <w:r w:rsidR="00D85ADB">
        <w:rPr>
          <w:rFonts w:ascii="Book Antiqua" w:hAnsi="Book Antiqua" w:cs="Times New Roman"/>
          <w:sz w:val="16"/>
          <w:szCs w:val="16"/>
        </w:rPr>
        <w:t xml:space="preserve">; </w:t>
      </w:r>
      <w:r w:rsidR="008635A7" w:rsidRPr="002D6278">
        <w:rPr>
          <w:rFonts w:ascii="Book Antiqua" w:hAnsi="Book Antiqua" w:cs="Times New Roman"/>
          <w:color w:val="0070C0"/>
          <w:sz w:val="16"/>
          <w:szCs w:val="16"/>
        </w:rPr>
        <w:t xml:space="preserve">Ibtasam </w:t>
      </w:r>
      <w:r w:rsidR="008635A7" w:rsidRPr="002D6278">
        <w:rPr>
          <w:rFonts w:ascii="Book Antiqua" w:hAnsi="Book Antiqua" w:cs="Times New Roman"/>
          <w:i/>
          <w:iCs/>
          <w:color w:val="0070C0"/>
          <w:sz w:val="16"/>
          <w:szCs w:val="16"/>
        </w:rPr>
        <w:t>et al.,</w:t>
      </w:r>
      <w:r w:rsidR="008635A7" w:rsidRPr="002D6278">
        <w:rPr>
          <w:rFonts w:ascii="Book Antiqua" w:hAnsi="Book Antiqua" w:cs="Times New Roman"/>
          <w:color w:val="0070C0"/>
          <w:sz w:val="16"/>
          <w:szCs w:val="16"/>
        </w:rPr>
        <w:t xml:space="preserve"> 2017</w:t>
      </w:r>
      <w:r w:rsidR="008635A7" w:rsidRPr="002D6278">
        <w:rPr>
          <w:rFonts w:ascii="Book Antiqua" w:hAnsi="Book Antiqua" w:cs="Times New Roman"/>
          <w:sz w:val="16"/>
          <w:szCs w:val="16"/>
        </w:rPr>
        <w:t>).</w:t>
      </w:r>
      <w:r w:rsidR="003C6477" w:rsidRPr="002D6278">
        <w:rPr>
          <w:rFonts w:ascii="Book Antiqua" w:hAnsi="Book Antiqua" w:cs="Times New Roman"/>
          <w:sz w:val="16"/>
          <w:szCs w:val="16"/>
        </w:rPr>
        <w:t xml:space="preserve"> </w:t>
      </w:r>
      <w:r w:rsidR="001C2259" w:rsidRPr="001C2259">
        <w:rPr>
          <w:rFonts w:ascii="Book Antiqua" w:hAnsi="Book Antiqua" w:cs="Times New Roman"/>
          <w:sz w:val="16"/>
          <w:szCs w:val="16"/>
        </w:rPr>
        <w:t xml:space="preserve">A parallel Indian study by </w:t>
      </w:r>
      <w:r w:rsidR="001C2259" w:rsidRPr="001C2259">
        <w:rPr>
          <w:rFonts w:ascii="Book Antiqua" w:hAnsi="Book Antiqua" w:cs="Times New Roman"/>
          <w:color w:val="0070C0"/>
          <w:sz w:val="16"/>
          <w:szCs w:val="16"/>
        </w:rPr>
        <w:t xml:space="preserve">Showkat, Nagina and Nori (2025) </w:t>
      </w:r>
      <w:r w:rsidR="001C2259" w:rsidRPr="001C2259">
        <w:rPr>
          <w:rFonts w:ascii="Book Antiqua" w:hAnsi="Book Antiqua" w:cs="Times New Roman"/>
          <w:sz w:val="16"/>
          <w:szCs w:val="16"/>
        </w:rPr>
        <w:t>reinforces this account-access/agency divergence, finding that formal financial inclusion indicators correlate only weakly with women's self-reported economic empowerment once household decision-making autonomy is measured directly.</w:t>
      </w:r>
    </w:p>
    <w:p w14:paraId="369DEDFC" w14:textId="23C38E96" w:rsidR="00BE3D0B" w:rsidRDefault="00BE3D0B" w:rsidP="00BE3D0B">
      <w:pPr>
        <w:jc w:val="both"/>
        <w:rPr>
          <w:rFonts w:ascii="Book Antiqua" w:hAnsi="Book Antiqua" w:cs="Times New Roman"/>
          <w:sz w:val="16"/>
          <w:szCs w:val="16"/>
        </w:rPr>
      </w:pPr>
      <w:r w:rsidRPr="00BE3D0B">
        <w:rPr>
          <w:rFonts w:ascii="Book Antiqua" w:hAnsi="Book Antiqua" w:cs="Times New Roman"/>
          <w:sz w:val="16"/>
          <w:szCs w:val="16"/>
        </w:rPr>
        <w:t>However, evidence regarding digital inclusion is not uniformly negative. A growing body of empirical</w:t>
      </w:r>
      <w:r>
        <w:rPr>
          <w:rFonts w:ascii="Book Antiqua" w:hAnsi="Book Antiqua" w:cs="Times New Roman"/>
          <w:sz w:val="16"/>
          <w:szCs w:val="16"/>
        </w:rPr>
        <w:t xml:space="preserve"> </w:t>
      </w:r>
      <w:r w:rsidRPr="00BE3D0B">
        <w:rPr>
          <w:rFonts w:ascii="Book Antiqua" w:hAnsi="Book Antiqua" w:cs="Times New Roman"/>
          <w:sz w:val="16"/>
          <w:szCs w:val="16"/>
        </w:rPr>
        <w:t xml:space="preserve">literature documents successful digital adoption under specific structural conditions. For </w:t>
      </w:r>
      <w:r w:rsidR="002C645C" w:rsidRPr="00BE3D0B">
        <w:rPr>
          <w:rFonts w:ascii="Book Antiqua" w:hAnsi="Book Antiqua" w:cs="Times New Roman"/>
          <w:sz w:val="16"/>
          <w:szCs w:val="16"/>
        </w:rPr>
        <w:t>example</w:t>
      </w:r>
      <w:r w:rsidRPr="00BE3D0B">
        <w:rPr>
          <w:rFonts w:ascii="Book Antiqua" w:hAnsi="Book Antiqua" w:cs="Times New Roman"/>
          <w:sz w:val="16"/>
          <w:szCs w:val="16"/>
        </w:rPr>
        <w:t>,</w:t>
      </w:r>
      <w:r>
        <w:rPr>
          <w:rFonts w:ascii="Book Antiqua" w:hAnsi="Book Antiqua" w:cs="Times New Roman"/>
          <w:sz w:val="16"/>
          <w:szCs w:val="16"/>
        </w:rPr>
        <w:t xml:space="preserve"> </w:t>
      </w:r>
      <w:r w:rsidR="0073616C">
        <w:rPr>
          <w:rFonts w:ascii="Book Antiqua" w:hAnsi="Book Antiqua" w:cs="Times New Roman"/>
          <w:color w:val="0070C0"/>
          <w:sz w:val="16"/>
          <w:szCs w:val="16"/>
        </w:rPr>
        <w:t>Suri and Jack</w:t>
      </w:r>
      <w:r w:rsidRPr="00BE3D0B">
        <w:rPr>
          <w:rFonts w:ascii="Book Antiqua" w:hAnsi="Book Antiqua" w:cs="Times New Roman"/>
          <w:color w:val="0070C0"/>
          <w:sz w:val="16"/>
          <w:szCs w:val="16"/>
        </w:rPr>
        <w:t xml:space="preserve"> (20</w:t>
      </w:r>
      <w:r w:rsidR="0073616C">
        <w:rPr>
          <w:rFonts w:ascii="Book Antiqua" w:hAnsi="Book Antiqua" w:cs="Times New Roman"/>
          <w:color w:val="0070C0"/>
          <w:sz w:val="16"/>
          <w:szCs w:val="16"/>
        </w:rPr>
        <w:t>16</w:t>
      </w:r>
      <w:r w:rsidRPr="00BE3D0B">
        <w:rPr>
          <w:rFonts w:ascii="Book Antiqua" w:hAnsi="Book Antiqua" w:cs="Times New Roman"/>
          <w:color w:val="0070C0"/>
          <w:sz w:val="16"/>
          <w:szCs w:val="16"/>
        </w:rPr>
        <w:t xml:space="preserve">) </w:t>
      </w:r>
      <w:r w:rsidRPr="00BE3D0B">
        <w:rPr>
          <w:rFonts w:ascii="Book Antiqua" w:hAnsi="Book Antiqua" w:cs="Times New Roman"/>
          <w:sz w:val="16"/>
          <w:szCs w:val="16"/>
        </w:rPr>
        <w:t>demonstrate</w:t>
      </w:r>
      <w:r w:rsidR="00CF1FF9">
        <w:rPr>
          <w:rFonts w:ascii="Book Antiqua" w:hAnsi="Book Antiqua" w:cs="Times New Roman"/>
          <w:sz w:val="16"/>
          <w:szCs w:val="16"/>
        </w:rPr>
        <w:t xml:space="preserve"> </w:t>
      </w:r>
      <w:r w:rsidRPr="00BE3D0B">
        <w:rPr>
          <w:rFonts w:ascii="Book Antiqua" w:hAnsi="Book Antiqua" w:cs="Times New Roman"/>
          <w:sz w:val="16"/>
          <w:szCs w:val="16"/>
        </w:rPr>
        <w:t>that direct digital salary disbursements significantly enhance female</w:t>
      </w:r>
      <w:r>
        <w:rPr>
          <w:rFonts w:ascii="Book Antiqua" w:hAnsi="Book Antiqua" w:cs="Times New Roman"/>
          <w:sz w:val="16"/>
          <w:szCs w:val="16"/>
        </w:rPr>
        <w:t xml:space="preserve"> </w:t>
      </w:r>
      <w:r w:rsidRPr="00BE3D0B">
        <w:rPr>
          <w:rFonts w:ascii="Book Antiqua" w:hAnsi="Book Antiqua" w:cs="Times New Roman"/>
          <w:sz w:val="16"/>
          <w:szCs w:val="16"/>
        </w:rPr>
        <w:t>autonomy and household healthcare expenditure in India by bypassing intermediary gatekeepers.</w:t>
      </w:r>
      <w:r>
        <w:rPr>
          <w:rFonts w:ascii="Book Antiqua" w:hAnsi="Book Antiqua" w:cs="Times New Roman"/>
          <w:sz w:val="16"/>
          <w:szCs w:val="16"/>
        </w:rPr>
        <w:t xml:space="preserve"> </w:t>
      </w:r>
      <w:r w:rsidR="0049145B" w:rsidRPr="0049145B">
        <w:rPr>
          <w:rFonts w:ascii="Book Antiqua" w:hAnsi="Book Antiqua" w:cs="Times New Roman"/>
          <w:sz w:val="16"/>
          <w:szCs w:val="16"/>
        </w:rPr>
        <w:t>Broader empirical research indicates that when digital financial platforms provide secure, private access to accounts, women are better positioned to manage personal resources, increase savings, and strengthen household bargaining power</w:t>
      </w:r>
      <w:r w:rsidR="0049145B">
        <w:rPr>
          <w:rFonts w:ascii="Book Antiqua" w:hAnsi="Book Antiqua" w:cs="Times New Roman"/>
          <w:sz w:val="16"/>
          <w:szCs w:val="16"/>
        </w:rPr>
        <w:t xml:space="preserve"> (</w:t>
      </w:r>
      <w:r w:rsidR="00DB5F07" w:rsidRPr="00DB5F07">
        <w:rPr>
          <w:rFonts w:ascii="Book Antiqua" w:hAnsi="Book Antiqua" w:cs="Times New Roman"/>
          <w:color w:val="0070C0"/>
          <w:sz w:val="16"/>
          <w:szCs w:val="16"/>
        </w:rPr>
        <w:t>Hendriks, 2019</w:t>
      </w:r>
      <w:r w:rsidR="0049145B">
        <w:rPr>
          <w:rFonts w:ascii="Book Antiqua" w:hAnsi="Book Antiqua" w:cs="Times New Roman"/>
          <w:sz w:val="16"/>
          <w:szCs w:val="16"/>
        </w:rPr>
        <w:t>)</w:t>
      </w:r>
      <w:r w:rsidRPr="00BE3D0B">
        <w:rPr>
          <w:rFonts w:ascii="Book Antiqua" w:hAnsi="Book Antiqua" w:cs="Times New Roman"/>
          <w:sz w:val="16"/>
          <w:szCs w:val="16"/>
        </w:rPr>
        <w:t>. Positive economic outcomes are thus not</w:t>
      </w:r>
      <w:r>
        <w:rPr>
          <w:rFonts w:ascii="Book Antiqua" w:hAnsi="Book Antiqua" w:cs="Times New Roman"/>
          <w:sz w:val="16"/>
          <w:szCs w:val="16"/>
        </w:rPr>
        <w:t xml:space="preserve"> </w:t>
      </w:r>
      <w:r w:rsidRPr="00BE3D0B">
        <w:rPr>
          <w:rFonts w:ascii="Book Antiqua" w:hAnsi="Book Antiqua" w:cs="Times New Roman"/>
          <w:sz w:val="16"/>
          <w:szCs w:val="16"/>
        </w:rPr>
        <w:t>inherently impossible; rather, they are contingent upon platform design.</w:t>
      </w:r>
    </w:p>
    <w:p w14:paraId="7EF625F8" w14:textId="3AB94E70" w:rsidR="00AC1B62" w:rsidRPr="002D6278" w:rsidRDefault="003E7EBF" w:rsidP="00F4272B">
      <w:pPr>
        <w:pStyle w:val="ListParagraph"/>
        <w:ind w:left="0"/>
        <w:jc w:val="both"/>
        <w:rPr>
          <w:rFonts w:ascii="Book Antiqua" w:hAnsi="Book Antiqua" w:cs="Times New Roman"/>
          <w:sz w:val="16"/>
          <w:szCs w:val="16"/>
        </w:rPr>
      </w:pPr>
      <w:r w:rsidRPr="002D6278">
        <w:rPr>
          <w:rFonts w:ascii="Book Antiqua" w:hAnsi="Book Antiqua" w:cs="Times New Roman"/>
          <w:sz w:val="16"/>
          <w:szCs w:val="16"/>
        </w:rPr>
        <w:t xml:space="preserve">Prior academic scholarship has attempted to investigate these dynamics, but it remains heavily fragmented. While </w:t>
      </w:r>
      <w:r w:rsidR="00933A34" w:rsidRPr="002D6278">
        <w:rPr>
          <w:rFonts w:ascii="Book Antiqua" w:hAnsi="Book Antiqua" w:cs="Times New Roman"/>
          <w:color w:val="0070C0"/>
          <w:sz w:val="16"/>
          <w:szCs w:val="16"/>
        </w:rPr>
        <w:t xml:space="preserve">Roy and Patro’s (2022) </w:t>
      </w:r>
      <w:r w:rsidR="00933A34" w:rsidRPr="002D6278">
        <w:rPr>
          <w:rFonts w:ascii="Book Antiqua" w:hAnsi="Book Antiqua" w:cs="Times New Roman"/>
          <w:sz w:val="16"/>
          <w:szCs w:val="16"/>
        </w:rPr>
        <w:t xml:space="preserve">systematic review </w:t>
      </w:r>
      <w:r w:rsidR="001350A4">
        <w:rPr>
          <w:rFonts w:ascii="Book Antiqua" w:hAnsi="Book Antiqua" w:cs="Times New Roman"/>
          <w:sz w:val="16"/>
          <w:szCs w:val="16"/>
        </w:rPr>
        <w:t>provide</w:t>
      </w:r>
      <w:r w:rsidR="00933A34" w:rsidRPr="002D6278">
        <w:rPr>
          <w:rFonts w:ascii="Book Antiqua" w:hAnsi="Book Antiqua" w:cs="Times New Roman"/>
          <w:sz w:val="16"/>
          <w:szCs w:val="16"/>
        </w:rPr>
        <w:t>s</w:t>
      </w:r>
      <w:r w:rsidR="008D7282" w:rsidRPr="002D6278">
        <w:rPr>
          <w:rFonts w:ascii="Book Antiqua" w:hAnsi="Book Antiqua" w:cs="Times New Roman"/>
          <w:sz w:val="16"/>
          <w:szCs w:val="16"/>
        </w:rPr>
        <w:t xml:space="preserve"> a </w:t>
      </w:r>
      <w:r w:rsidR="00933A34" w:rsidRPr="002D6278">
        <w:rPr>
          <w:rFonts w:ascii="Book Antiqua" w:hAnsi="Book Antiqua" w:cs="Times New Roman"/>
          <w:sz w:val="16"/>
          <w:szCs w:val="16"/>
        </w:rPr>
        <w:t xml:space="preserve">comprehensive </w:t>
      </w:r>
      <w:r w:rsidR="008D7282" w:rsidRPr="002D6278">
        <w:rPr>
          <w:rFonts w:ascii="Book Antiqua" w:hAnsi="Book Antiqua" w:cs="Times New Roman"/>
          <w:sz w:val="16"/>
          <w:szCs w:val="16"/>
        </w:rPr>
        <w:t xml:space="preserve">framework </w:t>
      </w:r>
      <w:r w:rsidR="00F8381B" w:rsidRPr="002D6278">
        <w:rPr>
          <w:rFonts w:ascii="Book Antiqua" w:hAnsi="Book Antiqua" w:cs="Times New Roman"/>
          <w:sz w:val="16"/>
          <w:szCs w:val="16"/>
        </w:rPr>
        <w:t>for general financial inclusion linkages,</w:t>
      </w:r>
      <w:r w:rsidR="00D80169" w:rsidRPr="002D6278">
        <w:rPr>
          <w:rFonts w:ascii="Book Antiqua" w:hAnsi="Book Antiqua" w:cs="Times New Roman"/>
          <w:sz w:val="16"/>
          <w:szCs w:val="16"/>
        </w:rPr>
        <w:t xml:space="preserve"> it fails to isolate </w:t>
      </w:r>
      <w:r w:rsidR="00590791" w:rsidRPr="002D6278">
        <w:rPr>
          <w:rFonts w:ascii="Book Antiqua" w:hAnsi="Book Antiqua" w:cs="Times New Roman"/>
          <w:sz w:val="16"/>
          <w:szCs w:val="16"/>
        </w:rPr>
        <w:t xml:space="preserve">FinTech </w:t>
      </w:r>
      <w:r w:rsidR="004E085D" w:rsidRPr="002D6278">
        <w:rPr>
          <w:rFonts w:ascii="Book Antiqua" w:hAnsi="Book Antiqua" w:cs="Times New Roman"/>
          <w:sz w:val="16"/>
          <w:szCs w:val="16"/>
        </w:rPr>
        <w:t xml:space="preserve">systems </w:t>
      </w:r>
      <w:r w:rsidR="00590791" w:rsidRPr="002D6278">
        <w:rPr>
          <w:rFonts w:ascii="Book Antiqua" w:hAnsi="Book Antiqua" w:cs="Times New Roman"/>
          <w:sz w:val="16"/>
          <w:szCs w:val="16"/>
        </w:rPr>
        <w:t xml:space="preserve">or </w:t>
      </w:r>
      <w:r w:rsidR="00F67172" w:rsidRPr="002D6278">
        <w:rPr>
          <w:rFonts w:ascii="Book Antiqua" w:hAnsi="Book Antiqua" w:cs="Times New Roman"/>
          <w:sz w:val="16"/>
          <w:szCs w:val="16"/>
        </w:rPr>
        <w:t>map</w:t>
      </w:r>
      <w:r w:rsidR="00590791" w:rsidRPr="002D6278">
        <w:rPr>
          <w:rFonts w:ascii="Book Antiqua" w:hAnsi="Book Antiqua" w:cs="Times New Roman"/>
          <w:sz w:val="16"/>
          <w:szCs w:val="16"/>
        </w:rPr>
        <w:t xml:space="preserve"> the </w:t>
      </w:r>
      <w:r w:rsidR="00F67172" w:rsidRPr="002D6278">
        <w:rPr>
          <w:rFonts w:ascii="Book Antiqua" w:hAnsi="Book Antiqua" w:cs="Times New Roman"/>
          <w:sz w:val="16"/>
          <w:szCs w:val="16"/>
        </w:rPr>
        <w:t>spec</w:t>
      </w:r>
      <w:r w:rsidR="00622D15" w:rsidRPr="002D6278">
        <w:rPr>
          <w:rFonts w:ascii="Book Antiqua" w:hAnsi="Book Antiqua" w:cs="Times New Roman"/>
          <w:sz w:val="16"/>
          <w:szCs w:val="16"/>
        </w:rPr>
        <w:t xml:space="preserve">ific </w:t>
      </w:r>
      <w:r w:rsidR="00590791" w:rsidRPr="002D6278">
        <w:rPr>
          <w:rFonts w:ascii="Book Antiqua" w:hAnsi="Book Antiqua" w:cs="Times New Roman"/>
          <w:sz w:val="16"/>
          <w:szCs w:val="16"/>
        </w:rPr>
        <w:t xml:space="preserve">socio-cultural mechanisms </w:t>
      </w:r>
      <w:r w:rsidR="007F38C3" w:rsidRPr="002D6278">
        <w:rPr>
          <w:rFonts w:ascii="Book Antiqua" w:hAnsi="Book Antiqua" w:cs="Times New Roman"/>
          <w:sz w:val="16"/>
          <w:szCs w:val="16"/>
        </w:rPr>
        <w:t xml:space="preserve">that drive </w:t>
      </w:r>
      <w:r w:rsidR="00590791" w:rsidRPr="002D6278">
        <w:rPr>
          <w:rFonts w:ascii="Book Antiqua" w:hAnsi="Book Antiqua" w:cs="Times New Roman"/>
          <w:sz w:val="16"/>
          <w:szCs w:val="16"/>
        </w:rPr>
        <w:t xml:space="preserve">divergent household </w:t>
      </w:r>
      <w:r w:rsidR="007F38C3" w:rsidRPr="002D6278">
        <w:rPr>
          <w:rFonts w:ascii="Book Antiqua" w:hAnsi="Book Antiqua" w:cs="Times New Roman"/>
          <w:sz w:val="16"/>
          <w:szCs w:val="16"/>
        </w:rPr>
        <w:t xml:space="preserve">welfare </w:t>
      </w:r>
      <w:r w:rsidR="00590791" w:rsidRPr="002D6278">
        <w:rPr>
          <w:rFonts w:ascii="Book Antiqua" w:hAnsi="Book Antiqua" w:cs="Times New Roman"/>
          <w:sz w:val="16"/>
          <w:szCs w:val="16"/>
        </w:rPr>
        <w:t>outcomes</w:t>
      </w:r>
      <w:r w:rsidR="00FA1D44">
        <w:rPr>
          <w:rFonts w:ascii="Book Antiqua" w:hAnsi="Book Antiqua" w:cs="Times New Roman"/>
          <w:sz w:val="16"/>
          <w:szCs w:val="16"/>
        </w:rPr>
        <w:t xml:space="preserve">. </w:t>
      </w:r>
      <w:r w:rsidR="00AC3622">
        <w:rPr>
          <w:rFonts w:ascii="Book Antiqua" w:hAnsi="Book Antiqua" w:cs="Times New Roman"/>
          <w:sz w:val="16"/>
          <w:szCs w:val="16"/>
        </w:rPr>
        <w:t>Furthermore, e</w:t>
      </w:r>
      <w:r w:rsidR="001350A4" w:rsidRPr="001350A4">
        <w:rPr>
          <w:rFonts w:ascii="Book Antiqua" w:hAnsi="Book Antiqua" w:cs="Times New Roman"/>
          <w:sz w:val="16"/>
          <w:szCs w:val="16"/>
        </w:rPr>
        <w:t>xisting literature</w:t>
      </w:r>
      <w:r w:rsidR="00FA1D44">
        <w:rPr>
          <w:rFonts w:ascii="Book Antiqua" w:hAnsi="Book Antiqua" w:cs="Times New Roman"/>
          <w:sz w:val="16"/>
          <w:szCs w:val="16"/>
        </w:rPr>
        <w:t xml:space="preserve"> </w:t>
      </w:r>
      <w:r w:rsidR="001350A4" w:rsidRPr="00FA1D44">
        <w:rPr>
          <w:rFonts w:ascii="Book Antiqua" w:hAnsi="Book Antiqua" w:cs="Times New Roman"/>
          <w:sz w:val="16"/>
          <w:szCs w:val="16"/>
        </w:rPr>
        <w:t>struggles to explain why state initiatives (e.g., Digital India or Digital Bangladesh) fail to convert nominal</w:t>
      </w:r>
      <w:r w:rsidR="00FA1D44">
        <w:rPr>
          <w:rFonts w:ascii="Book Antiqua" w:hAnsi="Book Antiqua" w:cs="Times New Roman"/>
          <w:sz w:val="16"/>
          <w:szCs w:val="16"/>
        </w:rPr>
        <w:t xml:space="preserve"> </w:t>
      </w:r>
      <w:r w:rsidR="001350A4" w:rsidRPr="00FA1D44">
        <w:rPr>
          <w:rFonts w:ascii="Book Antiqua" w:hAnsi="Book Antiqua" w:cs="Times New Roman"/>
          <w:sz w:val="16"/>
          <w:szCs w:val="16"/>
        </w:rPr>
        <w:t>accounts into autonomous usage (</w:t>
      </w:r>
      <w:r w:rsidR="001350A4" w:rsidRPr="00AC3622">
        <w:rPr>
          <w:rFonts w:ascii="Book Antiqua" w:hAnsi="Book Antiqua" w:cs="Times New Roman"/>
          <w:color w:val="0070C0"/>
          <w:sz w:val="16"/>
          <w:szCs w:val="16"/>
        </w:rPr>
        <w:t xml:space="preserve">Kulkarni and Ghosh, 2021; Sumi </w:t>
      </w:r>
      <w:r w:rsidR="001350A4" w:rsidRPr="00AC3622">
        <w:rPr>
          <w:rFonts w:ascii="Book Antiqua" w:hAnsi="Book Antiqua" w:cs="Times New Roman"/>
          <w:i/>
          <w:iCs/>
          <w:color w:val="0070C0"/>
          <w:sz w:val="16"/>
          <w:szCs w:val="16"/>
        </w:rPr>
        <w:t>et al.,</w:t>
      </w:r>
      <w:r w:rsidR="001350A4" w:rsidRPr="00AC3622">
        <w:rPr>
          <w:rFonts w:ascii="Book Antiqua" w:hAnsi="Book Antiqua" w:cs="Times New Roman"/>
          <w:color w:val="0070C0"/>
          <w:sz w:val="16"/>
          <w:szCs w:val="16"/>
        </w:rPr>
        <w:t xml:space="preserve"> 2025</w:t>
      </w:r>
      <w:r w:rsidR="001350A4" w:rsidRPr="00FA1D44">
        <w:rPr>
          <w:rFonts w:ascii="Book Antiqua" w:hAnsi="Book Antiqua" w:cs="Times New Roman"/>
          <w:sz w:val="16"/>
          <w:szCs w:val="16"/>
        </w:rPr>
        <w:t xml:space="preserve">). </w:t>
      </w:r>
      <w:r w:rsidR="00A45252" w:rsidRPr="00A45252">
        <w:rPr>
          <w:rFonts w:ascii="Book Antiqua" w:hAnsi="Book Antiqua" w:cs="Times New Roman"/>
          <w:sz w:val="16"/>
          <w:szCs w:val="16"/>
        </w:rPr>
        <w:t>Such explanatory limitations are largely attributable to the heavy dependence on classic adoption paradigms, notably T</w:t>
      </w:r>
      <w:r w:rsidR="002F5AA2">
        <w:rPr>
          <w:rFonts w:ascii="Book Antiqua" w:hAnsi="Book Antiqua" w:cs="Times New Roman"/>
          <w:sz w:val="16"/>
          <w:szCs w:val="16"/>
        </w:rPr>
        <w:t xml:space="preserve">echnology </w:t>
      </w:r>
      <w:r w:rsidR="00A45252" w:rsidRPr="00A45252">
        <w:rPr>
          <w:rFonts w:ascii="Book Antiqua" w:hAnsi="Book Antiqua" w:cs="Times New Roman"/>
          <w:sz w:val="16"/>
          <w:szCs w:val="16"/>
        </w:rPr>
        <w:t>A</w:t>
      </w:r>
      <w:r w:rsidR="002F5AA2">
        <w:rPr>
          <w:rFonts w:ascii="Book Antiqua" w:hAnsi="Book Antiqua" w:cs="Times New Roman"/>
          <w:sz w:val="16"/>
          <w:szCs w:val="16"/>
        </w:rPr>
        <w:t xml:space="preserve">cceptance </w:t>
      </w:r>
      <w:r w:rsidR="00A45252" w:rsidRPr="00A45252">
        <w:rPr>
          <w:rFonts w:ascii="Book Antiqua" w:hAnsi="Book Antiqua" w:cs="Times New Roman"/>
          <w:sz w:val="16"/>
          <w:szCs w:val="16"/>
        </w:rPr>
        <w:t>M</w:t>
      </w:r>
      <w:r w:rsidR="002F5AA2">
        <w:rPr>
          <w:rFonts w:ascii="Book Antiqua" w:hAnsi="Book Antiqua" w:cs="Times New Roman"/>
          <w:sz w:val="16"/>
          <w:szCs w:val="16"/>
        </w:rPr>
        <w:t>odel</w:t>
      </w:r>
      <w:r w:rsidR="000971CA">
        <w:rPr>
          <w:rFonts w:ascii="Book Antiqua" w:hAnsi="Book Antiqua" w:cs="Times New Roman"/>
          <w:sz w:val="16"/>
          <w:szCs w:val="16"/>
        </w:rPr>
        <w:t xml:space="preserve"> </w:t>
      </w:r>
      <w:r w:rsidR="00F511D3">
        <w:rPr>
          <w:rFonts w:ascii="Book Antiqua" w:hAnsi="Book Antiqua" w:cs="Times New Roman"/>
          <w:sz w:val="16"/>
          <w:szCs w:val="16"/>
        </w:rPr>
        <w:t>or</w:t>
      </w:r>
      <w:r w:rsidR="000971CA">
        <w:rPr>
          <w:rFonts w:ascii="Book Antiqua" w:hAnsi="Book Antiqua" w:cs="Times New Roman"/>
          <w:sz w:val="16"/>
          <w:szCs w:val="16"/>
        </w:rPr>
        <w:t xml:space="preserve"> TAM</w:t>
      </w:r>
      <w:r w:rsidR="00A45252" w:rsidRPr="00A45252">
        <w:rPr>
          <w:rFonts w:ascii="Book Antiqua" w:hAnsi="Book Antiqua" w:cs="Times New Roman"/>
          <w:sz w:val="16"/>
          <w:szCs w:val="16"/>
        </w:rPr>
        <w:t xml:space="preserve"> (</w:t>
      </w:r>
      <w:r w:rsidR="00A45252" w:rsidRPr="00A45252">
        <w:rPr>
          <w:rFonts w:ascii="Book Antiqua" w:hAnsi="Book Antiqua" w:cs="Times New Roman"/>
          <w:color w:val="0070C0"/>
          <w:sz w:val="16"/>
          <w:szCs w:val="16"/>
        </w:rPr>
        <w:t>Davis, 1989</w:t>
      </w:r>
      <w:r w:rsidR="00A45252" w:rsidRPr="00A45252">
        <w:rPr>
          <w:rFonts w:ascii="Book Antiqua" w:hAnsi="Book Antiqua" w:cs="Times New Roman"/>
          <w:sz w:val="16"/>
          <w:szCs w:val="16"/>
        </w:rPr>
        <w:t xml:space="preserve">) and </w:t>
      </w:r>
      <w:r w:rsidR="000971CA" w:rsidRPr="000971CA">
        <w:rPr>
          <w:rFonts w:ascii="Book Antiqua" w:hAnsi="Book Antiqua" w:cs="Times New Roman"/>
          <w:sz w:val="16"/>
          <w:szCs w:val="16"/>
        </w:rPr>
        <w:t xml:space="preserve">Unified Theory of Acceptance and Use of </w:t>
      </w:r>
      <w:r w:rsidR="009A4ABA" w:rsidRPr="000971CA">
        <w:rPr>
          <w:rFonts w:ascii="Book Antiqua" w:hAnsi="Book Antiqua" w:cs="Times New Roman"/>
          <w:sz w:val="16"/>
          <w:szCs w:val="16"/>
        </w:rPr>
        <w:t xml:space="preserve">Technology </w:t>
      </w:r>
      <w:r w:rsidR="00F511D3">
        <w:rPr>
          <w:rFonts w:ascii="Book Antiqua" w:hAnsi="Book Antiqua" w:cs="Times New Roman"/>
          <w:sz w:val="16"/>
          <w:szCs w:val="16"/>
        </w:rPr>
        <w:t>or</w:t>
      </w:r>
      <w:r w:rsidR="009A4ABA">
        <w:rPr>
          <w:rFonts w:ascii="Book Antiqua" w:hAnsi="Book Antiqua" w:cs="Times New Roman"/>
          <w:sz w:val="16"/>
          <w:szCs w:val="16"/>
        </w:rPr>
        <w:t xml:space="preserve"> </w:t>
      </w:r>
      <w:r w:rsidR="00A45252" w:rsidRPr="00A45252">
        <w:rPr>
          <w:rFonts w:ascii="Book Antiqua" w:hAnsi="Book Antiqua" w:cs="Times New Roman"/>
          <w:sz w:val="16"/>
          <w:szCs w:val="16"/>
        </w:rPr>
        <w:t>UTAUT (</w:t>
      </w:r>
      <w:r w:rsidR="00A45252" w:rsidRPr="00A45252">
        <w:rPr>
          <w:rFonts w:ascii="Book Antiqua" w:hAnsi="Book Antiqua" w:cs="Times New Roman"/>
          <w:color w:val="0070C0"/>
          <w:sz w:val="16"/>
          <w:szCs w:val="16"/>
        </w:rPr>
        <w:t xml:space="preserve">Venkatesh </w:t>
      </w:r>
      <w:r w:rsidR="00A45252" w:rsidRPr="00A45252">
        <w:rPr>
          <w:rFonts w:ascii="Book Antiqua" w:hAnsi="Book Antiqua" w:cs="Times New Roman"/>
          <w:i/>
          <w:iCs/>
          <w:color w:val="0070C0"/>
          <w:sz w:val="16"/>
          <w:szCs w:val="16"/>
        </w:rPr>
        <w:t>et al.,</w:t>
      </w:r>
      <w:r w:rsidR="00A45252" w:rsidRPr="00A45252">
        <w:rPr>
          <w:rFonts w:ascii="Book Antiqua" w:hAnsi="Book Antiqua" w:cs="Times New Roman"/>
          <w:color w:val="0070C0"/>
          <w:sz w:val="16"/>
          <w:szCs w:val="16"/>
        </w:rPr>
        <w:t xml:space="preserve"> 2003</w:t>
      </w:r>
      <w:r w:rsidR="00A45252" w:rsidRPr="00A45252">
        <w:rPr>
          <w:rFonts w:ascii="Book Antiqua" w:hAnsi="Book Antiqua" w:cs="Times New Roman"/>
          <w:sz w:val="16"/>
          <w:szCs w:val="16"/>
        </w:rPr>
        <w:t>). Formulated within Western organizational settings, these models operate on the premise of an independent actor with exclusive personal ownership of technology.</w:t>
      </w:r>
      <w:r w:rsidR="00A45252">
        <w:rPr>
          <w:rFonts w:ascii="Book Antiqua" w:hAnsi="Book Antiqua" w:cs="Times New Roman"/>
          <w:sz w:val="16"/>
          <w:szCs w:val="16"/>
        </w:rPr>
        <w:t xml:space="preserve"> </w:t>
      </w:r>
      <w:r w:rsidR="00040A92" w:rsidRPr="00EC6A98">
        <w:rPr>
          <w:rFonts w:ascii="Book Antiqua" w:hAnsi="Book Antiqua" w:cs="Times New Roman"/>
          <w:sz w:val="16"/>
          <w:szCs w:val="16"/>
        </w:rPr>
        <w:t>In South Asia</w:t>
      </w:r>
      <w:r w:rsidR="00EC6A98">
        <w:rPr>
          <w:rFonts w:ascii="Book Antiqua" w:hAnsi="Book Antiqua" w:cs="Times New Roman"/>
          <w:sz w:val="16"/>
          <w:szCs w:val="16"/>
        </w:rPr>
        <w:t xml:space="preserve">, </w:t>
      </w:r>
      <w:r w:rsidR="00040A92" w:rsidRPr="00EC6A98">
        <w:rPr>
          <w:rFonts w:ascii="Book Antiqua" w:hAnsi="Book Antiqua" w:cs="Times New Roman"/>
          <w:sz w:val="16"/>
          <w:szCs w:val="16"/>
        </w:rPr>
        <w:t>patriarchal,</w:t>
      </w:r>
      <w:r w:rsidR="00EC6A98">
        <w:rPr>
          <w:rFonts w:ascii="Book Antiqua" w:hAnsi="Book Antiqua" w:cs="Times New Roman"/>
          <w:sz w:val="16"/>
          <w:szCs w:val="16"/>
        </w:rPr>
        <w:t xml:space="preserve"> </w:t>
      </w:r>
      <w:r w:rsidR="00040A92" w:rsidRPr="00EC6A98">
        <w:rPr>
          <w:rFonts w:ascii="Book Antiqua" w:hAnsi="Book Antiqua" w:cs="Times New Roman"/>
          <w:sz w:val="16"/>
          <w:szCs w:val="16"/>
        </w:rPr>
        <w:t>shared-device household ecosystems</w:t>
      </w:r>
      <w:r w:rsidR="00B657EC">
        <w:rPr>
          <w:rFonts w:ascii="Book Antiqua" w:hAnsi="Book Antiqua" w:cs="Times New Roman"/>
          <w:sz w:val="16"/>
          <w:szCs w:val="16"/>
        </w:rPr>
        <w:t xml:space="preserve">, </w:t>
      </w:r>
      <w:r w:rsidR="00040A92" w:rsidRPr="00EC6A98">
        <w:rPr>
          <w:rFonts w:ascii="Book Antiqua" w:hAnsi="Book Antiqua" w:cs="Times New Roman"/>
          <w:sz w:val="16"/>
          <w:szCs w:val="16"/>
        </w:rPr>
        <w:t>where handsets are controlled by male relatives and</w:t>
      </w:r>
      <w:r w:rsidR="00B657EC">
        <w:rPr>
          <w:rFonts w:ascii="Book Antiqua" w:hAnsi="Book Antiqua" w:cs="Times New Roman"/>
          <w:sz w:val="16"/>
          <w:szCs w:val="16"/>
        </w:rPr>
        <w:t xml:space="preserve"> </w:t>
      </w:r>
      <w:r w:rsidR="00040A92" w:rsidRPr="00B657EC">
        <w:rPr>
          <w:rFonts w:ascii="Book Antiqua" w:hAnsi="Book Antiqua" w:cs="Times New Roman"/>
          <w:sz w:val="16"/>
          <w:szCs w:val="16"/>
        </w:rPr>
        <w:t>transactions are audited</w:t>
      </w:r>
      <w:r w:rsidR="00B657EC">
        <w:rPr>
          <w:rFonts w:ascii="Book Antiqua" w:hAnsi="Book Antiqua" w:cs="Times New Roman"/>
          <w:sz w:val="16"/>
          <w:szCs w:val="16"/>
        </w:rPr>
        <w:t xml:space="preserve">, </w:t>
      </w:r>
      <w:r w:rsidR="00040A92" w:rsidRPr="00B657EC">
        <w:rPr>
          <w:rFonts w:ascii="Book Antiqua" w:hAnsi="Book Antiqua" w:cs="Times New Roman"/>
          <w:sz w:val="16"/>
          <w:szCs w:val="16"/>
        </w:rPr>
        <w:t>these classical frameworks break down. They incorrectly treat non-adoption</w:t>
      </w:r>
      <w:r w:rsidR="00B657EC">
        <w:rPr>
          <w:rFonts w:ascii="Book Antiqua" w:hAnsi="Book Antiqua" w:cs="Times New Roman"/>
          <w:sz w:val="16"/>
          <w:szCs w:val="16"/>
        </w:rPr>
        <w:t xml:space="preserve"> </w:t>
      </w:r>
      <w:r w:rsidR="00040A92" w:rsidRPr="00040A92">
        <w:rPr>
          <w:rFonts w:ascii="Book Antiqua" w:hAnsi="Book Antiqua" w:cs="Times New Roman"/>
          <w:sz w:val="16"/>
          <w:szCs w:val="16"/>
        </w:rPr>
        <w:t>as individual preference or perceived difficulty, ignoring external structural coercion</w:t>
      </w:r>
      <w:r w:rsidR="00C26948">
        <w:rPr>
          <w:rFonts w:ascii="Book Antiqua" w:hAnsi="Book Antiqua" w:cs="Times New Roman"/>
          <w:sz w:val="16"/>
          <w:szCs w:val="16"/>
        </w:rPr>
        <w:t xml:space="preserve"> </w:t>
      </w:r>
      <w:r w:rsidR="00AE5E71" w:rsidRPr="002D6278">
        <w:rPr>
          <w:rFonts w:ascii="Book Antiqua" w:hAnsi="Book Antiqua" w:cs="Times New Roman"/>
          <w:sz w:val="16"/>
          <w:szCs w:val="16"/>
        </w:rPr>
        <w:t>(</w:t>
      </w:r>
      <w:r w:rsidR="00AE5E71" w:rsidRPr="002D6278">
        <w:rPr>
          <w:rFonts w:ascii="Book Antiqua" w:hAnsi="Book Antiqua" w:cs="Times New Roman"/>
          <w:color w:val="0070C0"/>
          <w:sz w:val="16"/>
          <w:szCs w:val="16"/>
        </w:rPr>
        <w:t xml:space="preserve">Ibtasam </w:t>
      </w:r>
      <w:r w:rsidR="00AE5E71" w:rsidRPr="002D6278">
        <w:rPr>
          <w:rFonts w:ascii="Book Antiqua" w:hAnsi="Book Antiqua" w:cs="Times New Roman"/>
          <w:i/>
          <w:iCs/>
          <w:color w:val="0070C0"/>
          <w:sz w:val="16"/>
          <w:szCs w:val="16"/>
        </w:rPr>
        <w:t>et al.,</w:t>
      </w:r>
      <w:r w:rsidR="00AE5E71" w:rsidRPr="002D6278">
        <w:rPr>
          <w:rFonts w:ascii="Book Antiqua" w:hAnsi="Book Antiqua" w:cs="Times New Roman"/>
          <w:color w:val="0070C0"/>
          <w:sz w:val="16"/>
          <w:szCs w:val="16"/>
        </w:rPr>
        <w:t xml:space="preserve"> 2017; Kulkarni and Ghosh, 2021</w:t>
      </w:r>
      <w:r w:rsidR="00AE5E71" w:rsidRPr="002D6278">
        <w:rPr>
          <w:rFonts w:ascii="Book Antiqua" w:hAnsi="Book Antiqua" w:cs="Times New Roman"/>
          <w:sz w:val="16"/>
          <w:szCs w:val="16"/>
        </w:rPr>
        <w:t>).</w:t>
      </w:r>
      <w:r w:rsidR="00D53229" w:rsidRPr="002D6278">
        <w:rPr>
          <w:rFonts w:ascii="Book Antiqua" w:hAnsi="Book Antiqua" w:cs="Times New Roman"/>
          <w:sz w:val="16"/>
          <w:szCs w:val="16"/>
        </w:rPr>
        <w:t xml:space="preserve"> </w:t>
      </w:r>
      <w:r w:rsidR="00AC1B62" w:rsidRPr="002D6278">
        <w:rPr>
          <w:rFonts w:ascii="Book Antiqua" w:hAnsi="Book Antiqua" w:cs="Times New Roman"/>
          <w:sz w:val="16"/>
          <w:szCs w:val="16"/>
        </w:rPr>
        <w:t>Within the strategic management</w:t>
      </w:r>
      <w:r w:rsidR="00EE2A74" w:rsidRPr="002D6278">
        <w:rPr>
          <w:rFonts w:ascii="Book Antiqua" w:hAnsi="Book Antiqua" w:cs="Times New Roman"/>
          <w:sz w:val="16"/>
          <w:szCs w:val="16"/>
        </w:rPr>
        <w:t xml:space="preserve"> standpoint</w:t>
      </w:r>
      <w:r w:rsidR="00AC1B62" w:rsidRPr="002D6278">
        <w:rPr>
          <w:rFonts w:ascii="Book Antiqua" w:hAnsi="Book Antiqua" w:cs="Times New Roman"/>
          <w:sz w:val="16"/>
          <w:szCs w:val="16"/>
        </w:rPr>
        <w:t>, this analytical blind spot represents a critical failure in risk mitigation, consumer experience design, and market penetration strategy.</w:t>
      </w:r>
    </w:p>
    <w:p w14:paraId="07628102" w14:textId="77777777" w:rsidR="00110572" w:rsidRPr="002D6278" w:rsidRDefault="00110572" w:rsidP="00F4272B">
      <w:pPr>
        <w:pStyle w:val="ListParagraph"/>
        <w:ind w:left="0"/>
        <w:jc w:val="both"/>
        <w:rPr>
          <w:rFonts w:ascii="Book Antiqua" w:hAnsi="Book Antiqua" w:cs="Times New Roman"/>
          <w:sz w:val="16"/>
          <w:szCs w:val="16"/>
        </w:rPr>
      </w:pPr>
    </w:p>
    <w:p w14:paraId="27BB596F" w14:textId="6E3996A7" w:rsidR="00A51133" w:rsidRDefault="00AD2A75" w:rsidP="00F4272B">
      <w:pPr>
        <w:pStyle w:val="ListParagraph"/>
        <w:ind w:left="0"/>
        <w:jc w:val="both"/>
        <w:rPr>
          <w:rFonts w:ascii="Book Antiqua" w:hAnsi="Book Antiqua" w:cs="Times New Roman"/>
          <w:sz w:val="16"/>
          <w:szCs w:val="16"/>
        </w:rPr>
      </w:pPr>
      <w:r w:rsidRPr="002D6278">
        <w:rPr>
          <w:rFonts w:ascii="Book Antiqua" w:hAnsi="Book Antiqua" w:cs="Times New Roman"/>
          <w:sz w:val="16"/>
          <w:szCs w:val="16"/>
        </w:rPr>
        <w:t>To resolve th</w:t>
      </w:r>
      <w:r w:rsidR="00305DF4" w:rsidRPr="002D6278">
        <w:rPr>
          <w:rFonts w:ascii="Book Antiqua" w:hAnsi="Book Antiqua" w:cs="Times New Roman"/>
          <w:sz w:val="16"/>
          <w:szCs w:val="16"/>
        </w:rPr>
        <w:t>ese</w:t>
      </w:r>
      <w:r w:rsidRPr="002D6278">
        <w:rPr>
          <w:rFonts w:ascii="Book Antiqua" w:hAnsi="Book Antiqua" w:cs="Times New Roman"/>
          <w:sz w:val="16"/>
          <w:szCs w:val="16"/>
        </w:rPr>
        <w:t xml:space="preserve"> strategic </w:t>
      </w:r>
      <w:r w:rsidR="00305DF4" w:rsidRPr="002D6278">
        <w:rPr>
          <w:rFonts w:ascii="Book Antiqua" w:hAnsi="Book Antiqua" w:cs="Times New Roman"/>
          <w:sz w:val="16"/>
          <w:szCs w:val="16"/>
        </w:rPr>
        <w:t xml:space="preserve">and empirical </w:t>
      </w:r>
      <w:r w:rsidRPr="002D6278">
        <w:rPr>
          <w:rFonts w:ascii="Book Antiqua" w:hAnsi="Book Antiqua" w:cs="Times New Roman"/>
          <w:sz w:val="16"/>
          <w:szCs w:val="16"/>
        </w:rPr>
        <w:t>blind spot</w:t>
      </w:r>
      <w:r w:rsidR="00305DF4" w:rsidRPr="002D6278">
        <w:rPr>
          <w:rFonts w:ascii="Book Antiqua" w:hAnsi="Book Antiqua" w:cs="Times New Roman"/>
          <w:sz w:val="16"/>
          <w:szCs w:val="16"/>
        </w:rPr>
        <w:t>s</w:t>
      </w:r>
      <w:r w:rsidRPr="002D6278">
        <w:rPr>
          <w:rFonts w:ascii="Book Antiqua" w:hAnsi="Book Antiqua" w:cs="Times New Roman"/>
          <w:sz w:val="16"/>
          <w:szCs w:val="16"/>
        </w:rPr>
        <w:t xml:space="preserve">, </w:t>
      </w:r>
      <w:r w:rsidR="00BA144E" w:rsidRPr="002D6278">
        <w:rPr>
          <w:rFonts w:ascii="Book Antiqua" w:hAnsi="Book Antiqua" w:cs="Times New Roman"/>
          <w:sz w:val="16"/>
          <w:szCs w:val="16"/>
        </w:rPr>
        <w:t xml:space="preserve">this systematic literature review </w:t>
      </w:r>
      <w:r w:rsidR="001B31AD">
        <w:rPr>
          <w:rFonts w:ascii="Book Antiqua" w:hAnsi="Book Antiqua" w:cs="Times New Roman"/>
          <w:sz w:val="16"/>
          <w:szCs w:val="16"/>
        </w:rPr>
        <w:t>deploys</w:t>
      </w:r>
      <w:r w:rsidR="00BA144E" w:rsidRPr="002D6278">
        <w:rPr>
          <w:rFonts w:ascii="Book Antiqua" w:hAnsi="Book Antiqua" w:cs="Times New Roman"/>
          <w:sz w:val="16"/>
          <w:szCs w:val="16"/>
        </w:rPr>
        <w:t xml:space="preserve"> a robust Context-Intervention-Mechanism-Outcome (CIMO) </w:t>
      </w:r>
      <w:r w:rsidR="00164483">
        <w:rPr>
          <w:rFonts w:ascii="Book Antiqua" w:hAnsi="Book Antiqua" w:cs="Times New Roman"/>
          <w:sz w:val="16"/>
          <w:szCs w:val="16"/>
        </w:rPr>
        <w:t>architecture</w:t>
      </w:r>
      <w:r w:rsidR="0091132D">
        <w:rPr>
          <w:rFonts w:ascii="Book Antiqua" w:hAnsi="Book Antiqua" w:cs="Times New Roman"/>
          <w:sz w:val="16"/>
          <w:szCs w:val="16"/>
        </w:rPr>
        <w:t xml:space="preserve"> </w:t>
      </w:r>
      <w:r w:rsidR="0091132D" w:rsidRPr="0091132D">
        <w:rPr>
          <w:rFonts w:ascii="Book Antiqua" w:hAnsi="Book Antiqua" w:cs="Times New Roman"/>
          <w:sz w:val="16"/>
          <w:szCs w:val="16"/>
        </w:rPr>
        <w:t>(</w:t>
      </w:r>
      <w:r w:rsidR="0091132D" w:rsidRPr="0091132D">
        <w:rPr>
          <w:rFonts w:ascii="Book Antiqua" w:hAnsi="Book Antiqua" w:cs="Times New Roman"/>
          <w:color w:val="0070C0"/>
          <w:sz w:val="16"/>
          <w:szCs w:val="16"/>
        </w:rPr>
        <w:t xml:space="preserve">Denyer </w:t>
      </w:r>
      <w:r w:rsidR="0091132D" w:rsidRPr="0091132D">
        <w:rPr>
          <w:rFonts w:ascii="Book Antiqua" w:hAnsi="Book Antiqua" w:cs="Times New Roman"/>
          <w:i/>
          <w:iCs/>
          <w:color w:val="0070C0"/>
          <w:sz w:val="16"/>
          <w:szCs w:val="16"/>
        </w:rPr>
        <w:t>et al.,</w:t>
      </w:r>
      <w:r w:rsidR="0091132D" w:rsidRPr="0091132D">
        <w:rPr>
          <w:rFonts w:ascii="Book Antiqua" w:hAnsi="Book Antiqua" w:cs="Times New Roman"/>
          <w:color w:val="0070C0"/>
          <w:sz w:val="16"/>
          <w:szCs w:val="16"/>
        </w:rPr>
        <w:t xml:space="preserve"> 2008</w:t>
      </w:r>
      <w:r w:rsidR="0091132D" w:rsidRPr="0091132D">
        <w:rPr>
          <w:rFonts w:ascii="Book Antiqua" w:hAnsi="Book Antiqua" w:cs="Times New Roman"/>
          <w:sz w:val="16"/>
          <w:szCs w:val="16"/>
        </w:rPr>
        <w:t>)</w:t>
      </w:r>
      <w:r w:rsidR="00BA144E" w:rsidRPr="002D6278">
        <w:rPr>
          <w:rFonts w:ascii="Book Antiqua" w:hAnsi="Book Antiqua" w:cs="Times New Roman"/>
          <w:sz w:val="16"/>
          <w:szCs w:val="16"/>
        </w:rPr>
        <w:t>.</w:t>
      </w:r>
      <w:r w:rsidR="005D46BC" w:rsidRPr="002D6278">
        <w:rPr>
          <w:rFonts w:ascii="Book Antiqua" w:hAnsi="Book Antiqua" w:cs="Times New Roman"/>
          <w:sz w:val="16"/>
          <w:szCs w:val="16"/>
        </w:rPr>
        <w:t xml:space="preserve"> By </w:t>
      </w:r>
      <w:r w:rsidR="00B255FE">
        <w:rPr>
          <w:rFonts w:ascii="Book Antiqua" w:hAnsi="Book Antiqua" w:cs="Times New Roman"/>
          <w:sz w:val="16"/>
          <w:szCs w:val="16"/>
        </w:rPr>
        <w:t>comb</w:t>
      </w:r>
      <w:r w:rsidR="0091132D">
        <w:rPr>
          <w:rFonts w:ascii="Book Antiqua" w:hAnsi="Book Antiqua" w:cs="Times New Roman"/>
          <w:sz w:val="16"/>
          <w:szCs w:val="16"/>
        </w:rPr>
        <w:t>ing</w:t>
      </w:r>
      <w:r w:rsidR="005D46BC" w:rsidRPr="002D6278">
        <w:rPr>
          <w:rFonts w:ascii="Book Antiqua" w:hAnsi="Book Antiqua" w:cs="Times New Roman"/>
          <w:sz w:val="16"/>
          <w:szCs w:val="16"/>
        </w:rPr>
        <w:t xml:space="preserve"> </w:t>
      </w:r>
      <w:r w:rsidR="005D46BC" w:rsidRPr="002D6278">
        <w:rPr>
          <w:rFonts w:ascii="Book Antiqua" w:hAnsi="Book Antiqua" w:cs="Times New Roman"/>
          <w:color w:val="0070C0"/>
          <w:sz w:val="16"/>
          <w:szCs w:val="16"/>
        </w:rPr>
        <w:t xml:space="preserve">Kabeer’s (1999) </w:t>
      </w:r>
      <w:r w:rsidR="000F5B4E">
        <w:rPr>
          <w:rFonts w:ascii="Book Antiqua" w:hAnsi="Book Antiqua" w:cs="Times New Roman"/>
          <w:sz w:val="16"/>
          <w:szCs w:val="16"/>
        </w:rPr>
        <w:t>R</w:t>
      </w:r>
      <w:r w:rsidR="005D46BC" w:rsidRPr="002D6278">
        <w:rPr>
          <w:rFonts w:ascii="Book Antiqua" w:hAnsi="Book Antiqua" w:cs="Times New Roman"/>
          <w:sz w:val="16"/>
          <w:szCs w:val="16"/>
        </w:rPr>
        <w:t>esources–</w:t>
      </w:r>
      <w:r w:rsidR="000F5B4E">
        <w:rPr>
          <w:rFonts w:ascii="Book Antiqua" w:hAnsi="Book Antiqua" w:cs="Times New Roman"/>
          <w:sz w:val="16"/>
          <w:szCs w:val="16"/>
        </w:rPr>
        <w:t>A</w:t>
      </w:r>
      <w:r w:rsidR="005D46BC" w:rsidRPr="002D6278">
        <w:rPr>
          <w:rFonts w:ascii="Book Antiqua" w:hAnsi="Book Antiqua" w:cs="Times New Roman"/>
          <w:sz w:val="16"/>
          <w:szCs w:val="16"/>
        </w:rPr>
        <w:t>gency–</w:t>
      </w:r>
      <w:r w:rsidR="000F5B4E">
        <w:rPr>
          <w:rFonts w:ascii="Book Antiqua" w:hAnsi="Book Antiqua" w:cs="Times New Roman"/>
          <w:sz w:val="16"/>
          <w:szCs w:val="16"/>
        </w:rPr>
        <w:t>A</w:t>
      </w:r>
      <w:r w:rsidR="005D46BC" w:rsidRPr="002D6278">
        <w:rPr>
          <w:rFonts w:ascii="Book Antiqua" w:hAnsi="Book Antiqua" w:cs="Times New Roman"/>
          <w:sz w:val="16"/>
          <w:szCs w:val="16"/>
        </w:rPr>
        <w:t xml:space="preserve">chievements </w:t>
      </w:r>
      <w:r w:rsidR="000F5B4E">
        <w:rPr>
          <w:rFonts w:ascii="Book Antiqua" w:hAnsi="Book Antiqua" w:cs="Times New Roman"/>
          <w:sz w:val="16"/>
          <w:szCs w:val="16"/>
        </w:rPr>
        <w:t xml:space="preserve">(RAA) </w:t>
      </w:r>
      <w:r w:rsidR="005D46BC" w:rsidRPr="002D6278">
        <w:rPr>
          <w:rFonts w:ascii="Book Antiqua" w:hAnsi="Book Antiqua" w:cs="Times New Roman"/>
          <w:sz w:val="16"/>
          <w:szCs w:val="16"/>
        </w:rPr>
        <w:t xml:space="preserve">schema </w:t>
      </w:r>
      <w:r w:rsidR="007667EC">
        <w:rPr>
          <w:rFonts w:ascii="Book Antiqua" w:hAnsi="Book Antiqua" w:cs="Times New Roman"/>
          <w:sz w:val="16"/>
          <w:szCs w:val="16"/>
        </w:rPr>
        <w:t>with</w:t>
      </w:r>
      <w:r w:rsidR="005D46BC" w:rsidRPr="002D6278">
        <w:rPr>
          <w:rFonts w:ascii="Book Antiqua" w:hAnsi="Book Antiqua" w:cs="Times New Roman"/>
          <w:sz w:val="16"/>
          <w:szCs w:val="16"/>
        </w:rPr>
        <w:t xml:space="preserve"> technology acceptance models</w:t>
      </w:r>
      <w:r w:rsidR="006C0A05" w:rsidRPr="002D6278">
        <w:rPr>
          <w:rFonts w:ascii="Book Antiqua" w:hAnsi="Book Antiqua" w:cs="Times New Roman"/>
          <w:sz w:val="16"/>
          <w:szCs w:val="16"/>
        </w:rPr>
        <w:t xml:space="preserve">, </w:t>
      </w:r>
      <w:r w:rsidR="005D46BC" w:rsidRPr="002D6278">
        <w:rPr>
          <w:rFonts w:ascii="Book Antiqua" w:hAnsi="Book Antiqua" w:cs="Times New Roman"/>
          <w:sz w:val="16"/>
          <w:szCs w:val="16"/>
        </w:rPr>
        <w:t xml:space="preserve">this study </w:t>
      </w:r>
      <w:r w:rsidR="00A63A40">
        <w:rPr>
          <w:rFonts w:ascii="Book Antiqua" w:hAnsi="Book Antiqua" w:cs="Times New Roman"/>
          <w:sz w:val="16"/>
          <w:szCs w:val="16"/>
        </w:rPr>
        <w:t xml:space="preserve">explains </w:t>
      </w:r>
      <w:r w:rsidR="00A51133" w:rsidRPr="002D6278">
        <w:rPr>
          <w:rFonts w:ascii="Book Antiqua" w:hAnsi="Book Antiqua" w:cs="Times New Roman"/>
          <w:sz w:val="16"/>
          <w:szCs w:val="16"/>
        </w:rPr>
        <w:t>how macro-social constraints filter micro-level user agency</w:t>
      </w:r>
      <w:r w:rsidR="00A63A40">
        <w:rPr>
          <w:rFonts w:ascii="Book Antiqua" w:hAnsi="Book Antiqua" w:cs="Times New Roman"/>
          <w:sz w:val="16"/>
          <w:szCs w:val="16"/>
        </w:rPr>
        <w:t xml:space="preserve">, establishing </w:t>
      </w:r>
      <w:r w:rsidR="00A51133" w:rsidRPr="002D6278">
        <w:rPr>
          <w:rFonts w:ascii="Book Antiqua" w:hAnsi="Book Antiqua" w:cs="Times New Roman"/>
          <w:sz w:val="16"/>
          <w:szCs w:val="16"/>
        </w:rPr>
        <w:t xml:space="preserve">an actionable strategic playbook for </w:t>
      </w:r>
      <w:r w:rsidR="00D31ECE">
        <w:rPr>
          <w:rFonts w:ascii="Book Antiqua" w:hAnsi="Book Antiqua" w:cs="Times New Roman"/>
          <w:sz w:val="16"/>
          <w:szCs w:val="16"/>
        </w:rPr>
        <w:t>platform engineering</w:t>
      </w:r>
      <w:r w:rsidR="00A51133" w:rsidRPr="002D6278">
        <w:rPr>
          <w:rFonts w:ascii="Book Antiqua" w:hAnsi="Book Antiqua" w:cs="Times New Roman"/>
          <w:sz w:val="16"/>
          <w:szCs w:val="16"/>
        </w:rPr>
        <w:t xml:space="preserve"> (</w:t>
      </w:r>
      <w:r w:rsidR="00A51133" w:rsidRPr="002D6278">
        <w:rPr>
          <w:rFonts w:ascii="Book Antiqua" w:hAnsi="Book Antiqua" w:cs="Times New Roman"/>
          <w:color w:val="0070C0"/>
          <w:sz w:val="16"/>
          <w:szCs w:val="16"/>
        </w:rPr>
        <w:t xml:space="preserve">Chauhan </w:t>
      </w:r>
      <w:r w:rsidR="00A51133" w:rsidRPr="002D6278">
        <w:rPr>
          <w:rFonts w:ascii="Book Antiqua" w:hAnsi="Book Antiqua" w:cs="Times New Roman"/>
          <w:i/>
          <w:iCs/>
          <w:color w:val="0070C0"/>
          <w:sz w:val="16"/>
          <w:szCs w:val="16"/>
        </w:rPr>
        <w:t>et al.,</w:t>
      </w:r>
      <w:r w:rsidR="00A51133" w:rsidRPr="002D6278">
        <w:rPr>
          <w:rFonts w:ascii="Book Antiqua" w:hAnsi="Book Antiqua" w:cs="Times New Roman"/>
          <w:color w:val="0070C0"/>
          <w:sz w:val="16"/>
          <w:szCs w:val="16"/>
        </w:rPr>
        <w:t xml:space="preserve"> 2022; Zhang </w:t>
      </w:r>
      <w:r w:rsidR="00A51133" w:rsidRPr="002D6278">
        <w:rPr>
          <w:rFonts w:ascii="Book Antiqua" w:hAnsi="Book Antiqua" w:cs="Times New Roman"/>
          <w:i/>
          <w:iCs/>
          <w:color w:val="0070C0"/>
          <w:sz w:val="16"/>
          <w:szCs w:val="16"/>
        </w:rPr>
        <w:t>et al.,</w:t>
      </w:r>
      <w:r w:rsidR="00A51133" w:rsidRPr="002D6278">
        <w:rPr>
          <w:rFonts w:ascii="Book Antiqua" w:hAnsi="Book Antiqua" w:cs="Times New Roman"/>
          <w:color w:val="0070C0"/>
          <w:sz w:val="16"/>
          <w:szCs w:val="16"/>
        </w:rPr>
        <w:t xml:space="preserve"> 2023</w:t>
      </w:r>
      <w:r w:rsidR="00A51133" w:rsidRPr="002D6278">
        <w:rPr>
          <w:rFonts w:ascii="Book Antiqua" w:hAnsi="Book Antiqua" w:cs="Times New Roman"/>
          <w:sz w:val="16"/>
          <w:szCs w:val="16"/>
        </w:rPr>
        <w:t>).</w:t>
      </w:r>
    </w:p>
    <w:p w14:paraId="2F010498" w14:textId="77777777" w:rsidR="0091565E" w:rsidRDefault="0091565E" w:rsidP="00F4272B">
      <w:pPr>
        <w:pStyle w:val="ListParagraph"/>
        <w:ind w:left="0"/>
        <w:jc w:val="both"/>
        <w:rPr>
          <w:rFonts w:ascii="Book Antiqua" w:hAnsi="Book Antiqua" w:cs="Times New Roman"/>
          <w:sz w:val="16"/>
          <w:szCs w:val="16"/>
        </w:rPr>
      </w:pPr>
    </w:p>
    <w:p w14:paraId="6430D76C" w14:textId="77777777" w:rsidR="0091565E" w:rsidRDefault="0091565E" w:rsidP="00F4272B">
      <w:pPr>
        <w:pStyle w:val="ListParagraph"/>
        <w:ind w:left="0"/>
        <w:jc w:val="both"/>
        <w:rPr>
          <w:rFonts w:ascii="Book Antiqua" w:hAnsi="Book Antiqua" w:cs="Times New Roman"/>
          <w:sz w:val="16"/>
          <w:szCs w:val="16"/>
        </w:rPr>
      </w:pPr>
    </w:p>
    <w:p w14:paraId="68478494" w14:textId="77777777" w:rsidR="0091565E" w:rsidRDefault="0091565E" w:rsidP="00F4272B">
      <w:pPr>
        <w:pStyle w:val="ListParagraph"/>
        <w:ind w:left="0"/>
        <w:jc w:val="both"/>
        <w:rPr>
          <w:rFonts w:ascii="Book Antiqua" w:hAnsi="Book Antiqua" w:cs="Times New Roman"/>
          <w:sz w:val="16"/>
          <w:szCs w:val="16"/>
        </w:rPr>
      </w:pPr>
    </w:p>
    <w:p w14:paraId="54C9C0BA" w14:textId="77777777" w:rsidR="0091565E" w:rsidRDefault="0091565E" w:rsidP="00F4272B">
      <w:pPr>
        <w:pStyle w:val="ListParagraph"/>
        <w:ind w:left="0"/>
        <w:jc w:val="both"/>
        <w:rPr>
          <w:rFonts w:ascii="Book Antiqua" w:hAnsi="Book Antiqua" w:cs="Times New Roman"/>
          <w:sz w:val="16"/>
          <w:szCs w:val="16"/>
        </w:rPr>
      </w:pPr>
    </w:p>
    <w:p w14:paraId="040CC583" w14:textId="77777777" w:rsidR="0091565E" w:rsidRDefault="0091565E" w:rsidP="00F4272B">
      <w:pPr>
        <w:pStyle w:val="ListParagraph"/>
        <w:ind w:left="0"/>
        <w:jc w:val="both"/>
        <w:rPr>
          <w:rFonts w:ascii="Book Antiqua" w:hAnsi="Book Antiqua" w:cs="Times New Roman"/>
          <w:sz w:val="16"/>
          <w:szCs w:val="16"/>
        </w:rPr>
      </w:pPr>
    </w:p>
    <w:p w14:paraId="5970C582" w14:textId="77777777" w:rsidR="0091565E" w:rsidRDefault="0091565E" w:rsidP="00F4272B">
      <w:pPr>
        <w:pStyle w:val="ListParagraph"/>
        <w:ind w:left="0"/>
        <w:jc w:val="both"/>
        <w:rPr>
          <w:rFonts w:ascii="Book Antiqua" w:hAnsi="Book Antiqua" w:cs="Times New Roman"/>
          <w:sz w:val="16"/>
          <w:szCs w:val="16"/>
        </w:rPr>
      </w:pPr>
    </w:p>
    <w:p w14:paraId="3C953BBD" w14:textId="77777777" w:rsidR="0091565E" w:rsidRDefault="0091565E" w:rsidP="00F4272B">
      <w:pPr>
        <w:pStyle w:val="ListParagraph"/>
        <w:ind w:left="0"/>
        <w:jc w:val="both"/>
        <w:rPr>
          <w:rFonts w:ascii="Book Antiqua" w:hAnsi="Book Antiqua" w:cs="Times New Roman"/>
          <w:sz w:val="16"/>
          <w:szCs w:val="16"/>
        </w:rPr>
      </w:pPr>
    </w:p>
    <w:p w14:paraId="467C1986" w14:textId="77777777" w:rsidR="00746364" w:rsidRDefault="00746364" w:rsidP="00F4272B">
      <w:pPr>
        <w:pStyle w:val="ListParagraph"/>
        <w:ind w:left="0"/>
        <w:jc w:val="both"/>
        <w:rPr>
          <w:rFonts w:ascii="Book Antiqua" w:hAnsi="Book Antiqua" w:cs="Times New Roman"/>
          <w:sz w:val="16"/>
          <w:szCs w:val="16"/>
        </w:rPr>
      </w:pPr>
    </w:p>
    <w:p w14:paraId="49149916" w14:textId="77777777" w:rsidR="00746364" w:rsidRPr="002D6278" w:rsidRDefault="00746364" w:rsidP="00F4272B">
      <w:pPr>
        <w:pStyle w:val="ListParagraph"/>
        <w:ind w:left="0"/>
        <w:jc w:val="both"/>
        <w:rPr>
          <w:rFonts w:ascii="Book Antiqua" w:hAnsi="Book Antiqua" w:cs="Times New Roman"/>
          <w:sz w:val="16"/>
          <w:szCs w:val="16"/>
        </w:rPr>
      </w:pPr>
    </w:p>
    <w:p w14:paraId="65489AD5" w14:textId="28BD8AC8" w:rsidR="00E32F5F" w:rsidRPr="00325926" w:rsidRDefault="00BD05FA" w:rsidP="00214546">
      <w:pPr>
        <w:pStyle w:val="ListParagraph"/>
        <w:numPr>
          <w:ilvl w:val="0"/>
          <w:numId w:val="19"/>
        </w:numPr>
        <w:jc w:val="both"/>
        <w:rPr>
          <w:rFonts w:ascii="Book Antiqua" w:hAnsi="Book Antiqua" w:cs="Times New Roman"/>
          <w:color w:val="0070C0"/>
          <w:sz w:val="18"/>
          <w:szCs w:val="18"/>
        </w:rPr>
      </w:pPr>
      <w:r w:rsidRPr="00BD05FA">
        <w:rPr>
          <w:rFonts w:ascii="Book Antiqua" w:hAnsi="Book Antiqua" w:cs="Times New Roman"/>
          <w:b/>
          <w:bCs/>
          <w:color w:val="0070C0"/>
          <w:sz w:val="18"/>
          <w:szCs w:val="18"/>
        </w:rPr>
        <w:lastRenderedPageBreak/>
        <w:t>Research Framework: Aim, Objectives and Questions</w:t>
      </w:r>
      <w:r w:rsidR="0091565E">
        <w:rPr>
          <w:rFonts w:ascii="Book Antiqua" w:hAnsi="Book Antiqua" w:cs="Times New Roman"/>
          <w:b/>
          <w:bCs/>
          <w:color w:val="0070C0"/>
          <w:sz w:val="18"/>
          <w:szCs w:val="18"/>
        </w:rPr>
        <w:t xml:space="preserve"> </w:t>
      </w:r>
    </w:p>
    <w:p w14:paraId="6BA2422F" w14:textId="77777777" w:rsidR="00495D17" w:rsidRPr="002D6278" w:rsidRDefault="00495D17" w:rsidP="00F4272B">
      <w:pPr>
        <w:pStyle w:val="ListParagraph"/>
        <w:ind w:left="0"/>
        <w:jc w:val="both"/>
        <w:rPr>
          <w:rFonts w:ascii="Book Antiqua" w:hAnsi="Book Antiqua" w:cs="Times New Roman"/>
          <w:b/>
          <w:bCs/>
          <w:sz w:val="16"/>
          <w:szCs w:val="16"/>
        </w:rPr>
      </w:pPr>
    </w:p>
    <w:p w14:paraId="3E760054" w14:textId="31F72F43" w:rsidR="00F80E6C" w:rsidRPr="002D6278" w:rsidRDefault="00FB2054" w:rsidP="00F4272B">
      <w:pPr>
        <w:pStyle w:val="ListParagraph"/>
        <w:ind w:left="0"/>
        <w:jc w:val="both"/>
        <w:rPr>
          <w:rFonts w:ascii="Book Antiqua" w:hAnsi="Book Antiqua" w:cs="Times New Roman"/>
          <w:sz w:val="16"/>
          <w:szCs w:val="16"/>
        </w:rPr>
      </w:pPr>
      <w:r w:rsidRPr="002D6278">
        <w:rPr>
          <w:rFonts w:ascii="Book Antiqua" w:hAnsi="Book Antiqua" w:cs="Times New Roman"/>
          <w:b/>
          <w:bCs/>
          <w:sz w:val="16"/>
          <w:szCs w:val="16"/>
        </w:rPr>
        <w:t>Aim</w:t>
      </w:r>
      <w:r w:rsidRPr="002D6278">
        <w:rPr>
          <w:rFonts w:ascii="Book Antiqua" w:hAnsi="Book Antiqua" w:cs="Times New Roman"/>
          <w:sz w:val="16"/>
          <w:szCs w:val="16"/>
        </w:rPr>
        <w:t xml:space="preserve">: </w:t>
      </w:r>
      <w:r w:rsidR="007C1357" w:rsidRPr="007C1357">
        <w:rPr>
          <w:rFonts w:ascii="Book Antiqua" w:hAnsi="Book Antiqua" w:cs="Times New Roman"/>
          <w:sz w:val="16"/>
          <w:szCs w:val="16"/>
        </w:rPr>
        <w:t>Th</w:t>
      </w:r>
      <w:r w:rsidR="00D252EF">
        <w:rPr>
          <w:rFonts w:ascii="Book Antiqua" w:hAnsi="Book Antiqua" w:cs="Times New Roman"/>
          <w:sz w:val="16"/>
          <w:szCs w:val="16"/>
        </w:rPr>
        <w:t>e</w:t>
      </w:r>
      <w:r w:rsidR="007C1357" w:rsidRPr="007C1357">
        <w:rPr>
          <w:rFonts w:ascii="Book Antiqua" w:hAnsi="Book Antiqua" w:cs="Times New Roman"/>
          <w:sz w:val="16"/>
          <w:szCs w:val="16"/>
        </w:rPr>
        <w:t xml:space="preserve"> </w:t>
      </w:r>
      <w:r w:rsidR="002A3F06">
        <w:rPr>
          <w:rFonts w:ascii="Book Antiqua" w:hAnsi="Book Antiqua" w:cs="Times New Roman"/>
          <w:sz w:val="16"/>
          <w:szCs w:val="16"/>
        </w:rPr>
        <w:t>purpose</w:t>
      </w:r>
      <w:r w:rsidR="00DD0D91">
        <w:rPr>
          <w:rFonts w:ascii="Book Antiqua" w:hAnsi="Book Antiqua" w:cs="Times New Roman"/>
          <w:sz w:val="16"/>
          <w:szCs w:val="16"/>
        </w:rPr>
        <w:t xml:space="preserve"> of the study is</w:t>
      </w:r>
      <w:r w:rsidR="007C1357" w:rsidRPr="007C1357">
        <w:rPr>
          <w:rFonts w:ascii="Book Antiqua" w:hAnsi="Book Antiqua" w:cs="Times New Roman"/>
          <w:sz w:val="16"/>
          <w:szCs w:val="16"/>
        </w:rPr>
        <w:t xml:space="preserve"> to critically evaluate and synthesize </w:t>
      </w:r>
      <w:r w:rsidR="007C1357">
        <w:rPr>
          <w:rFonts w:ascii="Book Antiqua" w:hAnsi="Book Antiqua" w:cs="Times New Roman"/>
          <w:sz w:val="16"/>
          <w:szCs w:val="16"/>
        </w:rPr>
        <w:t xml:space="preserve">evidence </w:t>
      </w:r>
      <w:r w:rsidR="00DD334F" w:rsidRPr="002D6278">
        <w:rPr>
          <w:rFonts w:ascii="Book Antiqua" w:hAnsi="Book Antiqua" w:cs="Times New Roman"/>
          <w:sz w:val="16"/>
          <w:szCs w:val="16"/>
        </w:rPr>
        <w:t xml:space="preserve">on the socio-cultural </w:t>
      </w:r>
      <w:r w:rsidR="007C1357" w:rsidRPr="002D6278">
        <w:rPr>
          <w:rFonts w:ascii="Book Antiqua" w:hAnsi="Book Antiqua" w:cs="Times New Roman"/>
          <w:sz w:val="16"/>
          <w:szCs w:val="16"/>
        </w:rPr>
        <w:t>components</w:t>
      </w:r>
      <w:r w:rsidR="00DD334F" w:rsidRPr="002D6278">
        <w:rPr>
          <w:rFonts w:ascii="Book Antiqua" w:hAnsi="Book Antiqua" w:cs="Times New Roman"/>
          <w:sz w:val="16"/>
          <w:szCs w:val="16"/>
        </w:rPr>
        <w:t xml:space="preserve"> </w:t>
      </w:r>
      <w:r w:rsidR="00DA4BE5" w:rsidRPr="002D6278">
        <w:rPr>
          <w:rFonts w:ascii="Book Antiqua" w:hAnsi="Book Antiqua" w:cs="Times New Roman"/>
          <w:sz w:val="16"/>
          <w:szCs w:val="16"/>
        </w:rPr>
        <w:t xml:space="preserve">that </w:t>
      </w:r>
      <w:r w:rsidR="007C1357" w:rsidRPr="002D6278">
        <w:rPr>
          <w:rFonts w:ascii="Book Antiqua" w:hAnsi="Book Antiqua" w:cs="Times New Roman"/>
          <w:sz w:val="16"/>
          <w:szCs w:val="16"/>
        </w:rPr>
        <w:t>facilitate</w:t>
      </w:r>
      <w:r w:rsidR="004F65E4" w:rsidRPr="002D6278">
        <w:rPr>
          <w:rFonts w:ascii="Book Antiqua" w:hAnsi="Book Antiqua" w:cs="Times New Roman"/>
          <w:sz w:val="16"/>
          <w:szCs w:val="16"/>
        </w:rPr>
        <w:t xml:space="preserve"> or </w:t>
      </w:r>
      <w:r w:rsidR="007C1357" w:rsidRPr="002D6278">
        <w:rPr>
          <w:rFonts w:ascii="Book Antiqua" w:hAnsi="Book Antiqua" w:cs="Times New Roman"/>
          <w:sz w:val="16"/>
          <w:szCs w:val="16"/>
        </w:rPr>
        <w:t>restrict</w:t>
      </w:r>
      <w:r w:rsidR="004754CD">
        <w:rPr>
          <w:rFonts w:ascii="Book Antiqua" w:hAnsi="Book Antiqua" w:cs="Times New Roman"/>
          <w:sz w:val="16"/>
          <w:szCs w:val="16"/>
        </w:rPr>
        <w:t xml:space="preserve"> </w:t>
      </w:r>
      <w:r w:rsidR="00DA4BE5" w:rsidRPr="002D6278">
        <w:rPr>
          <w:rFonts w:ascii="Book Antiqua" w:hAnsi="Book Antiqua" w:cs="Times New Roman"/>
          <w:sz w:val="16"/>
          <w:szCs w:val="16"/>
        </w:rPr>
        <w:t xml:space="preserve">adoption and </w:t>
      </w:r>
      <w:r w:rsidR="001A2C98" w:rsidRPr="002D6278">
        <w:rPr>
          <w:rFonts w:ascii="Book Antiqua" w:hAnsi="Book Antiqua" w:cs="Times New Roman"/>
          <w:sz w:val="16"/>
          <w:szCs w:val="16"/>
        </w:rPr>
        <w:t>autonomous</w:t>
      </w:r>
      <w:r w:rsidR="004F65E4" w:rsidRPr="002D6278">
        <w:rPr>
          <w:rFonts w:ascii="Book Antiqua" w:hAnsi="Book Antiqua" w:cs="Times New Roman"/>
          <w:sz w:val="16"/>
          <w:szCs w:val="16"/>
        </w:rPr>
        <w:t xml:space="preserve"> </w:t>
      </w:r>
      <w:r w:rsidR="00DA4BE5" w:rsidRPr="002D6278">
        <w:rPr>
          <w:rFonts w:ascii="Book Antiqua" w:hAnsi="Book Antiqua" w:cs="Times New Roman"/>
          <w:sz w:val="16"/>
          <w:szCs w:val="16"/>
        </w:rPr>
        <w:t>utilization of FinTech services</w:t>
      </w:r>
      <w:r w:rsidR="004F65E4" w:rsidRPr="002D6278">
        <w:rPr>
          <w:rFonts w:ascii="Book Antiqua" w:hAnsi="Book Antiqua" w:cs="Times New Roman"/>
          <w:sz w:val="16"/>
          <w:szCs w:val="16"/>
        </w:rPr>
        <w:t xml:space="preserve"> in South Asia</w:t>
      </w:r>
      <w:r w:rsidR="004754CD">
        <w:rPr>
          <w:rFonts w:ascii="Book Antiqua" w:hAnsi="Book Antiqua" w:cs="Times New Roman"/>
          <w:sz w:val="16"/>
          <w:szCs w:val="16"/>
        </w:rPr>
        <w:t>n women</w:t>
      </w:r>
      <w:r w:rsidR="004F65E4" w:rsidRPr="002D6278">
        <w:rPr>
          <w:rFonts w:ascii="Book Antiqua" w:hAnsi="Book Antiqua" w:cs="Times New Roman"/>
          <w:sz w:val="16"/>
          <w:szCs w:val="16"/>
        </w:rPr>
        <w:t>.</w:t>
      </w:r>
    </w:p>
    <w:p w14:paraId="61567379" w14:textId="77777777" w:rsidR="00F80E6C" w:rsidRPr="002D6278" w:rsidRDefault="00F80E6C" w:rsidP="00F4272B">
      <w:pPr>
        <w:pStyle w:val="ListParagraph"/>
        <w:ind w:left="0"/>
        <w:jc w:val="both"/>
        <w:rPr>
          <w:rFonts w:ascii="Book Antiqua" w:hAnsi="Book Antiqua" w:cs="Times New Roman"/>
          <w:sz w:val="16"/>
          <w:szCs w:val="16"/>
        </w:rPr>
      </w:pPr>
    </w:p>
    <w:p w14:paraId="2A9C01F8" w14:textId="4FF767D0" w:rsidR="00333D69" w:rsidRPr="002D6278" w:rsidRDefault="00A961D5" w:rsidP="00F4272B">
      <w:pPr>
        <w:pStyle w:val="ListParagraph"/>
        <w:ind w:left="0"/>
        <w:jc w:val="both"/>
        <w:rPr>
          <w:rFonts w:ascii="Book Antiqua" w:hAnsi="Book Antiqua" w:cs="Times New Roman"/>
          <w:sz w:val="16"/>
          <w:szCs w:val="16"/>
        </w:rPr>
      </w:pPr>
      <w:r w:rsidRPr="002D6278">
        <w:rPr>
          <w:rFonts w:ascii="Book Antiqua" w:hAnsi="Book Antiqua" w:cs="Times New Roman"/>
          <w:b/>
          <w:bCs/>
          <w:sz w:val="16"/>
          <w:szCs w:val="16"/>
        </w:rPr>
        <w:t xml:space="preserve">Objectives: </w:t>
      </w:r>
      <w:r w:rsidR="0011457C" w:rsidRPr="002D6278">
        <w:rPr>
          <w:rFonts w:ascii="Book Antiqua" w:hAnsi="Book Antiqua" w:cs="Times New Roman"/>
          <w:sz w:val="16"/>
          <w:szCs w:val="16"/>
        </w:rPr>
        <w:t>Th</w:t>
      </w:r>
      <w:r w:rsidR="00553D96" w:rsidRPr="002D6278">
        <w:rPr>
          <w:rFonts w:ascii="Book Antiqua" w:hAnsi="Book Antiqua" w:cs="Times New Roman"/>
          <w:sz w:val="16"/>
          <w:szCs w:val="16"/>
        </w:rPr>
        <w:t>e study pursues three interrelated</w:t>
      </w:r>
      <w:r w:rsidR="00333D69" w:rsidRPr="002D6278">
        <w:rPr>
          <w:rFonts w:ascii="Book Antiqua" w:hAnsi="Book Antiqua" w:cs="Times New Roman"/>
          <w:sz w:val="16"/>
          <w:szCs w:val="16"/>
        </w:rPr>
        <w:t xml:space="preserve"> objectives: </w:t>
      </w:r>
    </w:p>
    <w:p w14:paraId="3CDAC094" w14:textId="7A550489" w:rsidR="003C55E3" w:rsidRPr="002D6278" w:rsidRDefault="00553D96" w:rsidP="00F4272B">
      <w:pPr>
        <w:pStyle w:val="ListParagraph"/>
        <w:ind w:left="0"/>
        <w:jc w:val="both"/>
        <w:rPr>
          <w:rFonts w:ascii="Book Antiqua" w:hAnsi="Book Antiqua" w:cs="Times New Roman"/>
          <w:b/>
          <w:bCs/>
          <w:sz w:val="16"/>
          <w:szCs w:val="16"/>
        </w:rPr>
      </w:pPr>
      <w:r w:rsidRPr="002D6278">
        <w:rPr>
          <w:rFonts w:ascii="Book Antiqua" w:hAnsi="Book Antiqua" w:cs="Times New Roman"/>
          <w:b/>
          <w:bCs/>
          <w:sz w:val="16"/>
          <w:szCs w:val="16"/>
        </w:rPr>
        <w:t xml:space="preserve"> </w:t>
      </w:r>
    </w:p>
    <w:p w14:paraId="753181F0" w14:textId="56ACBEB3" w:rsidR="003C55E3" w:rsidRPr="002D6278" w:rsidRDefault="003C55E3" w:rsidP="00214546">
      <w:pPr>
        <w:pStyle w:val="ListParagraph"/>
        <w:numPr>
          <w:ilvl w:val="0"/>
          <w:numId w:val="17"/>
        </w:numPr>
        <w:jc w:val="both"/>
        <w:rPr>
          <w:rFonts w:ascii="Book Antiqua" w:hAnsi="Book Antiqua" w:cs="Times New Roman"/>
          <w:sz w:val="16"/>
          <w:szCs w:val="16"/>
        </w:rPr>
      </w:pPr>
      <w:r w:rsidRPr="002D6278">
        <w:rPr>
          <w:rFonts w:ascii="Book Antiqua" w:hAnsi="Book Antiqua" w:cs="Times New Roman"/>
          <w:sz w:val="16"/>
          <w:szCs w:val="16"/>
        </w:rPr>
        <w:t xml:space="preserve">To </w:t>
      </w:r>
      <w:r w:rsidR="003200B8" w:rsidRPr="002D6278">
        <w:rPr>
          <w:rFonts w:ascii="Book Antiqua" w:hAnsi="Book Antiqua" w:cs="Times New Roman"/>
          <w:sz w:val="16"/>
          <w:szCs w:val="16"/>
        </w:rPr>
        <w:t>recognize</w:t>
      </w:r>
      <w:r w:rsidRPr="002D6278">
        <w:rPr>
          <w:rFonts w:ascii="Book Antiqua" w:hAnsi="Book Antiqua" w:cs="Times New Roman"/>
          <w:sz w:val="16"/>
          <w:szCs w:val="16"/>
        </w:rPr>
        <w:t xml:space="preserve"> the socio-cultural </w:t>
      </w:r>
      <w:r w:rsidR="001100E2" w:rsidRPr="002D6278">
        <w:rPr>
          <w:rFonts w:ascii="Book Antiqua" w:hAnsi="Book Antiqua" w:cs="Times New Roman"/>
          <w:sz w:val="16"/>
          <w:szCs w:val="16"/>
        </w:rPr>
        <w:t>components</w:t>
      </w:r>
      <w:r w:rsidRPr="002D6278">
        <w:rPr>
          <w:rFonts w:ascii="Book Antiqua" w:hAnsi="Book Antiqua" w:cs="Times New Roman"/>
          <w:sz w:val="16"/>
          <w:szCs w:val="16"/>
        </w:rPr>
        <w:t xml:space="preserve"> </w:t>
      </w:r>
      <w:r w:rsidR="001B1E90" w:rsidRPr="002D6278">
        <w:rPr>
          <w:rFonts w:ascii="Book Antiqua" w:hAnsi="Book Antiqua" w:cs="Times New Roman"/>
          <w:sz w:val="16"/>
          <w:szCs w:val="16"/>
        </w:rPr>
        <w:t>con</w:t>
      </w:r>
      <w:r w:rsidR="002C2818" w:rsidRPr="002D6278">
        <w:rPr>
          <w:rFonts w:ascii="Book Antiqua" w:hAnsi="Book Antiqua" w:cs="Times New Roman"/>
          <w:sz w:val="16"/>
          <w:szCs w:val="16"/>
        </w:rPr>
        <w:t>cerning</w:t>
      </w:r>
      <w:r w:rsidR="006725FE" w:rsidRPr="002D6278">
        <w:rPr>
          <w:rFonts w:ascii="Book Antiqua" w:hAnsi="Book Antiqua" w:cs="Times New Roman"/>
          <w:sz w:val="16"/>
          <w:szCs w:val="16"/>
        </w:rPr>
        <w:t xml:space="preserve"> women’s</w:t>
      </w:r>
      <w:r w:rsidRPr="002D6278">
        <w:rPr>
          <w:rFonts w:ascii="Book Antiqua" w:hAnsi="Book Antiqua" w:cs="Times New Roman"/>
          <w:sz w:val="16"/>
          <w:szCs w:val="16"/>
        </w:rPr>
        <w:t xml:space="preserve"> FinTech adoption in South Asia</w:t>
      </w:r>
      <w:r w:rsidR="000A10ED">
        <w:rPr>
          <w:rFonts w:ascii="Book Antiqua" w:hAnsi="Book Antiqua" w:cs="Times New Roman"/>
          <w:sz w:val="16"/>
          <w:szCs w:val="16"/>
        </w:rPr>
        <w:t xml:space="preserve"> region</w:t>
      </w:r>
      <w:r w:rsidRPr="002D6278">
        <w:rPr>
          <w:rFonts w:ascii="Book Antiqua" w:hAnsi="Book Antiqua" w:cs="Times New Roman"/>
          <w:sz w:val="16"/>
          <w:szCs w:val="16"/>
        </w:rPr>
        <w:t>.</w:t>
      </w:r>
    </w:p>
    <w:p w14:paraId="0C6377D7" w14:textId="3AB88543" w:rsidR="003C55E3" w:rsidRPr="002D6278" w:rsidRDefault="003C55E3" w:rsidP="00214546">
      <w:pPr>
        <w:pStyle w:val="ListParagraph"/>
        <w:numPr>
          <w:ilvl w:val="0"/>
          <w:numId w:val="17"/>
        </w:numPr>
        <w:jc w:val="both"/>
        <w:rPr>
          <w:rFonts w:ascii="Book Antiqua" w:hAnsi="Book Antiqua" w:cs="Times New Roman"/>
          <w:sz w:val="16"/>
          <w:szCs w:val="16"/>
        </w:rPr>
      </w:pPr>
      <w:r w:rsidRPr="002D6278">
        <w:rPr>
          <w:rFonts w:ascii="Book Antiqua" w:hAnsi="Book Antiqua" w:cs="Times New Roman"/>
          <w:sz w:val="16"/>
          <w:szCs w:val="16"/>
        </w:rPr>
        <w:t xml:space="preserve">To synthesize </w:t>
      </w:r>
      <w:r w:rsidR="00B91373" w:rsidRPr="002D6278">
        <w:rPr>
          <w:rFonts w:ascii="Book Antiqua" w:hAnsi="Book Antiqua" w:cs="Times New Roman"/>
          <w:sz w:val="16"/>
          <w:szCs w:val="16"/>
        </w:rPr>
        <w:t xml:space="preserve">existing </w:t>
      </w:r>
      <w:r w:rsidR="00506082">
        <w:rPr>
          <w:rFonts w:ascii="Book Antiqua" w:hAnsi="Book Antiqua" w:cs="Times New Roman"/>
          <w:sz w:val="16"/>
          <w:szCs w:val="16"/>
        </w:rPr>
        <w:t>literature</w:t>
      </w:r>
      <w:r w:rsidRPr="002D6278">
        <w:rPr>
          <w:rFonts w:ascii="Book Antiqua" w:hAnsi="Book Antiqua" w:cs="Times New Roman"/>
          <w:sz w:val="16"/>
          <w:szCs w:val="16"/>
        </w:rPr>
        <w:t xml:space="preserve"> on the </w:t>
      </w:r>
      <w:r w:rsidR="00200E94" w:rsidRPr="002D6278">
        <w:rPr>
          <w:rFonts w:ascii="Book Antiqua" w:hAnsi="Book Antiqua" w:cs="Times New Roman"/>
          <w:sz w:val="16"/>
          <w:szCs w:val="16"/>
        </w:rPr>
        <w:t>impacts</w:t>
      </w:r>
      <w:r w:rsidRPr="002D6278">
        <w:rPr>
          <w:rFonts w:ascii="Book Antiqua" w:hAnsi="Book Antiqua" w:cs="Times New Roman"/>
          <w:sz w:val="16"/>
          <w:szCs w:val="16"/>
        </w:rPr>
        <w:t xml:space="preserve"> of </w:t>
      </w:r>
      <w:r w:rsidR="00FB2054" w:rsidRPr="002D6278">
        <w:rPr>
          <w:rFonts w:ascii="Book Antiqua" w:hAnsi="Book Antiqua" w:cs="Times New Roman"/>
          <w:sz w:val="16"/>
          <w:szCs w:val="16"/>
        </w:rPr>
        <w:t>that</w:t>
      </w:r>
      <w:r w:rsidRPr="002D6278">
        <w:rPr>
          <w:rFonts w:ascii="Book Antiqua" w:hAnsi="Book Antiqua" w:cs="Times New Roman"/>
          <w:sz w:val="16"/>
          <w:szCs w:val="16"/>
        </w:rPr>
        <w:t xml:space="preserve"> adoption on </w:t>
      </w:r>
      <w:r w:rsidR="006213E0">
        <w:rPr>
          <w:rFonts w:ascii="Book Antiqua" w:hAnsi="Book Antiqua" w:cs="Times New Roman"/>
          <w:sz w:val="16"/>
          <w:szCs w:val="16"/>
        </w:rPr>
        <w:t xml:space="preserve">the </w:t>
      </w:r>
      <w:r w:rsidRPr="002D6278">
        <w:rPr>
          <w:rFonts w:ascii="Book Antiqua" w:hAnsi="Book Antiqua" w:cs="Times New Roman"/>
          <w:sz w:val="16"/>
          <w:szCs w:val="16"/>
        </w:rPr>
        <w:t xml:space="preserve">livelihoods, </w:t>
      </w:r>
      <w:r w:rsidR="003B0F47" w:rsidRPr="002D6278">
        <w:rPr>
          <w:rFonts w:ascii="Book Antiqua" w:hAnsi="Book Antiqua" w:cs="Times New Roman"/>
          <w:sz w:val="16"/>
          <w:szCs w:val="16"/>
        </w:rPr>
        <w:t xml:space="preserve">across </w:t>
      </w:r>
      <w:r w:rsidRPr="002D6278">
        <w:rPr>
          <w:rFonts w:ascii="Book Antiqua" w:hAnsi="Book Antiqua" w:cs="Times New Roman"/>
          <w:sz w:val="16"/>
          <w:szCs w:val="16"/>
        </w:rPr>
        <w:t xml:space="preserve">income generation, </w:t>
      </w:r>
      <w:r w:rsidR="00FB4B20" w:rsidRPr="002D6278">
        <w:rPr>
          <w:rFonts w:ascii="Book Antiqua" w:hAnsi="Book Antiqua" w:cs="Times New Roman"/>
          <w:sz w:val="16"/>
          <w:szCs w:val="16"/>
        </w:rPr>
        <w:t>enterprise activity, and household bargaining power</w:t>
      </w:r>
      <w:r w:rsidR="006213E0">
        <w:rPr>
          <w:rFonts w:ascii="Book Antiqua" w:hAnsi="Book Antiqua" w:cs="Times New Roman"/>
          <w:sz w:val="16"/>
          <w:szCs w:val="16"/>
        </w:rPr>
        <w:t xml:space="preserve"> on women</w:t>
      </w:r>
      <w:r w:rsidRPr="002D6278">
        <w:rPr>
          <w:rFonts w:ascii="Book Antiqua" w:hAnsi="Book Antiqua" w:cs="Times New Roman"/>
          <w:sz w:val="16"/>
          <w:szCs w:val="16"/>
        </w:rPr>
        <w:t>.</w:t>
      </w:r>
    </w:p>
    <w:p w14:paraId="3856C8CF" w14:textId="59840FD2" w:rsidR="009F0912" w:rsidRPr="002D6278" w:rsidRDefault="00B27C59" w:rsidP="00214546">
      <w:pPr>
        <w:pStyle w:val="ListParagraph"/>
        <w:numPr>
          <w:ilvl w:val="0"/>
          <w:numId w:val="17"/>
        </w:numPr>
        <w:jc w:val="both"/>
        <w:rPr>
          <w:rFonts w:ascii="Book Antiqua" w:hAnsi="Book Antiqua" w:cs="Times New Roman"/>
          <w:sz w:val="16"/>
          <w:szCs w:val="16"/>
        </w:rPr>
      </w:pPr>
      <w:r w:rsidRPr="002D6278">
        <w:rPr>
          <w:rFonts w:ascii="Book Antiqua" w:hAnsi="Book Antiqua" w:cs="Times New Roman"/>
          <w:sz w:val="16"/>
          <w:szCs w:val="16"/>
        </w:rPr>
        <w:t>T</w:t>
      </w:r>
      <w:r w:rsidR="004749E1" w:rsidRPr="002D6278">
        <w:rPr>
          <w:rFonts w:ascii="Book Antiqua" w:hAnsi="Book Antiqua" w:cs="Times New Roman"/>
          <w:sz w:val="16"/>
          <w:szCs w:val="16"/>
        </w:rPr>
        <w:t xml:space="preserve">o </w:t>
      </w:r>
      <w:r w:rsidR="00B44B35" w:rsidRPr="002D6278">
        <w:rPr>
          <w:rFonts w:ascii="Book Antiqua" w:hAnsi="Book Antiqua" w:cs="Times New Roman"/>
          <w:sz w:val="16"/>
          <w:szCs w:val="16"/>
        </w:rPr>
        <w:t xml:space="preserve">critically evaluate existing empirical gaps </w:t>
      </w:r>
      <w:r w:rsidR="004749E1" w:rsidRPr="002D6278">
        <w:rPr>
          <w:rFonts w:ascii="Book Antiqua" w:hAnsi="Book Antiqua" w:cs="Times New Roman"/>
          <w:sz w:val="16"/>
          <w:szCs w:val="16"/>
        </w:rPr>
        <w:t xml:space="preserve">and </w:t>
      </w:r>
      <w:r w:rsidR="006529A2" w:rsidRPr="002D6278">
        <w:rPr>
          <w:rFonts w:ascii="Book Antiqua" w:hAnsi="Book Antiqua" w:cs="Times New Roman"/>
          <w:sz w:val="16"/>
          <w:szCs w:val="16"/>
        </w:rPr>
        <w:t>formulate a strategic framework for future corporate product design, NGO intervention, and public policy.</w:t>
      </w:r>
    </w:p>
    <w:p w14:paraId="217DCDDE" w14:textId="77777777" w:rsidR="00FB2054" w:rsidRPr="002D6278" w:rsidRDefault="00FB2054" w:rsidP="00F4272B">
      <w:pPr>
        <w:pStyle w:val="ListParagraph"/>
        <w:ind w:left="0"/>
        <w:jc w:val="both"/>
        <w:rPr>
          <w:rFonts w:ascii="Book Antiqua" w:hAnsi="Book Antiqua" w:cs="Times New Roman"/>
          <w:sz w:val="16"/>
          <w:szCs w:val="16"/>
        </w:rPr>
      </w:pPr>
    </w:p>
    <w:p w14:paraId="488EC7ED" w14:textId="44C23723" w:rsidR="00333D69" w:rsidRPr="002D6278" w:rsidRDefault="00201769" w:rsidP="00F4272B">
      <w:pPr>
        <w:pStyle w:val="ListParagraph"/>
        <w:ind w:left="0"/>
        <w:jc w:val="both"/>
        <w:rPr>
          <w:rFonts w:ascii="Book Antiqua" w:hAnsi="Book Antiqua" w:cs="Times New Roman"/>
          <w:b/>
          <w:bCs/>
          <w:sz w:val="16"/>
          <w:szCs w:val="16"/>
        </w:rPr>
      </w:pPr>
      <w:r w:rsidRPr="002D6278">
        <w:rPr>
          <w:rFonts w:ascii="Book Antiqua" w:hAnsi="Book Antiqua" w:cs="Times New Roman"/>
          <w:b/>
          <w:bCs/>
          <w:sz w:val="16"/>
          <w:szCs w:val="16"/>
        </w:rPr>
        <w:t>Research Question</w:t>
      </w:r>
      <w:r w:rsidR="00FB2054" w:rsidRPr="002D6278">
        <w:rPr>
          <w:rFonts w:ascii="Book Antiqua" w:hAnsi="Book Antiqua" w:cs="Times New Roman"/>
          <w:b/>
          <w:bCs/>
          <w:sz w:val="16"/>
          <w:szCs w:val="16"/>
        </w:rPr>
        <w:t>s</w:t>
      </w:r>
      <w:r w:rsidRPr="002D6278">
        <w:rPr>
          <w:rFonts w:ascii="Book Antiqua" w:hAnsi="Book Antiqua" w:cs="Times New Roman"/>
          <w:b/>
          <w:bCs/>
          <w:sz w:val="16"/>
          <w:szCs w:val="16"/>
        </w:rPr>
        <w:t>:</w:t>
      </w:r>
      <w:r w:rsidR="00F5641C" w:rsidRPr="002D6278">
        <w:rPr>
          <w:rFonts w:ascii="Book Antiqua" w:hAnsi="Book Antiqua" w:cs="Times New Roman"/>
          <w:b/>
          <w:bCs/>
          <w:sz w:val="16"/>
          <w:szCs w:val="16"/>
        </w:rPr>
        <w:t xml:space="preserve"> </w:t>
      </w:r>
      <w:r w:rsidR="00EF6BF5" w:rsidRPr="00EF6BF5">
        <w:rPr>
          <w:rFonts w:ascii="Book Antiqua" w:hAnsi="Book Antiqua" w:cs="Times New Roman"/>
          <w:sz w:val="16"/>
          <w:szCs w:val="16"/>
        </w:rPr>
        <w:t>Three core research questions form the foundation of this study:</w:t>
      </w:r>
    </w:p>
    <w:p w14:paraId="0675AFC1" w14:textId="77777777" w:rsidR="00333D69" w:rsidRPr="002D6278" w:rsidRDefault="00333D69" w:rsidP="00F4272B">
      <w:pPr>
        <w:pStyle w:val="ListParagraph"/>
        <w:ind w:left="0"/>
        <w:jc w:val="both"/>
        <w:rPr>
          <w:rFonts w:ascii="Book Antiqua" w:hAnsi="Book Antiqua" w:cs="Times New Roman"/>
          <w:b/>
          <w:bCs/>
          <w:sz w:val="16"/>
          <w:szCs w:val="16"/>
        </w:rPr>
      </w:pPr>
    </w:p>
    <w:p w14:paraId="45CBBCEA" w14:textId="7C9018A9" w:rsidR="00AA4C2B" w:rsidRPr="002D6278" w:rsidRDefault="00AA4C2B" w:rsidP="00214546">
      <w:pPr>
        <w:pStyle w:val="ListParagraph"/>
        <w:numPr>
          <w:ilvl w:val="0"/>
          <w:numId w:val="18"/>
        </w:numPr>
        <w:jc w:val="both"/>
        <w:rPr>
          <w:rFonts w:ascii="Book Antiqua" w:hAnsi="Book Antiqua" w:cs="Times New Roman"/>
          <w:sz w:val="16"/>
          <w:szCs w:val="16"/>
        </w:rPr>
      </w:pPr>
      <w:r w:rsidRPr="002D6278">
        <w:rPr>
          <w:rFonts w:ascii="Book Antiqua" w:eastAsia="Times New Roman" w:hAnsi="Book Antiqua" w:cs="Times New Roman"/>
          <w:sz w:val="16"/>
          <w:szCs w:val="16"/>
        </w:rPr>
        <w:t xml:space="preserve">What socio-cultural factors most consistently predict </w:t>
      </w:r>
      <w:r w:rsidR="00F8778B" w:rsidRPr="002D6278">
        <w:rPr>
          <w:rFonts w:ascii="Book Antiqua" w:eastAsia="Times New Roman" w:hAnsi="Book Antiqua" w:cs="Times New Roman"/>
          <w:sz w:val="16"/>
          <w:szCs w:val="16"/>
        </w:rPr>
        <w:t xml:space="preserve">or inhibit </w:t>
      </w:r>
      <w:r w:rsidRPr="002D6278">
        <w:rPr>
          <w:rFonts w:ascii="Book Antiqua" w:eastAsia="Times New Roman" w:hAnsi="Book Antiqua" w:cs="Times New Roman"/>
          <w:sz w:val="16"/>
          <w:szCs w:val="16"/>
        </w:rPr>
        <w:t xml:space="preserve">FinTech adoption among women in South Asia? </w:t>
      </w:r>
    </w:p>
    <w:p w14:paraId="7025BDB2" w14:textId="4DA80DA3" w:rsidR="007217CC" w:rsidRPr="002D6278" w:rsidRDefault="00DD0F7B" w:rsidP="00F4272B">
      <w:pPr>
        <w:pStyle w:val="ListParagraph"/>
        <w:numPr>
          <w:ilvl w:val="0"/>
          <w:numId w:val="18"/>
        </w:numPr>
        <w:jc w:val="both"/>
        <w:rPr>
          <w:rFonts w:ascii="Book Antiqua" w:hAnsi="Book Antiqua" w:cs="Times New Roman"/>
          <w:sz w:val="16"/>
          <w:szCs w:val="16"/>
        </w:rPr>
      </w:pPr>
      <w:r w:rsidRPr="002D6278">
        <w:rPr>
          <w:rFonts w:ascii="Book Antiqua" w:eastAsia="Times New Roman" w:hAnsi="Book Antiqua" w:cs="Times New Roman"/>
          <w:sz w:val="16"/>
          <w:szCs w:val="16"/>
        </w:rPr>
        <w:t>To what extent, and through what mechanisms, does FinTech adoption translate into measurable improvements in women's livelihoods in this region?</w:t>
      </w:r>
      <w:r w:rsidR="004A7DAF" w:rsidRPr="002D6278">
        <w:rPr>
          <w:rFonts w:ascii="Book Antiqua" w:eastAsia="Times New Roman" w:hAnsi="Book Antiqua" w:cs="Times New Roman"/>
          <w:sz w:val="16"/>
          <w:szCs w:val="16"/>
        </w:rPr>
        <w:t xml:space="preserve"> </w:t>
      </w:r>
    </w:p>
    <w:p w14:paraId="73DB3478" w14:textId="4897E9B2" w:rsidR="00586400" w:rsidRDefault="004F65E4" w:rsidP="003C2C9D">
      <w:pPr>
        <w:pStyle w:val="ListParagraph"/>
        <w:numPr>
          <w:ilvl w:val="0"/>
          <w:numId w:val="18"/>
        </w:numPr>
        <w:spacing w:before="240"/>
        <w:jc w:val="both"/>
        <w:rPr>
          <w:rFonts w:ascii="Book Antiqua" w:hAnsi="Book Antiqua" w:cs="Times New Roman"/>
          <w:sz w:val="16"/>
          <w:szCs w:val="16"/>
        </w:rPr>
      </w:pPr>
      <w:r w:rsidRPr="002D6278">
        <w:rPr>
          <w:rFonts w:ascii="Book Antiqua" w:hAnsi="Book Antiqua" w:cs="Times New Roman"/>
          <w:sz w:val="16"/>
          <w:szCs w:val="16"/>
        </w:rPr>
        <w:t xml:space="preserve">How can FinTech providers design more inclusive strategies that </w:t>
      </w:r>
      <w:r w:rsidR="00B97185" w:rsidRPr="002D6278">
        <w:rPr>
          <w:rFonts w:ascii="Book Antiqua" w:hAnsi="Book Antiqua" w:cs="Times New Roman"/>
          <w:sz w:val="16"/>
          <w:szCs w:val="16"/>
        </w:rPr>
        <w:t>dismantle</w:t>
      </w:r>
      <w:r w:rsidRPr="002D6278">
        <w:rPr>
          <w:rFonts w:ascii="Book Antiqua" w:hAnsi="Book Antiqua" w:cs="Times New Roman"/>
          <w:sz w:val="16"/>
          <w:szCs w:val="16"/>
        </w:rPr>
        <w:t xml:space="preserve"> socio-cultural barriers to sustained female engagement?</w:t>
      </w:r>
    </w:p>
    <w:p w14:paraId="578AFA8A" w14:textId="77777777" w:rsidR="003C2C9D" w:rsidRDefault="003C2C9D" w:rsidP="003C2C9D">
      <w:pPr>
        <w:pStyle w:val="ListParagraph"/>
        <w:spacing w:before="240"/>
        <w:jc w:val="both"/>
        <w:rPr>
          <w:rFonts w:ascii="Book Antiqua" w:hAnsi="Book Antiqua" w:cs="Times New Roman"/>
          <w:sz w:val="16"/>
          <w:szCs w:val="16"/>
        </w:rPr>
      </w:pPr>
    </w:p>
    <w:p w14:paraId="519CFDF0" w14:textId="77777777" w:rsidR="0091565E" w:rsidRPr="003C2C9D" w:rsidRDefault="0091565E" w:rsidP="003C2C9D">
      <w:pPr>
        <w:pStyle w:val="ListParagraph"/>
        <w:spacing w:before="240"/>
        <w:jc w:val="both"/>
        <w:rPr>
          <w:rFonts w:ascii="Book Antiqua" w:hAnsi="Book Antiqua" w:cs="Times New Roman"/>
          <w:sz w:val="16"/>
          <w:szCs w:val="16"/>
        </w:rPr>
      </w:pPr>
    </w:p>
    <w:p w14:paraId="670B689D" w14:textId="5C4E3F65" w:rsidR="000D6C5A" w:rsidRPr="00325926" w:rsidRDefault="000D6C5A" w:rsidP="00E90254">
      <w:pPr>
        <w:pStyle w:val="ListParagraph"/>
        <w:numPr>
          <w:ilvl w:val="0"/>
          <w:numId w:val="19"/>
        </w:numPr>
        <w:spacing w:before="240"/>
        <w:jc w:val="both"/>
        <w:rPr>
          <w:rFonts w:ascii="Book Antiqua" w:hAnsi="Book Antiqua" w:cs="Times New Roman"/>
          <w:b/>
          <w:bCs/>
          <w:color w:val="0070C0"/>
          <w:sz w:val="18"/>
          <w:szCs w:val="18"/>
        </w:rPr>
      </w:pPr>
      <w:r w:rsidRPr="00325926">
        <w:rPr>
          <w:rFonts w:ascii="Book Antiqua" w:hAnsi="Book Antiqua" w:cs="Times New Roman"/>
          <w:b/>
          <w:bCs/>
          <w:color w:val="0070C0"/>
          <w:sz w:val="18"/>
          <w:szCs w:val="18"/>
        </w:rPr>
        <w:t>Literature Review and Theoretical/Conceptual Framework</w:t>
      </w:r>
    </w:p>
    <w:p w14:paraId="43E23731" w14:textId="77777777" w:rsidR="005F7410" w:rsidRPr="002D6278" w:rsidRDefault="005F7410" w:rsidP="005F7410">
      <w:pPr>
        <w:pStyle w:val="ListParagraph"/>
        <w:ind w:left="360"/>
        <w:jc w:val="both"/>
        <w:rPr>
          <w:rFonts w:ascii="Book Antiqua" w:hAnsi="Book Antiqua" w:cs="Times New Roman"/>
          <w:b/>
          <w:bCs/>
          <w:sz w:val="16"/>
          <w:szCs w:val="16"/>
        </w:rPr>
      </w:pPr>
    </w:p>
    <w:p w14:paraId="4CF9C1A9" w14:textId="4B9594F2" w:rsidR="000D6C5A" w:rsidRDefault="000D6C5A" w:rsidP="005F7410">
      <w:pPr>
        <w:pStyle w:val="ListParagraph"/>
        <w:numPr>
          <w:ilvl w:val="1"/>
          <w:numId w:val="29"/>
        </w:numPr>
        <w:jc w:val="both"/>
        <w:rPr>
          <w:rFonts w:ascii="Book Antiqua" w:hAnsi="Book Antiqua" w:cs="Times New Roman"/>
          <w:b/>
          <w:bCs/>
          <w:sz w:val="16"/>
          <w:szCs w:val="16"/>
        </w:rPr>
      </w:pPr>
      <w:r w:rsidRPr="002D6278">
        <w:rPr>
          <w:rFonts w:ascii="Book Antiqua" w:hAnsi="Book Antiqua" w:cs="Times New Roman"/>
          <w:b/>
          <w:bCs/>
          <w:sz w:val="16"/>
          <w:szCs w:val="16"/>
        </w:rPr>
        <w:t xml:space="preserve">Empirical Synthesis: Landscape, Determinants, and Outcomes </w:t>
      </w:r>
    </w:p>
    <w:p w14:paraId="4796B704" w14:textId="39608FD3" w:rsidR="00BE32D4" w:rsidRPr="00BE32D4" w:rsidRDefault="00BE32D4" w:rsidP="00BE32D4">
      <w:pPr>
        <w:jc w:val="both"/>
        <w:rPr>
          <w:rFonts w:ascii="Book Antiqua" w:hAnsi="Book Antiqua" w:cs="Times New Roman"/>
          <w:color w:val="0070C0"/>
          <w:sz w:val="16"/>
          <w:szCs w:val="16"/>
        </w:rPr>
      </w:pPr>
      <w:r w:rsidRPr="00BE32D4">
        <w:rPr>
          <w:rFonts w:ascii="Book Antiqua" w:hAnsi="Book Antiqua" w:cs="Times New Roman"/>
          <w:sz w:val="16"/>
          <w:szCs w:val="16"/>
        </w:rPr>
        <w:t xml:space="preserve">Emerging development scholarship positions </w:t>
      </w:r>
      <w:r w:rsidR="00CB6727">
        <w:rPr>
          <w:rFonts w:ascii="Book Antiqua" w:hAnsi="Book Antiqua" w:cs="Times New Roman"/>
          <w:sz w:val="16"/>
          <w:szCs w:val="16"/>
        </w:rPr>
        <w:t>D</w:t>
      </w:r>
      <w:r w:rsidRPr="00BE32D4">
        <w:rPr>
          <w:rFonts w:ascii="Book Antiqua" w:hAnsi="Book Antiqua" w:cs="Times New Roman"/>
          <w:sz w:val="16"/>
          <w:szCs w:val="16"/>
        </w:rPr>
        <w:t xml:space="preserve">igital </w:t>
      </w:r>
      <w:r w:rsidR="00CB6727">
        <w:rPr>
          <w:rFonts w:ascii="Book Antiqua" w:hAnsi="Book Antiqua" w:cs="Times New Roman"/>
          <w:sz w:val="16"/>
          <w:szCs w:val="16"/>
        </w:rPr>
        <w:t>F</w:t>
      </w:r>
      <w:r w:rsidRPr="00BE32D4">
        <w:rPr>
          <w:rFonts w:ascii="Book Antiqua" w:hAnsi="Book Antiqua" w:cs="Times New Roman"/>
          <w:sz w:val="16"/>
          <w:szCs w:val="16"/>
        </w:rPr>
        <w:t xml:space="preserve">inancial </w:t>
      </w:r>
      <w:r w:rsidR="00CB6727">
        <w:rPr>
          <w:rFonts w:ascii="Book Antiqua" w:hAnsi="Book Antiqua" w:cs="Times New Roman"/>
          <w:sz w:val="16"/>
          <w:szCs w:val="16"/>
        </w:rPr>
        <w:t>S</w:t>
      </w:r>
      <w:r w:rsidRPr="00BE32D4">
        <w:rPr>
          <w:rFonts w:ascii="Book Antiqua" w:hAnsi="Book Antiqua" w:cs="Times New Roman"/>
          <w:sz w:val="16"/>
          <w:szCs w:val="16"/>
        </w:rPr>
        <w:t>ervices (DFS)</w:t>
      </w:r>
      <w:r w:rsidR="00EB35DF">
        <w:rPr>
          <w:rFonts w:ascii="Book Antiqua" w:hAnsi="Book Antiqua" w:cs="Times New Roman"/>
          <w:sz w:val="16"/>
          <w:szCs w:val="16"/>
        </w:rPr>
        <w:t xml:space="preserve">, </w:t>
      </w:r>
      <w:r w:rsidR="00DC7AA0">
        <w:rPr>
          <w:rFonts w:ascii="Book Antiqua" w:hAnsi="Book Antiqua" w:cs="Times New Roman"/>
          <w:sz w:val="16"/>
          <w:szCs w:val="16"/>
        </w:rPr>
        <w:t>including</w:t>
      </w:r>
      <w:r w:rsidRPr="00BE32D4">
        <w:rPr>
          <w:rFonts w:ascii="Book Antiqua" w:hAnsi="Book Antiqua" w:cs="Times New Roman"/>
          <w:sz w:val="16"/>
          <w:szCs w:val="16"/>
        </w:rPr>
        <w:t xml:space="preserve"> mobile money,</w:t>
      </w:r>
      <w:r>
        <w:rPr>
          <w:rFonts w:ascii="Book Antiqua" w:hAnsi="Book Antiqua" w:cs="Times New Roman"/>
          <w:sz w:val="16"/>
          <w:szCs w:val="16"/>
        </w:rPr>
        <w:t xml:space="preserve"> </w:t>
      </w:r>
      <w:r w:rsidRPr="00BE32D4">
        <w:rPr>
          <w:rFonts w:ascii="Book Antiqua" w:hAnsi="Book Antiqua" w:cs="Times New Roman"/>
          <w:sz w:val="16"/>
          <w:szCs w:val="16"/>
        </w:rPr>
        <w:t>digital lending, agent banking</w:t>
      </w:r>
      <w:r>
        <w:rPr>
          <w:rFonts w:ascii="Book Antiqua" w:hAnsi="Book Antiqua" w:cs="Times New Roman"/>
          <w:sz w:val="16"/>
          <w:szCs w:val="16"/>
        </w:rPr>
        <w:t xml:space="preserve">, </w:t>
      </w:r>
      <w:r w:rsidRPr="00BE32D4">
        <w:rPr>
          <w:rFonts w:ascii="Book Antiqua" w:hAnsi="Book Antiqua" w:cs="Times New Roman"/>
          <w:sz w:val="16"/>
          <w:szCs w:val="16"/>
        </w:rPr>
        <w:t>as critical instruments for gender-inclusive development (</w:t>
      </w:r>
      <w:r w:rsidRPr="00BE32D4">
        <w:rPr>
          <w:rFonts w:ascii="Book Antiqua" w:hAnsi="Book Antiqua" w:cs="Times New Roman"/>
          <w:color w:val="0070C0"/>
          <w:sz w:val="16"/>
          <w:szCs w:val="16"/>
        </w:rPr>
        <w:t xml:space="preserve">Demirgüç-Kunt </w:t>
      </w:r>
      <w:r w:rsidRPr="00BE32D4">
        <w:rPr>
          <w:rFonts w:ascii="Book Antiqua" w:hAnsi="Book Antiqua" w:cs="Times New Roman"/>
          <w:i/>
          <w:iCs/>
          <w:color w:val="0070C0"/>
          <w:sz w:val="16"/>
          <w:szCs w:val="16"/>
        </w:rPr>
        <w:t>et al.,</w:t>
      </w:r>
      <w:r w:rsidRPr="00BE32D4">
        <w:rPr>
          <w:rFonts w:ascii="Book Antiqua" w:hAnsi="Book Antiqua" w:cs="Times New Roman"/>
          <w:color w:val="0070C0"/>
          <w:sz w:val="16"/>
          <w:szCs w:val="16"/>
        </w:rPr>
        <w:t xml:space="preserve"> 2018</w:t>
      </w:r>
      <w:r w:rsidRPr="00BE32D4">
        <w:rPr>
          <w:rFonts w:ascii="Book Antiqua" w:hAnsi="Book Antiqua" w:cs="Times New Roman"/>
          <w:sz w:val="16"/>
          <w:szCs w:val="16"/>
        </w:rPr>
        <w:t xml:space="preserve">). </w:t>
      </w:r>
      <w:r w:rsidR="002D2E03" w:rsidRPr="00BE32D4">
        <w:rPr>
          <w:rFonts w:ascii="Book Antiqua" w:hAnsi="Book Antiqua" w:cs="Times New Roman"/>
          <w:sz w:val="16"/>
          <w:szCs w:val="16"/>
        </w:rPr>
        <w:t>Nevertheless</w:t>
      </w:r>
      <w:r w:rsidRPr="00BE32D4">
        <w:rPr>
          <w:rFonts w:ascii="Book Antiqua" w:hAnsi="Book Antiqua" w:cs="Times New Roman"/>
          <w:sz w:val="16"/>
          <w:szCs w:val="16"/>
        </w:rPr>
        <w:t>, regional empirical data uncovers an acute divergence</w:t>
      </w:r>
      <w:r>
        <w:rPr>
          <w:rFonts w:ascii="Book Antiqua" w:hAnsi="Book Antiqua" w:cs="Times New Roman"/>
          <w:sz w:val="16"/>
          <w:szCs w:val="16"/>
        </w:rPr>
        <w:t xml:space="preserve"> </w:t>
      </w:r>
      <w:r w:rsidRPr="00BE32D4">
        <w:rPr>
          <w:rFonts w:ascii="Book Antiqua" w:hAnsi="Book Antiqua" w:cs="Times New Roman"/>
          <w:sz w:val="16"/>
          <w:szCs w:val="16"/>
        </w:rPr>
        <w:t>between account access and autonomous control</w:t>
      </w:r>
      <w:r w:rsidR="00EC26C1">
        <w:rPr>
          <w:rFonts w:ascii="Book Antiqua" w:hAnsi="Book Antiqua" w:cs="Times New Roman"/>
          <w:sz w:val="16"/>
          <w:szCs w:val="16"/>
        </w:rPr>
        <w:t xml:space="preserve">, </w:t>
      </w:r>
      <w:r w:rsidR="00EC26C1" w:rsidRPr="00EC26C1">
        <w:rPr>
          <w:rFonts w:ascii="Book Antiqua" w:hAnsi="Book Antiqua" w:cs="Times New Roman"/>
          <w:sz w:val="16"/>
          <w:szCs w:val="16"/>
        </w:rPr>
        <w:t xml:space="preserve">consistent with broader regional findings that financial inclusion policy has not translated into economic empowerment </w:t>
      </w:r>
      <w:r w:rsidR="00D065E3">
        <w:rPr>
          <w:rFonts w:ascii="Book Antiqua" w:hAnsi="Book Antiqua" w:cs="Times New Roman"/>
          <w:sz w:val="16"/>
          <w:szCs w:val="16"/>
        </w:rPr>
        <w:t xml:space="preserve">of women </w:t>
      </w:r>
      <w:r w:rsidR="00EC26C1" w:rsidRPr="00EC26C1">
        <w:rPr>
          <w:rFonts w:ascii="Book Antiqua" w:hAnsi="Book Antiqua" w:cs="Times New Roman"/>
          <w:sz w:val="16"/>
          <w:szCs w:val="16"/>
        </w:rPr>
        <w:t>across South Asia (</w:t>
      </w:r>
      <w:r w:rsidR="00EC26C1" w:rsidRPr="00EC26C1">
        <w:rPr>
          <w:rFonts w:ascii="Book Antiqua" w:hAnsi="Book Antiqua" w:cs="Times New Roman"/>
          <w:color w:val="0070C0"/>
          <w:sz w:val="16"/>
          <w:szCs w:val="16"/>
        </w:rPr>
        <w:t xml:space="preserve">Aziz </w:t>
      </w:r>
      <w:r w:rsidR="00EC26C1" w:rsidRPr="00EC26C1">
        <w:rPr>
          <w:rFonts w:ascii="Book Antiqua" w:hAnsi="Book Antiqua" w:cs="Times New Roman"/>
          <w:i/>
          <w:iCs/>
          <w:color w:val="0070C0"/>
          <w:sz w:val="16"/>
          <w:szCs w:val="16"/>
        </w:rPr>
        <w:t>et al.,</w:t>
      </w:r>
      <w:r w:rsidR="00EC26C1" w:rsidRPr="00EC26C1">
        <w:rPr>
          <w:rFonts w:ascii="Book Antiqua" w:hAnsi="Book Antiqua" w:cs="Times New Roman"/>
          <w:color w:val="0070C0"/>
          <w:sz w:val="16"/>
          <w:szCs w:val="16"/>
        </w:rPr>
        <w:t xml:space="preserve"> 2022</w:t>
      </w:r>
      <w:r w:rsidR="00EC26C1" w:rsidRPr="00EC26C1">
        <w:rPr>
          <w:rFonts w:ascii="Book Antiqua" w:hAnsi="Book Antiqua" w:cs="Times New Roman"/>
          <w:sz w:val="16"/>
          <w:szCs w:val="16"/>
        </w:rPr>
        <w:t>).</w:t>
      </w:r>
    </w:p>
    <w:p w14:paraId="421B876C" w14:textId="16307286" w:rsidR="007E31CB" w:rsidRDefault="00465CB2" w:rsidP="000D6C5A">
      <w:pPr>
        <w:jc w:val="both"/>
        <w:rPr>
          <w:rFonts w:ascii="Book Antiqua" w:hAnsi="Book Antiqua" w:cs="Times New Roman"/>
          <w:sz w:val="16"/>
          <w:szCs w:val="16"/>
        </w:rPr>
      </w:pPr>
      <w:r w:rsidRPr="002D6278">
        <w:rPr>
          <w:rFonts w:ascii="Book Antiqua" w:hAnsi="Book Antiqua" w:cs="Times New Roman"/>
          <w:sz w:val="16"/>
          <w:szCs w:val="16"/>
        </w:rPr>
        <w:t xml:space="preserve">In Bangladesh, </w:t>
      </w:r>
      <w:r w:rsidRPr="002D6278">
        <w:rPr>
          <w:rFonts w:ascii="Book Antiqua" w:hAnsi="Book Antiqua" w:cs="Times New Roman"/>
          <w:color w:val="0070C0"/>
          <w:sz w:val="16"/>
          <w:szCs w:val="16"/>
        </w:rPr>
        <w:t xml:space="preserve">Dey and Majumder (2024) </w:t>
      </w:r>
      <w:r w:rsidR="008330B0">
        <w:rPr>
          <w:rFonts w:ascii="Book Antiqua" w:hAnsi="Book Antiqua" w:cs="Times New Roman"/>
          <w:sz w:val="16"/>
          <w:szCs w:val="16"/>
        </w:rPr>
        <w:t xml:space="preserve">show that only 14.8% </w:t>
      </w:r>
      <w:r w:rsidR="00A66F78">
        <w:rPr>
          <w:rFonts w:ascii="Book Antiqua" w:hAnsi="Book Antiqua" w:cs="Times New Roman"/>
          <w:sz w:val="16"/>
          <w:szCs w:val="16"/>
        </w:rPr>
        <w:t xml:space="preserve">of </w:t>
      </w:r>
      <w:r w:rsidR="00A66F78" w:rsidRPr="002D6278">
        <w:rPr>
          <w:rFonts w:ascii="Book Antiqua" w:hAnsi="Book Antiqua" w:cs="Times New Roman"/>
          <w:sz w:val="16"/>
          <w:szCs w:val="16"/>
        </w:rPr>
        <w:t>12,000</w:t>
      </w:r>
      <w:r w:rsidR="000E0C75">
        <w:rPr>
          <w:rFonts w:ascii="Book Antiqua" w:hAnsi="Book Antiqua" w:cs="Times New Roman"/>
          <w:sz w:val="16"/>
          <w:szCs w:val="16"/>
        </w:rPr>
        <w:t xml:space="preserve"> plus</w:t>
      </w:r>
      <w:r w:rsidRPr="002D6278">
        <w:rPr>
          <w:rFonts w:ascii="Book Antiqua" w:hAnsi="Book Antiqua" w:cs="Times New Roman"/>
          <w:sz w:val="16"/>
          <w:szCs w:val="16"/>
        </w:rPr>
        <w:t xml:space="preserve"> </w:t>
      </w:r>
      <w:r w:rsidR="008330B0">
        <w:rPr>
          <w:rFonts w:ascii="Book Antiqua" w:hAnsi="Book Antiqua" w:cs="Times New Roman"/>
          <w:sz w:val="16"/>
          <w:szCs w:val="16"/>
        </w:rPr>
        <w:t xml:space="preserve">surveyed </w:t>
      </w:r>
      <w:r w:rsidRPr="002D6278">
        <w:rPr>
          <w:rFonts w:ascii="Book Antiqua" w:hAnsi="Book Antiqua" w:cs="Times New Roman"/>
          <w:sz w:val="16"/>
          <w:szCs w:val="16"/>
        </w:rPr>
        <w:t xml:space="preserve">women adopted mobile banking; </w:t>
      </w:r>
      <w:r w:rsidR="00646AE6" w:rsidRPr="002D6278">
        <w:rPr>
          <w:rFonts w:ascii="Book Antiqua" w:hAnsi="Book Antiqua" w:cs="Times New Roman"/>
          <w:sz w:val="16"/>
          <w:szCs w:val="16"/>
        </w:rPr>
        <w:t xml:space="preserve">where </w:t>
      </w:r>
      <w:r w:rsidRPr="002D6278">
        <w:rPr>
          <w:rFonts w:ascii="Book Antiqua" w:hAnsi="Book Antiqua" w:cs="Times New Roman"/>
          <w:sz w:val="16"/>
          <w:szCs w:val="16"/>
        </w:rPr>
        <w:t xml:space="preserve">adoption is heavily </w:t>
      </w:r>
      <w:r w:rsidR="00646AE6" w:rsidRPr="002D6278">
        <w:rPr>
          <w:rFonts w:ascii="Book Antiqua" w:hAnsi="Book Antiqua" w:cs="Times New Roman"/>
          <w:sz w:val="16"/>
          <w:szCs w:val="16"/>
        </w:rPr>
        <w:t>reliant</w:t>
      </w:r>
      <w:r w:rsidRPr="002D6278">
        <w:rPr>
          <w:rFonts w:ascii="Book Antiqua" w:hAnsi="Book Antiqua" w:cs="Times New Roman"/>
          <w:sz w:val="16"/>
          <w:szCs w:val="16"/>
        </w:rPr>
        <w:t xml:space="preserve"> upon household asset ownership</w:t>
      </w:r>
      <w:r w:rsidR="0003514E">
        <w:rPr>
          <w:rFonts w:ascii="Book Antiqua" w:hAnsi="Book Antiqua" w:cs="Times New Roman"/>
          <w:sz w:val="16"/>
          <w:szCs w:val="16"/>
        </w:rPr>
        <w:t xml:space="preserve"> and male partner education.</w:t>
      </w:r>
      <w:r w:rsidR="00304B37">
        <w:rPr>
          <w:rFonts w:ascii="Book Antiqua" w:hAnsi="Book Antiqua" w:cs="Times New Roman"/>
          <w:sz w:val="16"/>
          <w:szCs w:val="16"/>
        </w:rPr>
        <w:t xml:space="preserve"> </w:t>
      </w:r>
      <w:r w:rsidR="00304B37" w:rsidRPr="00304B37">
        <w:rPr>
          <w:rFonts w:ascii="Book Antiqua" w:hAnsi="Book Antiqua" w:cs="Times New Roman"/>
          <w:sz w:val="16"/>
          <w:szCs w:val="16"/>
        </w:rPr>
        <w:t xml:space="preserve">This is </w:t>
      </w:r>
      <w:r w:rsidR="00974E07" w:rsidRPr="00304B37">
        <w:rPr>
          <w:rFonts w:ascii="Book Antiqua" w:hAnsi="Book Antiqua" w:cs="Times New Roman"/>
          <w:sz w:val="16"/>
          <w:szCs w:val="16"/>
        </w:rPr>
        <w:t>coherent</w:t>
      </w:r>
      <w:r w:rsidR="00304B37" w:rsidRPr="00304B37">
        <w:rPr>
          <w:rFonts w:ascii="Book Antiqua" w:hAnsi="Book Antiqua" w:cs="Times New Roman"/>
          <w:sz w:val="16"/>
          <w:szCs w:val="16"/>
        </w:rPr>
        <w:t xml:space="preserve"> with </w:t>
      </w:r>
      <w:r w:rsidR="00974E07" w:rsidRPr="00304B37">
        <w:rPr>
          <w:rFonts w:ascii="Book Antiqua" w:hAnsi="Book Antiqua" w:cs="Times New Roman"/>
          <w:sz w:val="16"/>
          <w:szCs w:val="16"/>
        </w:rPr>
        <w:t>wider</w:t>
      </w:r>
      <w:r w:rsidR="00304B37" w:rsidRPr="00304B37">
        <w:rPr>
          <w:rFonts w:ascii="Book Antiqua" w:hAnsi="Book Antiqua" w:cs="Times New Roman"/>
          <w:sz w:val="16"/>
          <w:szCs w:val="16"/>
        </w:rPr>
        <w:t xml:space="preserve"> regional </w:t>
      </w:r>
      <w:r w:rsidR="00974E07" w:rsidRPr="00304B37">
        <w:rPr>
          <w:rFonts w:ascii="Book Antiqua" w:hAnsi="Book Antiqua" w:cs="Times New Roman"/>
          <w:sz w:val="16"/>
          <w:szCs w:val="16"/>
        </w:rPr>
        <w:t>facts</w:t>
      </w:r>
      <w:r w:rsidR="00304B37" w:rsidRPr="00304B37">
        <w:rPr>
          <w:rFonts w:ascii="Book Antiqua" w:hAnsi="Book Antiqua" w:cs="Times New Roman"/>
          <w:sz w:val="16"/>
          <w:szCs w:val="16"/>
        </w:rPr>
        <w:t xml:space="preserve"> that financial inclusi</w:t>
      </w:r>
      <w:r w:rsidR="00411847">
        <w:rPr>
          <w:rFonts w:ascii="Book Antiqua" w:hAnsi="Book Antiqua" w:cs="Times New Roman"/>
          <w:sz w:val="16"/>
          <w:szCs w:val="16"/>
        </w:rPr>
        <w:t>ve</w:t>
      </w:r>
      <w:r w:rsidR="00304B37" w:rsidRPr="00304B37">
        <w:rPr>
          <w:rFonts w:ascii="Book Antiqua" w:hAnsi="Book Antiqua" w:cs="Times New Roman"/>
          <w:sz w:val="16"/>
          <w:szCs w:val="16"/>
        </w:rPr>
        <w:t xml:space="preserve"> policy has not fully translated into economic empowerment</w:t>
      </w:r>
      <w:r w:rsidR="007E7643">
        <w:rPr>
          <w:rFonts w:ascii="Book Antiqua" w:hAnsi="Book Antiqua" w:cs="Times New Roman"/>
          <w:sz w:val="16"/>
          <w:szCs w:val="16"/>
        </w:rPr>
        <w:t xml:space="preserve"> of women</w:t>
      </w:r>
      <w:r w:rsidR="00304B37" w:rsidRPr="00304B37">
        <w:rPr>
          <w:rFonts w:ascii="Book Antiqua" w:hAnsi="Book Antiqua" w:cs="Times New Roman"/>
          <w:sz w:val="16"/>
          <w:szCs w:val="16"/>
        </w:rPr>
        <w:t xml:space="preserve"> across South Asia (</w:t>
      </w:r>
      <w:r w:rsidR="00304B37" w:rsidRPr="00304B37">
        <w:rPr>
          <w:rFonts w:ascii="Book Antiqua" w:hAnsi="Book Antiqua" w:cs="Times New Roman"/>
          <w:color w:val="0070C0"/>
          <w:sz w:val="16"/>
          <w:szCs w:val="16"/>
        </w:rPr>
        <w:t xml:space="preserve">Aziz </w:t>
      </w:r>
      <w:r w:rsidR="00304B37" w:rsidRPr="00304B37">
        <w:rPr>
          <w:rFonts w:ascii="Book Antiqua" w:hAnsi="Book Antiqua" w:cs="Times New Roman"/>
          <w:i/>
          <w:iCs/>
          <w:color w:val="0070C0"/>
          <w:sz w:val="16"/>
          <w:szCs w:val="16"/>
        </w:rPr>
        <w:t>et al.,</w:t>
      </w:r>
      <w:r w:rsidR="00304B37" w:rsidRPr="00304B37">
        <w:rPr>
          <w:rFonts w:ascii="Book Antiqua" w:hAnsi="Book Antiqua" w:cs="Times New Roman"/>
          <w:color w:val="0070C0"/>
          <w:sz w:val="16"/>
          <w:szCs w:val="16"/>
        </w:rPr>
        <w:t xml:space="preserve"> 2022</w:t>
      </w:r>
      <w:r w:rsidR="00304B37" w:rsidRPr="00304B37">
        <w:rPr>
          <w:rFonts w:ascii="Book Antiqua" w:hAnsi="Book Antiqua" w:cs="Times New Roman"/>
          <w:sz w:val="16"/>
          <w:szCs w:val="16"/>
        </w:rPr>
        <w:t xml:space="preserve">), and echoes findings that gender remains a </w:t>
      </w:r>
      <w:r w:rsidR="000E6061" w:rsidRPr="00304B37">
        <w:rPr>
          <w:rFonts w:ascii="Book Antiqua" w:hAnsi="Book Antiqua" w:cs="Times New Roman"/>
          <w:sz w:val="16"/>
          <w:szCs w:val="16"/>
        </w:rPr>
        <w:t>contributing factor</w:t>
      </w:r>
      <w:r w:rsidR="00304B37" w:rsidRPr="00304B37">
        <w:rPr>
          <w:rFonts w:ascii="Book Antiqua" w:hAnsi="Book Antiqua" w:cs="Times New Roman"/>
          <w:sz w:val="16"/>
          <w:szCs w:val="16"/>
        </w:rPr>
        <w:t xml:space="preserve"> of financial inclusion in rural India even after controlling for other socioeconomic factors (</w:t>
      </w:r>
      <w:r w:rsidR="00304B37" w:rsidRPr="00304B37">
        <w:rPr>
          <w:rFonts w:ascii="Book Antiqua" w:hAnsi="Book Antiqua" w:cs="Times New Roman"/>
          <w:color w:val="0070C0"/>
          <w:sz w:val="16"/>
          <w:szCs w:val="16"/>
        </w:rPr>
        <w:t>Kaur and Kapuria, 2020</w:t>
      </w:r>
      <w:r w:rsidR="00304B37" w:rsidRPr="00304B37">
        <w:rPr>
          <w:rFonts w:ascii="Book Antiqua" w:hAnsi="Book Antiqua" w:cs="Times New Roman"/>
          <w:sz w:val="16"/>
          <w:szCs w:val="16"/>
        </w:rPr>
        <w:t>).</w:t>
      </w:r>
      <w:r w:rsidR="001B000B">
        <w:rPr>
          <w:rFonts w:ascii="Book Antiqua" w:hAnsi="Book Antiqua" w:cs="Times New Roman"/>
          <w:sz w:val="16"/>
          <w:szCs w:val="16"/>
        </w:rPr>
        <w:t xml:space="preserve"> </w:t>
      </w:r>
    </w:p>
    <w:p w14:paraId="48A5132E" w14:textId="6EEC0745" w:rsidR="00C30484" w:rsidRPr="002D6278" w:rsidRDefault="00C30484" w:rsidP="000D6C5A">
      <w:pPr>
        <w:jc w:val="both"/>
        <w:rPr>
          <w:rFonts w:ascii="Book Antiqua" w:hAnsi="Book Antiqua" w:cs="Times New Roman"/>
          <w:sz w:val="16"/>
          <w:szCs w:val="16"/>
        </w:rPr>
      </w:pPr>
      <w:r w:rsidRPr="00C30484">
        <w:rPr>
          <w:rFonts w:ascii="Book Antiqua" w:hAnsi="Book Antiqua" w:cs="Times New Roman"/>
          <w:sz w:val="16"/>
          <w:szCs w:val="16"/>
        </w:rPr>
        <w:t xml:space="preserve">More recent econometric evidence reinforces this asymmetry: </w:t>
      </w:r>
      <w:r w:rsidRPr="00C30484">
        <w:rPr>
          <w:rFonts w:ascii="Book Antiqua" w:hAnsi="Book Antiqua" w:cs="Times New Roman"/>
          <w:color w:val="0070C0"/>
          <w:sz w:val="16"/>
          <w:szCs w:val="16"/>
        </w:rPr>
        <w:t xml:space="preserve">Alom </w:t>
      </w:r>
      <w:r w:rsidRPr="00C30484">
        <w:rPr>
          <w:rFonts w:ascii="Book Antiqua" w:hAnsi="Book Antiqua" w:cs="Times New Roman"/>
          <w:i/>
          <w:iCs/>
          <w:color w:val="0070C0"/>
          <w:sz w:val="16"/>
          <w:szCs w:val="16"/>
        </w:rPr>
        <w:t>et al.</w:t>
      </w:r>
      <w:r w:rsidRPr="00C30484">
        <w:rPr>
          <w:rFonts w:ascii="Book Antiqua" w:hAnsi="Book Antiqua" w:cs="Times New Roman"/>
          <w:color w:val="0070C0"/>
          <w:sz w:val="16"/>
          <w:szCs w:val="16"/>
        </w:rPr>
        <w:t xml:space="preserve"> (2025) </w:t>
      </w:r>
      <w:r w:rsidRPr="00C30484">
        <w:rPr>
          <w:rFonts w:ascii="Book Antiqua" w:hAnsi="Book Antiqua" w:cs="Times New Roman"/>
          <w:sz w:val="16"/>
          <w:szCs w:val="16"/>
        </w:rPr>
        <w:t>find that mobile banking</w:t>
      </w:r>
      <w:r w:rsidR="000E0C75">
        <w:rPr>
          <w:rFonts w:ascii="Book Antiqua" w:hAnsi="Book Antiqua" w:cs="Times New Roman"/>
          <w:sz w:val="16"/>
          <w:szCs w:val="16"/>
        </w:rPr>
        <w:t xml:space="preserve">, </w:t>
      </w:r>
      <w:r w:rsidRPr="00C30484">
        <w:rPr>
          <w:rFonts w:ascii="Book Antiqua" w:hAnsi="Book Antiqua" w:cs="Times New Roman"/>
          <w:sz w:val="16"/>
          <w:szCs w:val="16"/>
        </w:rPr>
        <w:t>agent banking</w:t>
      </w:r>
      <w:r w:rsidR="000E0C75">
        <w:rPr>
          <w:rFonts w:ascii="Book Antiqua" w:hAnsi="Book Antiqua" w:cs="Times New Roman"/>
          <w:sz w:val="16"/>
          <w:szCs w:val="16"/>
        </w:rPr>
        <w:t>, etc.</w:t>
      </w:r>
      <w:r w:rsidRPr="00C30484">
        <w:rPr>
          <w:rFonts w:ascii="Book Antiqua" w:hAnsi="Book Antiqua" w:cs="Times New Roman"/>
          <w:sz w:val="16"/>
          <w:szCs w:val="16"/>
        </w:rPr>
        <w:t xml:space="preserve"> exert a </w:t>
      </w:r>
      <w:r w:rsidR="006409BC" w:rsidRPr="00C30484">
        <w:rPr>
          <w:rFonts w:ascii="Book Antiqua" w:hAnsi="Book Antiqua" w:cs="Times New Roman"/>
          <w:sz w:val="16"/>
          <w:szCs w:val="16"/>
        </w:rPr>
        <w:t>substantial</w:t>
      </w:r>
      <w:r w:rsidRPr="00C30484">
        <w:rPr>
          <w:rFonts w:ascii="Book Antiqua" w:hAnsi="Book Antiqua" w:cs="Times New Roman"/>
          <w:sz w:val="16"/>
          <w:szCs w:val="16"/>
        </w:rPr>
        <w:t xml:space="preserve"> positive </w:t>
      </w:r>
      <w:r w:rsidR="006409BC" w:rsidRPr="00C30484">
        <w:rPr>
          <w:rFonts w:ascii="Book Antiqua" w:hAnsi="Book Antiqua" w:cs="Times New Roman"/>
          <w:sz w:val="16"/>
          <w:szCs w:val="16"/>
        </w:rPr>
        <w:t>stimulus</w:t>
      </w:r>
      <w:r w:rsidRPr="00C30484">
        <w:rPr>
          <w:rFonts w:ascii="Book Antiqua" w:hAnsi="Book Antiqua" w:cs="Times New Roman"/>
          <w:sz w:val="16"/>
          <w:szCs w:val="16"/>
        </w:rPr>
        <w:t xml:space="preserve"> on women</w:t>
      </w:r>
      <w:r w:rsidR="006409BC">
        <w:rPr>
          <w:rFonts w:ascii="Book Antiqua" w:hAnsi="Book Antiqua" w:cs="Times New Roman"/>
          <w:sz w:val="16"/>
          <w:szCs w:val="16"/>
        </w:rPr>
        <w:t xml:space="preserve"> </w:t>
      </w:r>
      <w:r w:rsidRPr="00C30484">
        <w:rPr>
          <w:rFonts w:ascii="Book Antiqua" w:hAnsi="Book Antiqua" w:cs="Times New Roman"/>
          <w:sz w:val="16"/>
          <w:szCs w:val="16"/>
        </w:rPr>
        <w:t>entrepreneurship, while women's employment and empowerment simultaneously drive further digital finance uptake</w:t>
      </w:r>
      <w:r>
        <w:rPr>
          <w:rFonts w:ascii="Book Antiqua" w:hAnsi="Book Antiqua" w:cs="Times New Roman"/>
          <w:sz w:val="16"/>
          <w:szCs w:val="16"/>
        </w:rPr>
        <w:t xml:space="preserve">, </w:t>
      </w:r>
      <w:r w:rsidRPr="00C30484">
        <w:rPr>
          <w:rFonts w:ascii="Book Antiqua" w:hAnsi="Book Antiqua" w:cs="Times New Roman"/>
          <w:sz w:val="16"/>
          <w:szCs w:val="16"/>
        </w:rPr>
        <w:t>a bidirectional relationship that reinforces the case against treating account access as a one-way empowerment lever.</w:t>
      </w:r>
    </w:p>
    <w:p w14:paraId="40B77DFF" w14:textId="683AF66A" w:rsidR="008B714E" w:rsidRPr="002D6278" w:rsidRDefault="000D6C5A" w:rsidP="008B714E">
      <w:pPr>
        <w:jc w:val="both"/>
        <w:rPr>
          <w:rFonts w:ascii="Book Antiqua" w:hAnsi="Book Antiqua" w:cs="Times New Roman"/>
          <w:sz w:val="16"/>
          <w:szCs w:val="16"/>
        </w:rPr>
      </w:pPr>
      <w:r w:rsidRPr="002D6278">
        <w:rPr>
          <w:rFonts w:ascii="Book Antiqua" w:hAnsi="Book Antiqua" w:cs="Times New Roman"/>
          <w:color w:val="0070C0"/>
          <w:sz w:val="16"/>
          <w:szCs w:val="16"/>
        </w:rPr>
        <w:t xml:space="preserve">Scott </w:t>
      </w:r>
      <w:r w:rsidRPr="002D6278">
        <w:rPr>
          <w:rFonts w:ascii="Book Antiqua" w:hAnsi="Book Antiqua" w:cs="Times New Roman"/>
          <w:i/>
          <w:iCs/>
          <w:color w:val="0070C0"/>
          <w:sz w:val="16"/>
          <w:szCs w:val="16"/>
        </w:rPr>
        <w:t xml:space="preserve">et al. </w:t>
      </w:r>
      <w:r w:rsidRPr="002D6278">
        <w:rPr>
          <w:rFonts w:ascii="Book Antiqua" w:hAnsi="Book Antiqua" w:cs="Times New Roman"/>
          <w:color w:val="0070C0"/>
          <w:sz w:val="16"/>
          <w:szCs w:val="16"/>
        </w:rPr>
        <w:t xml:space="preserve">(2021) </w:t>
      </w:r>
      <w:r w:rsidR="00316425" w:rsidRPr="002D6278">
        <w:rPr>
          <w:rFonts w:ascii="Book Antiqua" w:hAnsi="Book Antiqua" w:cs="Times New Roman"/>
          <w:sz w:val="16"/>
          <w:szCs w:val="16"/>
        </w:rPr>
        <w:t xml:space="preserve">observe </w:t>
      </w:r>
      <w:r w:rsidRPr="002D6278">
        <w:rPr>
          <w:rFonts w:ascii="Book Antiqua" w:hAnsi="Book Antiqua" w:cs="Times New Roman"/>
          <w:sz w:val="16"/>
          <w:szCs w:val="16"/>
        </w:rPr>
        <w:t xml:space="preserve">that patriarchal norms </w:t>
      </w:r>
      <w:r w:rsidR="00316425" w:rsidRPr="002D6278">
        <w:rPr>
          <w:rFonts w:ascii="Book Antiqua" w:hAnsi="Book Antiqua" w:cs="Times New Roman"/>
          <w:sz w:val="16"/>
          <w:szCs w:val="16"/>
        </w:rPr>
        <w:t xml:space="preserve">restrict </w:t>
      </w:r>
      <w:r w:rsidR="009B2684" w:rsidRPr="002D6278">
        <w:rPr>
          <w:rFonts w:ascii="Book Antiqua" w:hAnsi="Book Antiqua" w:cs="Times New Roman"/>
          <w:sz w:val="16"/>
          <w:szCs w:val="16"/>
        </w:rPr>
        <w:t>female</w:t>
      </w:r>
      <w:r w:rsidRPr="002D6278">
        <w:rPr>
          <w:rFonts w:ascii="Book Antiqua" w:hAnsi="Book Antiqua" w:cs="Times New Roman"/>
          <w:sz w:val="16"/>
          <w:szCs w:val="16"/>
        </w:rPr>
        <w:t xml:space="preserve"> phone us</w:t>
      </w:r>
      <w:r w:rsidR="009B2684" w:rsidRPr="002D6278">
        <w:rPr>
          <w:rFonts w:ascii="Book Antiqua" w:hAnsi="Book Antiqua" w:cs="Times New Roman"/>
          <w:sz w:val="16"/>
          <w:szCs w:val="16"/>
        </w:rPr>
        <w:t>age</w:t>
      </w:r>
      <w:r w:rsidRPr="002D6278">
        <w:rPr>
          <w:rFonts w:ascii="Book Antiqua" w:hAnsi="Book Antiqua" w:cs="Times New Roman"/>
          <w:sz w:val="16"/>
          <w:szCs w:val="16"/>
        </w:rPr>
        <w:t xml:space="preserve"> through</w:t>
      </w:r>
      <w:r w:rsidR="00C87C77" w:rsidRPr="002D6278">
        <w:rPr>
          <w:rFonts w:ascii="Book Antiqua" w:hAnsi="Book Antiqua" w:cs="Times New Roman"/>
          <w:sz w:val="16"/>
          <w:szCs w:val="16"/>
        </w:rPr>
        <w:t xml:space="preserve"> </w:t>
      </w:r>
      <w:r w:rsidR="005B65F1">
        <w:rPr>
          <w:rFonts w:ascii="Book Antiqua" w:hAnsi="Book Antiqua" w:cs="Times New Roman"/>
          <w:sz w:val="16"/>
          <w:szCs w:val="16"/>
        </w:rPr>
        <w:t>male</w:t>
      </w:r>
      <w:r w:rsidR="00C87C77" w:rsidRPr="002D6278">
        <w:rPr>
          <w:rFonts w:ascii="Book Antiqua" w:hAnsi="Book Antiqua" w:cs="Times New Roman"/>
          <w:sz w:val="16"/>
          <w:szCs w:val="16"/>
        </w:rPr>
        <w:t xml:space="preserve"> device ownership, low-quality </w:t>
      </w:r>
      <w:r w:rsidRPr="002D6278">
        <w:rPr>
          <w:rFonts w:ascii="Book Antiqua" w:hAnsi="Book Antiqua" w:cs="Times New Roman"/>
          <w:sz w:val="16"/>
          <w:szCs w:val="16"/>
        </w:rPr>
        <w:t xml:space="preserve">handsets, limited digital skills, and </w:t>
      </w:r>
      <w:r w:rsidR="001C5CE0">
        <w:rPr>
          <w:rFonts w:ascii="Book Antiqua" w:hAnsi="Book Antiqua" w:cs="Times New Roman"/>
          <w:sz w:val="16"/>
          <w:szCs w:val="16"/>
        </w:rPr>
        <w:t xml:space="preserve">domestic </w:t>
      </w:r>
      <w:r w:rsidRPr="002D6278">
        <w:rPr>
          <w:rFonts w:ascii="Book Antiqua" w:hAnsi="Book Antiqua" w:cs="Times New Roman"/>
          <w:sz w:val="16"/>
          <w:szCs w:val="16"/>
        </w:rPr>
        <w:t>time constraints</w:t>
      </w:r>
      <w:r w:rsidR="00E668AD">
        <w:rPr>
          <w:rFonts w:ascii="Book Antiqua" w:hAnsi="Book Antiqua" w:cs="Times New Roman"/>
          <w:sz w:val="16"/>
          <w:szCs w:val="16"/>
        </w:rPr>
        <w:t xml:space="preserve"> in </w:t>
      </w:r>
      <w:r w:rsidR="001B000B">
        <w:rPr>
          <w:rFonts w:ascii="Book Antiqua" w:hAnsi="Book Antiqua" w:cs="Times New Roman"/>
          <w:sz w:val="16"/>
          <w:szCs w:val="16"/>
        </w:rPr>
        <w:t>rural areas of central India</w:t>
      </w:r>
      <w:r w:rsidR="001C5CE0">
        <w:rPr>
          <w:rFonts w:ascii="Book Antiqua" w:hAnsi="Book Antiqua" w:cs="Times New Roman"/>
          <w:sz w:val="16"/>
          <w:szCs w:val="16"/>
        </w:rPr>
        <w:t>.</w:t>
      </w:r>
      <w:r w:rsidR="001B000B">
        <w:rPr>
          <w:rFonts w:ascii="Book Antiqua" w:hAnsi="Book Antiqua" w:cs="Times New Roman"/>
          <w:sz w:val="16"/>
          <w:szCs w:val="16"/>
        </w:rPr>
        <w:t xml:space="preserve"> </w:t>
      </w:r>
      <w:r w:rsidR="00B03E28" w:rsidRPr="002D6278">
        <w:rPr>
          <w:rFonts w:ascii="Book Antiqua" w:hAnsi="Book Antiqua" w:cs="Times New Roman"/>
          <w:sz w:val="16"/>
          <w:szCs w:val="16"/>
        </w:rPr>
        <w:t xml:space="preserve">In Pakistan, </w:t>
      </w:r>
      <w:r w:rsidR="008B714E" w:rsidRPr="00646192">
        <w:rPr>
          <w:rFonts w:ascii="Book Antiqua" w:hAnsi="Book Antiqua" w:cs="Times New Roman"/>
          <w:color w:val="0070C0"/>
          <w:sz w:val="16"/>
          <w:szCs w:val="16"/>
        </w:rPr>
        <w:t xml:space="preserve">Reynolds </w:t>
      </w:r>
      <w:r w:rsidR="008B714E" w:rsidRPr="00646192">
        <w:rPr>
          <w:rFonts w:ascii="Book Antiqua" w:hAnsi="Book Antiqua" w:cs="Times New Roman"/>
          <w:i/>
          <w:iCs/>
          <w:color w:val="0070C0"/>
          <w:sz w:val="16"/>
          <w:szCs w:val="16"/>
        </w:rPr>
        <w:t>et al.</w:t>
      </w:r>
      <w:r w:rsidR="008B714E" w:rsidRPr="00646192">
        <w:rPr>
          <w:rFonts w:ascii="Book Antiqua" w:hAnsi="Book Antiqua" w:cs="Times New Roman"/>
          <w:color w:val="0070C0"/>
          <w:sz w:val="16"/>
          <w:szCs w:val="16"/>
        </w:rPr>
        <w:t xml:space="preserve"> (2023) </w:t>
      </w:r>
      <w:r w:rsidR="00FA1A37" w:rsidRPr="00FA1A37">
        <w:rPr>
          <w:rFonts w:ascii="Book Antiqua" w:hAnsi="Book Antiqua" w:cs="Times New Roman"/>
          <w:color w:val="000000" w:themeColor="text1"/>
          <w:sz w:val="16"/>
          <w:szCs w:val="16"/>
        </w:rPr>
        <w:t xml:space="preserve">and </w:t>
      </w:r>
      <w:r w:rsidR="00FA1A37" w:rsidRPr="00646192">
        <w:rPr>
          <w:rFonts w:ascii="Book Antiqua" w:hAnsi="Book Antiqua" w:cs="Times New Roman"/>
          <w:color w:val="0070C0"/>
          <w:sz w:val="16"/>
          <w:szCs w:val="16"/>
        </w:rPr>
        <w:t xml:space="preserve">Mustafa </w:t>
      </w:r>
      <w:r w:rsidR="00FA1A37" w:rsidRPr="00646192">
        <w:rPr>
          <w:rFonts w:ascii="Book Antiqua" w:hAnsi="Book Antiqua" w:cs="Times New Roman"/>
          <w:i/>
          <w:iCs/>
          <w:color w:val="0070C0"/>
          <w:sz w:val="16"/>
          <w:szCs w:val="16"/>
        </w:rPr>
        <w:t>et al.</w:t>
      </w:r>
      <w:r w:rsidR="00FA1A37" w:rsidRPr="00646192">
        <w:rPr>
          <w:rFonts w:ascii="Book Antiqua" w:hAnsi="Book Antiqua" w:cs="Times New Roman"/>
          <w:color w:val="0070C0"/>
          <w:sz w:val="16"/>
          <w:szCs w:val="16"/>
        </w:rPr>
        <w:t xml:space="preserve"> (2019) </w:t>
      </w:r>
      <w:r w:rsidR="008B714E" w:rsidRPr="008B714E">
        <w:rPr>
          <w:rFonts w:ascii="Book Antiqua" w:hAnsi="Book Antiqua" w:cs="Times New Roman"/>
          <w:sz w:val="16"/>
          <w:szCs w:val="16"/>
        </w:rPr>
        <w:t>document severe digital gender gaps where</w:t>
      </w:r>
      <w:r w:rsidR="008B714E">
        <w:rPr>
          <w:rFonts w:ascii="Book Antiqua" w:hAnsi="Book Antiqua" w:cs="Times New Roman"/>
          <w:sz w:val="16"/>
          <w:szCs w:val="16"/>
        </w:rPr>
        <w:t xml:space="preserve"> </w:t>
      </w:r>
      <w:r w:rsidR="008B714E" w:rsidRPr="008B714E">
        <w:rPr>
          <w:rFonts w:ascii="Book Antiqua" w:hAnsi="Book Antiqua" w:cs="Times New Roman"/>
          <w:sz w:val="16"/>
          <w:szCs w:val="16"/>
        </w:rPr>
        <w:t xml:space="preserve">operational usage is hindered by </w:t>
      </w:r>
      <w:r w:rsidR="008B714E" w:rsidRPr="002D6278">
        <w:rPr>
          <w:rFonts w:ascii="Book Antiqua" w:hAnsi="Book Antiqua" w:cs="Times New Roman"/>
          <w:sz w:val="16"/>
          <w:szCs w:val="16"/>
        </w:rPr>
        <w:t>institutional gatekeeping</w:t>
      </w:r>
      <w:r w:rsidR="00646192">
        <w:rPr>
          <w:rFonts w:ascii="Book Antiqua" w:hAnsi="Book Antiqua" w:cs="Times New Roman"/>
          <w:sz w:val="16"/>
          <w:szCs w:val="16"/>
        </w:rPr>
        <w:t xml:space="preserve">, </w:t>
      </w:r>
      <w:r w:rsidR="008B714E" w:rsidRPr="008B714E">
        <w:rPr>
          <w:rFonts w:ascii="Book Antiqua" w:hAnsi="Book Antiqua" w:cs="Times New Roman"/>
          <w:sz w:val="16"/>
          <w:szCs w:val="16"/>
        </w:rPr>
        <w:t>male-dominated retail cash-in/cash-out (CICO) agent networks and</w:t>
      </w:r>
      <w:r w:rsidR="008B714E">
        <w:rPr>
          <w:rFonts w:ascii="Book Antiqua" w:hAnsi="Book Antiqua" w:cs="Times New Roman"/>
          <w:sz w:val="16"/>
          <w:szCs w:val="16"/>
        </w:rPr>
        <w:t xml:space="preserve"> </w:t>
      </w:r>
      <w:r w:rsidR="008B714E" w:rsidRPr="008B714E">
        <w:rPr>
          <w:rFonts w:ascii="Book Antiqua" w:hAnsi="Book Antiqua" w:cs="Times New Roman"/>
          <w:sz w:val="16"/>
          <w:szCs w:val="16"/>
        </w:rPr>
        <w:t>mobility restrictions rooted in purdah norms.</w:t>
      </w:r>
      <w:r w:rsidR="005D0139" w:rsidRPr="005D0139">
        <w:t xml:space="preserve"> </w:t>
      </w:r>
      <w:r w:rsidR="00584DCE">
        <w:rPr>
          <w:rFonts w:ascii="Book Antiqua" w:hAnsi="Book Antiqua" w:cs="Times New Roman"/>
          <w:sz w:val="16"/>
          <w:szCs w:val="16"/>
        </w:rPr>
        <w:t>Similarly, a</w:t>
      </w:r>
      <w:r w:rsidR="005D0139" w:rsidRPr="005D0139">
        <w:rPr>
          <w:rFonts w:ascii="Book Antiqua" w:hAnsi="Book Antiqua" w:cs="Times New Roman"/>
          <w:sz w:val="16"/>
          <w:szCs w:val="16"/>
        </w:rPr>
        <w:t xml:space="preserve"> related qualitative study (</w:t>
      </w:r>
      <w:r w:rsidR="005D0139" w:rsidRPr="005D0139">
        <w:rPr>
          <w:rFonts w:ascii="Book Antiqua" w:hAnsi="Book Antiqua" w:cs="Times New Roman"/>
          <w:color w:val="0070C0"/>
          <w:sz w:val="16"/>
          <w:szCs w:val="16"/>
        </w:rPr>
        <w:t xml:space="preserve">Ibtasam </w:t>
      </w:r>
      <w:r w:rsidR="005D0139" w:rsidRPr="005D0139">
        <w:rPr>
          <w:rFonts w:ascii="Book Antiqua" w:hAnsi="Book Antiqua" w:cs="Times New Roman"/>
          <w:i/>
          <w:iCs/>
          <w:color w:val="0070C0"/>
          <w:sz w:val="16"/>
          <w:szCs w:val="16"/>
        </w:rPr>
        <w:t>et al.,</w:t>
      </w:r>
      <w:r w:rsidR="005D0139" w:rsidRPr="005D0139">
        <w:rPr>
          <w:rFonts w:ascii="Book Antiqua" w:hAnsi="Book Antiqua" w:cs="Times New Roman"/>
          <w:color w:val="0070C0"/>
          <w:sz w:val="16"/>
          <w:szCs w:val="16"/>
        </w:rPr>
        <w:t xml:space="preserve"> 2018</w:t>
      </w:r>
      <w:r w:rsidR="005D0139" w:rsidRPr="005D0139">
        <w:rPr>
          <w:rFonts w:ascii="Book Antiqua" w:hAnsi="Book Antiqua" w:cs="Times New Roman"/>
          <w:sz w:val="16"/>
          <w:szCs w:val="16"/>
        </w:rPr>
        <w:t xml:space="preserve">) finds that financial decision-making capacity </w:t>
      </w:r>
      <w:r w:rsidR="00584DCE">
        <w:rPr>
          <w:rFonts w:ascii="Book Antiqua" w:hAnsi="Book Antiqua" w:cs="Times New Roman"/>
          <w:sz w:val="16"/>
          <w:szCs w:val="16"/>
        </w:rPr>
        <w:t xml:space="preserve">of </w:t>
      </w:r>
      <w:r w:rsidR="00584DCE" w:rsidRPr="005D0139">
        <w:rPr>
          <w:rFonts w:ascii="Book Antiqua" w:hAnsi="Book Antiqua" w:cs="Times New Roman"/>
          <w:sz w:val="16"/>
          <w:szCs w:val="16"/>
        </w:rPr>
        <w:t>Pakistani women</w:t>
      </w:r>
      <w:r w:rsidR="009A2132">
        <w:rPr>
          <w:rFonts w:ascii="Book Antiqua" w:hAnsi="Book Antiqua" w:cs="Times New Roman"/>
          <w:sz w:val="16"/>
          <w:szCs w:val="16"/>
        </w:rPr>
        <w:t xml:space="preserve"> </w:t>
      </w:r>
      <w:r w:rsidR="005D0139" w:rsidRPr="005D0139">
        <w:rPr>
          <w:rFonts w:ascii="Book Antiqua" w:hAnsi="Book Antiqua" w:cs="Times New Roman"/>
          <w:sz w:val="16"/>
          <w:szCs w:val="16"/>
        </w:rPr>
        <w:t>is systematically filtered through male relatives, even when women nominally hold the account.</w:t>
      </w:r>
    </w:p>
    <w:p w14:paraId="6ACCB98D" w14:textId="4BCB5FCA" w:rsidR="000D6C5A" w:rsidRPr="002D6278" w:rsidRDefault="006E1F80" w:rsidP="006E1F80">
      <w:pPr>
        <w:jc w:val="both"/>
        <w:rPr>
          <w:rFonts w:ascii="Book Antiqua" w:hAnsi="Book Antiqua" w:cs="Times New Roman"/>
          <w:sz w:val="16"/>
          <w:szCs w:val="16"/>
        </w:rPr>
      </w:pPr>
      <w:r w:rsidRPr="006E1F80">
        <w:rPr>
          <w:rFonts w:ascii="Book Antiqua" w:hAnsi="Book Antiqua" w:cs="Times New Roman"/>
          <w:sz w:val="16"/>
          <w:szCs w:val="16"/>
        </w:rPr>
        <w:t xml:space="preserve">Regarding downstream outcomes, evidence is highly contested. </w:t>
      </w:r>
      <w:r w:rsidRPr="006E1F80">
        <w:rPr>
          <w:rFonts w:ascii="Book Antiqua" w:hAnsi="Book Antiqua" w:cs="Times New Roman"/>
          <w:color w:val="0070C0"/>
          <w:sz w:val="16"/>
          <w:szCs w:val="16"/>
        </w:rPr>
        <w:t xml:space="preserve">Asongu and Nwachukwu (2018) </w:t>
      </w:r>
      <w:r w:rsidRPr="006E1F80">
        <w:rPr>
          <w:rFonts w:ascii="Book Antiqua" w:hAnsi="Book Antiqua" w:cs="Times New Roman"/>
          <w:sz w:val="16"/>
          <w:szCs w:val="16"/>
        </w:rPr>
        <w:t>confirm</w:t>
      </w:r>
      <w:r>
        <w:rPr>
          <w:rFonts w:ascii="Book Antiqua" w:hAnsi="Book Antiqua" w:cs="Times New Roman"/>
          <w:sz w:val="16"/>
          <w:szCs w:val="16"/>
        </w:rPr>
        <w:t xml:space="preserve"> </w:t>
      </w:r>
      <w:r w:rsidRPr="006E1F80">
        <w:rPr>
          <w:rFonts w:ascii="Book Antiqua" w:hAnsi="Book Antiqua" w:cs="Times New Roman"/>
          <w:sz w:val="16"/>
          <w:szCs w:val="16"/>
        </w:rPr>
        <w:t xml:space="preserve">that gender inequality </w:t>
      </w:r>
      <w:r w:rsidR="008E792F">
        <w:rPr>
          <w:rFonts w:ascii="Book Antiqua" w:hAnsi="Book Antiqua" w:cs="Times New Roman"/>
          <w:sz w:val="16"/>
          <w:szCs w:val="16"/>
        </w:rPr>
        <w:t>dampens</w:t>
      </w:r>
      <w:r w:rsidRPr="006E1F80">
        <w:rPr>
          <w:rFonts w:ascii="Book Antiqua" w:hAnsi="Book Antiqua" w:cs="Times New Roman"/>
          <w:sz w:val="16"/>
          <w:szCs w:val="16"/>
        </w:rPr>
        <w:t xml:space="preserve"> the macro-level poverty-reducing benefits of mobile banking across 93</w:t>
      </w:r>
      <w:r w:rsidR="008E792F">
        <w:rPr>
          <w:rFonts w:ascii="Book Antiqua" w:hAnsi="Book Antiqua" w:cs="Times New Roman"/>
          <w:sz w:val="16"/>
          <w:szCs w:val="16"/>
        </w:rPr>
        <w:t xml:space="preserve"> </w:t>
      </w:r>
      <w:r w:rsidRPr="006E1F80">
        <w:rPr>
          <w:rFonts w:ascii="Book Antiqua" w:hAnsi="Book Antiqua" w:cs="Times New Roman"/>
          <w:sz w:val="16"/>
          <w:szCs w:val="16"/>
        </w:rPr>
        <w:t>developing nations. Conversely, positive</w:t>
      </w:r>
      <w:r w:rsidR="008E792F">
        <w:rPr>
          <w:rFonts w:ascii="Book Antiqua" w:hAnsi="Book Antiqua" w:cs="Times New Roman"/>
          <w:sz w:val="16"/>
          <w:szCs w:val="16"/>
        </w:rPr>
        <w:t xml:space="preserve"> </w:t>
      </w:r>
      <w:r w:rsidRPr="006E1F80">
        <w:rPr>
          <w:rFonts w:ascii="Book Antiqua" w:hAnsi="Book Antiqua" w:cs="Times New Roman"/>
          <w:sz w:val="16"/>
          <w:szCs w:val="16"/>
        </w:rPr>
        <w:t xml:space="preserve">outcomes emerge when digital access is paired with targeted support; </w:t>
      </w:r>
      <w:r w:rsidRPr="008E792F">
        <w:rPr>
          <w:rFonts w:ascii="Book Antiqua" w:hAnsi="Book Antiqua" w:cs="Times New Roman"/>
          <w:color w:val="0070C0"/>
          <w:sz w:val="16"/>
          <w:szCs w:val="16"/>
        </w:rPr>
        <w:t xml:space="preserve">Swamy (2014) </w:t>
      </w:r>
      <w:r w:rsidRPr="006E1F80">
        <w:rPr>
          <w:rFonts w:ascii="Book Antiqua" w:hAnsi="Book Antiqua" w:cs="Times New Roman"/>
          <w:sz w:val="16"/>
          <w:szCs w:val="16"/>
        </w:rPr>
        <w:t xml:space="preserve">highlights gender-differentiated savings growth, while </w:t>
      </w:r>
      <w:r w:rsidRPr="005A644E">
        <w:rPr>
          <w:rFonts w:ascii="Book Antiqua" w:hAnsi="Book Antiqua" w:cs="Times New Roman"/>
          <w:color w:val="0070C0"/>
          <w:sz w:val="16"/>
          <w:szCs w:val="16"/>
        </w:rPr>
        <w:t xml:space="preserve">Koomson </w:t>
      </w:r>
      <w:r w:rsidRPr="005A644E">
        <w:rPr>
          <w:rFonts w:ascii="Book Antiqua" w:hAnsi="Book Antiqua" w:cs="Times New Roman"/>
          <w:i/>
          <w:iCs/>
          <w:color w:val="0070C0"/>
          <w:sz w:val="16"/>
          <w:szCs w:val="16"/>
        </w:rPr>
        <w:t>et al.</w:t>
      </w:r>
      <w:r w:rsidRPr="005A644E">
        <w:rPr>
          <w:rFonts w:ascii="Book Antiqua" w:hAnsi="Book Antiqua" w:cs="Times New Roman"/>
          <w:color w:val="0070C0"/>
          <w:sz w:val="16"/>
          <w:szCs w:val="16"/>
        </w:rPr>
        <w:t xml:space="preserve"> (2020) </w:t>
      </w:r>
      <w:r w:rsidRPr="006E1F80">
        <w:rPr>
          <w:rFonts w:ascii="Book Antiqua" w:hAnsi="Book Antiqua" w:cs="Times New Roman"/>
          <w:sz w:val="16"/>
          <w:szCs w:val="16"/>
        </w:rPr>
        <w:t xml:space="preserve">establish that financial </w:t>
      </w:r>
      <w:r w:rsidR="007F7723" w:rsidRPr="006E1F80">
        <w:rPr>
          <w:rFonts w:ascii="Book Antiqua" w:hAnsi="Book Antiqua" w:cs="Times New Roman"/>
          <w:sz w:val="16"/>
          <w:szCs w:val="16"/>
        </w:rPr>
        <w:t>learning</w:t>
      </w:r>
      <w:r w:rsidRPr="006E1F80">
        <w:rPr>
          <w:rFonts w:ascii="Book Antiqua" w:hAnsi="Book Antiqua" w:cs="Times New Roman"/>
          <w:sz w:val="16"/>
          <w:szCs w:val="16"/>
        </w:rPr>
        <w:t xml:space="preserve"> </w:t>
      </w:r>
      <w:r w:rsidR="000F5335">
        <w:rPr>
          <w:rFonts w:ascii="Book Antiqua" w:hAnsi="Book Antiqua" w:cs="Times New Roman"/>
          <w:sz w:val="16"/>
          <w:szCs w:val="16"/>
        </w:rPr>
        <w:t>programs</w:t>
      </w:r>
      <w:r w:rsidR="005A644E">
        <w:rPr>
          <w:rFonts w:ascii="Book Antiqua" w:hAnsi="Book Antiqua" w:cs="Times New Roman"/>
          <w:sz w:val="16"/>
          <w:szCs w:val="16"/>
        </w:rPr>
        <w:t xml:space="preserve"> </w:t>
      </w:r>
      <w:r w:rsidR="00926A96" w:rsidRPr="006E1F80">
        <w:rPr>
          <w:rFonts w:ascii="Book Antiqua" w:hAnsi="Book Antiqua" w:cs="Times New Roman"/>
          <w:sz w:val="16"/>
          <w:szCs w:val="16"/>
        </w:rPr>
        <w:t>unlock</w:t>
      </w:r>
      <w:r w:rsidRPr="006E1F80">
        <w:rPr>
          <w:rFonts w:ascii="Book Antiqua" w:hAnsi="Book Antiqua" w:cs="Times New Roman"/>
          <w:sz w:val="16"/>
          <w:szCs w:val="16"/>
        </w:rPr>
        <w:t xml:space="preserve"> genuine economic agency.</w:t>
      </w:r>
    </w:p>
    <w:p w14:paraId="1C22F959" w14:textId="5598AA56" w:rsidR="007C6E5A" w:rsidRPr="002D6278" w:rsidRDefault="001A5577" w:rsidP="007C6E5A">
      <w:pPr>
        <w:jc w:val="both"/>
        <w:rPr>
          <w:rFonts w:ascii="Book Antiqua" w:hAnsi="Book Antiqua" w:cs="Times New Roman"/>
          <w:sz w:val="16"/>
          <w:szCs w:val="16"/>
        </w:rPr>
      </w:pPr>
      <w:r w:rsidRPr="000218D3">
        <w:rPr>
          <w:rFonts w:ascii="Book Antiqua" w:hAnsi="Book Antiqua" w:cs="Times New Roman"/>
          <w:b/>
          <w:bCs/>
          <w:sz w:val="16"/>
          <w:szCs w:val="16"/>
        </w:rPr>
        <w:t xml:space="preserve">3.2 </w:t>
      </w:r>
      <w:r w:rsidR="007C6E5A" w:rsidRPr="000218D3">
        <w:rPr>
          <w:rFonts w:ascii="Book Antiqua" w:hAnsi="Book Antiqua" w:cs="Times New Roman"/>
          <w:b/>
          <w:bCs/>
          <w:sz w:val="16"/>
          <w:szCs w:val="16"/>
        </w:rPr>
        <w:t>Critical Synthesis: Convergence, Divergence, and Methodological Patterns</w:t>
      </w:r>
    </w:p>
    <w:p w14:paraId="50B6E38C" w14:textId="5C814A88" w:rsidR="00D8271C" w:rsidRDefault="006A7AA2" w:rsidP="007C6E5A">
      <w:pPr>
        <w:jc w:val="both"/>
        <w:rPr>
          <w:rFonts w:ascii="Book Antiqua" w:hAnsi="Book Antiqua" w:cs="Times New Roman"/>
          <w:sz w:val="16"/>
          <w:szCs w:val="16"/>
        </w:rPr>
      </w:pPr>
      <w:r w:rsidRPr="002D6278">
        <w:rPr>
          <w:rFonts w:ascii="Book Antiqua" w:hAnsi="Book Antiqua" w:cs="Times New Roman"/>
          <w:sz w:val="16"/>
          <w:szCs w:val="16"/>
        </w:rPr>
        <w:t xml:space="preserve">Evaluating the literature reveals strong convergence on baseline disparities, but sharp divergence regarding exact explanatory mechanisms. </w:t>
      </w:r>
      <w:r w:rsidR="008561BB" w:rsidRPr="008561BB">
        <w:rPr>
          <w:rFonts w:ascii="Book Antiqua" w:hAnsi="Book Antiqua" w:cs="Times New Roman"/>
          <w:sz w:val="16"/>
          <w:szCs w:val="16"/>
        </w:rPr>
        <w:t>Econometric analyses across India (</w:t>
      </w:r>
      <w:r w:rsidR="00C37EFD" w:rsidRPr="00C37EFD">
        <w:rPr>
          <w:rFonts w:ascii="Book Antiqua" w:hAnsi="Book Antiqua" w:cs="Times New Roman"/>
          <w:color w:val="0070C0"/>
          <w:sz w:val="16"/>
          <w:szCs w:val="16"/>
        </w:rPr>
        <w:t xml:space="preserve">Kaur </w:t>
      </w:r>
      <w:r w:rsidR="002514B2">
        <w:rPr>
          <w:rFonts w:ascii="Book Antiqua" w:hAnsi="Book Antiqua" w:cs="Times New Roman"/>
          <w:color w:val="0070C0"/>
          <w:sz w:val="16"/>
          <w:szCs w:val="16"/>
        </w:rPr>
        <w:t xml:space="preserve">and </w:t>
      </w:r>
      <w:r w:rsidR="00C37EFD" w:rsidRPr="00C37EFD">
        <w:rPr>
          <w:rFonts w:ascii="Book Antiqua" w:hAnsi="Book Antiqua" w:cs="Times New Roman"/>
          <w:color w:val="0070C0"/>
          <w:sz w:val="16"/>
          <w:szCs w:val="16"/>
        </w:rPr>
        <w:t>Kapuria</w:t>
      </w:r>
      <w:r w:rsidR="002514B2">
        <w:rPr>
          <w:rFonts w:ascii="Book Antiqua" w:hAnsi="Book Antiqua" w:cs="Times New Roman"/>
          <w:color w:val="0070C0"/>
          <w:sz w:val="16"/>
          <w:szCs w:val="16"/>
        </w:rPr>
        <w:t xml:space="preserve">, </w:t>
      </w:r>
      <w:r w:rsidR="00C37EFD" w:rsidRPr="00C37EFD">
        <w:rPr>
          <w:rFonts w:ascii="Book Antiqua" w:hAnsi="Book Antiqua" w:cs="Times New Roman"/>
          <w:color w:val="0070C0"/>
          <w:sz w:val="16"/>
          <w:szCs w:val="16"/>
        </w:rPr>
        <w:t>2020</w:t>
      </w:r>
      <w:r w:rsidR="008561BB" w:rsidRPr="008561BB">
        <w:rPr>
          <w:rFonts w:ascii="Book Antiqua" w:hAnsi="Book Antiqua" w:cs="Times New Roman"/>
          <w:sz w:val="16"/>
          <w:szCs w:val="16"/>
        </w:rPr>
        <w:t>), Bangladesh (</w:t>
      </w:r>
      <w:r w:rsidR="008561BB" w:rsidRPr="009C5781">
        <w:rPr>
          <w:rFonts w:ascii="Book Antiqua" w:hAnsi="Book Antiqua" w:cs="Times New Roman"/>
          <w:color w:val="0070C0"/>
          <w:sz w:val="16"/>
          <w:szCs w:val="16"/>
        </w:rPr>
        <w:t xml:space="preserve">Sumi </w:t>
      </w:r>
      <w:r w:rsidR="008561BB" w:rsidRPr="009C5781">
        <w:rPr>
          <w:rFonts w:ascii="Book Antiqua" w:hAnsi="Book Antiqua" w:cs="Times New Roman"/>
          <w:i/>
          <w:iCs/>
          <w:color w:val="0070C0"/>
          <w:sz w:val="16"/>
          <w:szCs w:val="16"/>
        </w:rPr>
        <w:t>et al.,</w:t>
      </w:r>
      <w:r w:rsidR="008561BB" w:rsidRPr="009C5781">
        <w:rPr>
          <w:rFonts w:ascii="Book Antiqua" w:hAnsi="Book Antiqua" w:cs="Times New Roman"/>
          <w:color w:val="0070C0"/>
          <w:sz w:val="16"/>
          <w:szCs w:val="16"/>
        </w:rPr>
        <w:t xml:space="preserve"> 2025</w:t>
      </w:r>
      <w:r w:rsidR="008561BB" w:rsidRPr="008561BB">
        <w:rPr>
          <w:rFonts w:ascii="Book Antiqua" w:hAnsi="Book Antiqua" w:cs="Times New Roman"/>
          <w:sz w:val="16"/>
          <w:szCs w:val="16"/>
        </w:rPr>
        <w:t>), and Pakistan (</w:t>
      </w:r>
      <w:r w:rsidR="008561BB" w:rsidRPr="009C5781">
        <w:rPr>
          <w:rFonts w:ascii="Book Antiqua" w:hAnsi="Book Antiqua" w:cs="Times New Roman"/>
          <w:color w:val="0070C0"/>
          <w:sz w:val="16"/>
          <w:szCs w:val="16"/>
        </w:rPr>
        <w:t xml:space="preserve">Mustafa </w:t>
      </w:r>
      <w:r w:rsidR="008561BB" w:rsidRPr="009C5781">
        <w:rPr>
          <w:rFonts w:ascii="Book Antiqua" w:hAnsi="Book Antiqua" w:cs="Times New Roman"/>
          <w:i/>
          <w:iCs/>
          <w:color w:val="0070C0"/>
          <w:sz w:val="16"/>
          <w:szCs w:val="16"/>
        </w:rPr>
        <w:t>et al.,</w:t>
      </w:r>
      <w:r w:rsidR="008561BB" w:rsidRPr="009C5781">
        <w:rPr>
          <w:rFonts w:ascii="Book Antiqua" w:hAnsi="Book Antiqua" w:cs="Times New Roman"/>
          <w:color w:val="0070C0"/>
          <w:sz w:val="16"/>
          <w:szCs w:val="16"/>
        </w:rPr>
        <w:t xml:space="preserve"> 2019</w:t>
      </w:r>
      <w:r w:rsidR="008561BB" w:rsidRPr="008561BB">
        <w:rPr>
          <w:rFonts w:ascii="Book Antiqua" w:hAnsi="Book Antiqua" w:cs="Times New Roman"/>
          <w:sz w:val="16"/>
          <w:szCs w:val="16"/>
        </w:rPr>
        <w:t>) agree that a persistent gender gap in active usage remains after controlling for income and literacy.</w:t>
      </w:r>
      <w:r w:rsidR="00DA6D33">
        <w:rPr>
          <w:rFonts w:ascii="Book Antiqua" w:hAnsi="Book Antiqua" w:cs="Times New Roman"/>
          <w:sz w:val="16"/>
          <w:szCs w:val="16"/>
        </w:rPr>
        <w:t xml:space="preserve"> Th</w:t>
      </w:r>
      <w:r w:rsidRPr="002D6278">
        <w:rPr>
          <w:rFonts w:ascii="Book Antiqua" w:hAnsi="Book Antiqua" w:cs="Times New Roman"/>
          <w:sz w:val="16"/>
          <w:szCs w:val="16"/>
        </w:rPr>
        <w:t>is cross-border econometric consistency confirms that the barrier is structurally socio-cultural rather than purely financial.</w:t>
      </w:r>
      <w:r w:rsidR="00BA1F20">
        <w:rPr>
          <w:rFonts w:ascii="Book Antiqua" w:hAnsi="Book Antiqua" w:cs="Times New Roman"/>
          <w:sz w:val="16"/>
          <w:szCs w:val="16"/>
        </w:rPr>
        <w:t xml:space="preserve"> </w:t>
      </w:r>
      <w:r w:rsidR="00EC5EF2" w:rsidRPr="00CA1705">
        <w:rPr>
          <w:rFonts w:ascii="Book Antiqua" w:hAnsi="Book Antiqua" w:cs="Times New Roman"/>
          <w:color w:val="0070C0"/>
          <w:sz w:val="16"/>
          <w:szCs w:val="16"/>
        </w:rPr>
        <w:t xml:space="preserve">Chowdhury </w:t>
      </w:r>
      <w:r w:rsidR="00EC5EF2" w:rsidRPr="00CA1705">
        <w:rPr>
          <w:rFonts w:ascii="Book Antiqua" w:hAnsi="Book Antiqua" w:cs="Times New Roman"/>
          <w:i/>
          <w:iCs/>
          <w:color w:val="0070C0"/>
          <w:sz w:val="16"/>
          <w:szCs w:val="16"/>
        </w:rPr>
        <w:t>et al.</w:t>
      </w:r>
      <w:r w:rsidR="00CA1705" w:rsidRPr="00CA1705">
        <w:rPr>
          <w:rFonts w:ascii="Book Antiqua" w:hAnsi="Book Antiqua" w:cs="Times New Roman"/>
          <w:color w:val="0070C0"/>
          <w:sz w:val="16"/>
          <w:szCs w:val="16"/>
        </w:rPr>
        <w:t xml:space="preserve"> </w:t>
      </w:r>
      <w:r w:rsidR="00EC5EF2" w:rsidRPr="00CA1705">
        <w:rPr>
          <w:rFonts w:ascii="Book Antiqua" w:hAnsi="Book Antiqua" w:cs="Times New Roman"/>
          <w:color w:val="0070C0"/>
          <w:sz w:val="16"/>
          <w:szCs w:val="16"/>
        </w:rPr>
        <w:t xml:space="preserve">(2023) </w:t>
      </w:r>
      <w:r w:rsidR="00EC5EF2" w:rsidRPr="00EC5EF2">
        <w:rPr>
          <w:rFonts w:ascii="Book Antiqua" w:hAnsi="Book Antiqua" w:cs="Times New Roman"/>
          <w:sz w:val="16"/>
          <w:szCs w:val="16"/>
        </w:rPr>
        <w:t>reach the same conclusion in rural Bangladesh specifically, finding that trust and perceived risk, not infrastructure availability, are the binding constraints on adoption.</w:t>
      </w:r>
    </w:p>
    <w:p w14:paraId="5EC1951A" w14:textId="4FB514FD" w:rsidR="00F73BAB" w:rsidRDefault="00270E63" w:rsidP="007C6E5A">
      <w:pPr>
        <w:jc w:val="both"/>
        <w:rPr>
          <w:rFonts w:ascii="Book Antiqua" w:hAnsi="Book Antiqua" w:cs="Times New Roman"/>
          <w:sz w:val="16"/>
          <w:szCs w:val="16"/>
        </w:rPr>
      </w:pPr>
      <w:r w:rsidRPr="002D6278">
        <w:rPr>
          <w:rFonts w:ascii="Book Antiqua" w:hAnsi="Book Antiqua" w:cs="Times New Roman"/>
          <w:sz w:val="16"/>
          <w:szCs w:val="16"/>
        </w:rPr>
        <w:t xml:space="preserve">However, academic disagreement is concentrated on which socio-cultural variable exercises the dominant inhibitory effect. </w:t>
      </w:r>
      <w:r w:rsidR="00D50AAB" w:rsidRPr="00270E63">
        <w:rPr>
          <w:rFonts w:ascii="Book Antiqua" w:hAnsi="Book Antiqua" w:cs="Times New Roman"/>
          <w:color w:val="0070C0"/>
          <w:sz w:val="16"/>
          <w:szCs w:val="16"/>
        </w:rPr>
        <w:t>Dey and Majumder (2024)</w:t>
      </w:r>
      <w:r w:rsidR="00D50AAB" w:rsidRPr="00D50AAB">
        <w:rPr>
          <w:rFonts w:ascii="Book Antiqua" w:hAnsi="Book Antiqua" w:cs="Times New Roman"/>
          <w:sz w:val="16"/>
          <w:szCs w:val="16"/>
        </w:rPr>
        <w:t xml:space="preserve"> argue that wealth effects vanish once individual education and occupation are controlled, positioning human capital as the primary driver. Conversely, </w:t>
      </w:r>
      <w:r w:rsidR="00D50AAB" w:rsidRPr="00270E63">
        <w:rPr>
          <w:rFonts w:ascii="Book Antiqua" w:hAnsi="Book Antiqua" w:cs="Times New Roman"/>
          <w:color w:val="0070C0"/>
          <w:sz w:val="16"/>
          <w:szCs w:val="16"/>
        </w:rPr>
        <w:t xml:space="preserve">Sumi </w:t>
      </w:r>
      <w:r w:rsidR="00D50AAB" w:rsidRPr="00270E63">
        <w:rPr>
          <w:rFonts w:ascii="Book Antiqua" w:hAnsi="Book Antiqua" w:cs="Times New Roman"/>
          <w:i/>
          <w:iCs/>
          <w:color w:val="0070C0"/>
          <w:sz w:val="16"/>
          <w:szCs w:val="16"/>
        </w:rPr>
        <w:t xml:space="preserve">et al. </w:t>
      </w:r>
      <w:r w:rsidR="00D50AAB" w:rsidRPr="00270E63">
        <w:rPr>
          <w:rFonts w:ascii="Book Antiqua" w:hAnsi="Book Antiqua" w:cs="Times New Roman"/>
          <w:color w:val="0070C0"/>
          <w:sz w:val="16"/>
          <w:szCs w:val="16"/>
        </w:rPr>
        <w:t xml:space="preserve">(2025) </w:t>
      </w:r>
      <w:r w:rsidR="00D50AAB" w:rsidRPr="00D50AAB">
        <w:rPr>
          <w:rFonts w:ascii="Book Antiqua" w:hAnsi="Book Antiqua" w:cs="Times New Roman"/>
          <w:sz w:val="16"/>
          <w:szCs w:val="16"/>
        </w:rPr>
        <w:t xml:space="preserve">assert that direct male surveillance over transaction alerts is the dominant inhibitor, while </w:t>
      </w:r>
      <w:r w:rsidR="00D50AAB" w:rsidRPr="00270E63">
        <w:rPr>
          <w:rFonts w:ascii="Book Antiqua" w:hAnsi="Book Antiqua" w:cs="Times New Roman"/>
          <w:color w:val="0070C0"/>
          <w:sz w:val="16"/>
          <w:szCs w:val="16"/>
        </w:rPr>
        <w:t xml:space="preserve">Kulkarni and Ghosh (2021) </w:t>
      </w:r>
      <w:r w:rsidR="00D50AAB" w:rsidRPr="00D50AAB">
        <w:rPr>
          <w:rFonts w:ascii="Book Antiqua" w:hAnsi="Book Antiqua" w:cs="Times New Roman"/>
          <w:sz w:val="16"/>
          <w:szCs w:val="16"/>
        </w:rPr>
        <w:t>attribute the gap to self-reported digital anxiety.</w:t>
      </w:r>
      <w:r w:rsidR="00B666FA">
        <w:rPr>
          <w:rFonts w:ascii="Book Antiqua" w:hAnsi="Book Antiqua" w:cs="Times New Roman"/>
          <w:sz w:val="16"/>
          <w:szCs w:val="16"/>
        </w:rPr>
        <w:t xml:space="preserve"> </w:t>
      </w:r>
      <w:r w:rsidR="00B666FA" w:rsidRPr="00B666FA">
        <w:rPr>
          <w:rFonts w:ascii="Book Antiqua" w:hAnsi="Book Antiqua" w:cs="Times New Roman"/>
          <w:color w:val="0070C0"/>
          <w:sz w:val="16"/>
          <w:szCs w:val="16"/>
        </w:rPr>
        <w:t xml:space="preserve">Hoque </w:t>
      </w:r>
      <w:r w:rsidR="00B666FA" w:rsidRPr="00B666FA">
        <w:rPr>
          <w:rFonts w:ascii="Book Antiqua" w:hAnsi="Book Antiqua" w:cs="Times New Roman"/>
          <w:i/>
          <w:iCs/>
          <w:color w:val="0070C0"/>
          <w:sz w:val="16"/>
          <w:szCs w:val="16"/>
        </w:rPr>
        <w:t>et al.</w:t>
      </w:r>
      <w:r w:rsidR="00B666FA" w:rsidRPr="00B666FA">
        <w:rPr>
          <w:rFonts w:ascii="Book Antiqua" w:hAnsi="Book Antiqua" w:cs="Times New Roman"/>
          <w:color w:val="0070C0"/>
          <w:sz w:val="16"/>
          <w:szCs w:val="16"/>
        </w:rPr>
        <w:t xml:space="preserve"> (2024) </w:t>
      </w:r>
      <w:r w:rsidR="005217C8">
        <w:rPr>
          <w:rFonts w:ascii="Book Antiqua" w:hAnsi="Book Antiqua" w:cs="Times New Roman"/>
          <w:sz w:val="16"/>
          <w:szCs w:val="16"/>
        </w:rPr>
        <w:lastRenderedPageBreak/>
        <w:t>also</w:t>
      </w:r>
      <w:r w:rsidR="00B666FA" w:rsidRPr="00B666FA">
        <w:rPr>
          <w:rFonts w:ascii="Book Antiqua" w:hAnsi="Book Antiqua" w:cs="Times New Roman"/>
          <w:sz w:val="16"/>
          <w:szCs w:val="16"/>
        </w:rPr>
        <w:t xml:space="preserve"> find that social and </w:t>
      </w:r>
      <w:r w:rsidR="005217C8" w:rsidRPr="00B666FA">
        <w:rPr>
          <w:rFonts w:ascii="Book Antiqua" w:hAnsi="Book Antiqua" w:cs="Times New Roman"/>
          <w:sz w:val="16"/>
          <w:szCs w:val="16"/>
        </w:rPr>
        <w:t>enabling</w:t>
      </w:r>
      <w:r w:rsidR="00BB6127">
        <w:rPr>
          <w:rFonts w:ascii="Book Antiqua" w:hAnsi="Book Antiqua" w:cs="Times New Roman"/>
          <w:sz w:val="16"/>
          <w:szCs w:val="16"/>
        </w:rPr>
        <w:t xml:space="preserve"> </w:t>
      </w:r>
      <w:r w:rsidR="00B666FA" w:rsidRPr="00B666FA">
        <w:rPr>
          <w:rFonts w:ascii="Book Antiqua" w:hAnsi="Book Antiqua" w:cs="Times New Roman"/>
          <w:sz w:val="16"/>
          <w:szCs w:val="16"/>
        </w:rPr>
        <w:t>condition variables within TAM/UTAUT models operate differently across genders, reinforcing the persistence of a fintech gender gap even where formal access barriers have been removed.</w:t>
      </w:r>
    </w:p>
    <w:p w14:paraId="0F25F1DB" w14:textId="15526319" w:rsidR="00DF4144" w:rsidRDefault="00DF4144" w:rsidP="007C6E5A">
      <w:pPr>
        <w:jc w:val="both"/>
        <w:rPr>
          <w:rFonts w:ascii="Book Antiqua" w:hAnsi="Book Antiqua" w:cs="Times New Roman"/>
          <w:sz w:val="16"/>
          <w:szCs w:val="16"/>
        </w:rPr>
      </w:pPr>
      <w:r w:rsidRPr="00DF4144">
        <w:rPr>
          <w:rFonts w:ascii="Book Antiqua" w:hAnsi="Book Antiqua" w:cs="Times New Roman"/>
          <w:sz w:val="16"/>
          <w:szCs w:val="16"/>
        </w:rPr>
        <w:t xml:space="preserve">Complementing this, </w:t>
      </w:r>
      <w:r w:rsidRPr="00DF4144">
        <w:rPr>
          <w:rFonts w:ascii="Book Antiqua" w:hAnsi="Book Antiqua" w:cs="Times New Roman"/>
          <w:color w:val="0070C0"/>
          <w:sz w:val="16"/>
          <w:szCs w:val="16"/>
        </w:rPr>
        <w:t xml:space="preserve">Rasheduzzaman </w:t>
      </w:r>
      <w:r w:rsidRPr="00DF4144">
        <w:rPr>
          <w:rFonts w:ascii="Book Antiqua" w:hAnsi="Book Antiqua" w:cs="Times New Roman"/>
          <w:i/>
          <w:iCs/>
          <w:color w:val="0070C0"/>
          <w:sz w:val="16"/>
          <w:szCs w:val="16"/>
        </w:rPr>
        <w:t>et al.</w:t>
      </w:r>
      <w:r w:rsidRPr="00DF4144">
        <w:rPr>
          <w:rFonts w:ascii="Book Antiqua" w:hAnsi="Book Antiqua" w:cs="Times New Roman"/>
          <w:color w:val="0070C0"/>
          <w:sz w:val="16"/>
          <w:szCs w:val="16"/>
        </w:rPr>
        <w:t xml:space="preserve"> (2025) </w:t>
      </w:r>
      <w:r w:rsidRPr="00DF4144">
        <w:rPr>
          <w:rFonts w:ascii="Book Antiqua" w:hAnsi="Book Antiqua" w:cs="Times New Roman"/>
          <w:sz w:val="16"/>
          <w:szCs w:val="16"/>
        </w:rPr>
        <w:t>apply structural equation modelling to 300 mobile payment users in Bangladesh, confirm perceived usefulness and perceived ease of use significantly predict adoption attitude, but that gender exerts a significant moderating effect across this pathway. This confirms that behavioural-model constructs alone cannot explain the persistence of the gap without accounting for gendered socio-cultural mediators.</w:t>
      </w:r>
    </w:p>
    <w:p w14:paraId="0ABF511B" w14:textId="42BE5991" w:rsidR="00B63A20" w:rsidRDefault="000932B0" w:rsidP="007C6E5A">
      <w:pPr>
        <w:jc w:val="both"/>
        <w:rPr>
          <w:rFonts w:ascii="Book Antiqua" w:hAnsi="Book Antiqua" w:cs="Times New Roman"/>
          <w:sz w:val="16"/>
          <w:szCs w:val="16"/>
        </w:rPr>
      </w:pPr>
      <w:r w:rsidRPr="002D6278">
        <w:rPr>
          <w:rFonts w:ascii="Book Antiqua" w:hAnsi="Book Antiqua" w:cs="Times New Roman"/>
          <w:sz w:val="16"/>
          <w:szCs w:val="16"/>
        </w:rPr>
        <w:t>This analytical divergence is directly explained by methodological trade-offs</w:t>
      </w:r>
      <w:r w:rsidR="009A4B28">
        <w:rPr>
          <w:rFonts w:ascii="Book Antiqua" w:hAnsi="Book Antiqua" w:cs="Times New Roman"/>
          <w:sz w:val="16"/>
          <w:szCs w:val="16"/>
        </w:rPr>
        <w:t xml:space="preserve"> </w:t>
      </w:r>
      <w:r w:rsidR="00B63A20" w:rsidRPr="00B63A20">
        <w:rPr>
          <w:rFonts w:ascii="Book Antiqua" w:hAnsi="Book Antiqua" w:cs="Times New Roman"/>
          <w:sz w:val="16"/>
          <w:szCs w:val="16"/>
        </w:rPr>
        <w:t>and research designs:</w:t>
      </w:r>
    </w:p>
    <w:p w14:paraId="3E6782E5" w14:textId="48341722" w:rsidR="000932B0" w:rsidRPr="000932B0" w:rsidRDefault="000932B0" w:rsidP="000932B0">
      <w:pPr>
        <w:jc w:val="both"/>
        <w:rPr>
          <w:rFonts w:ascii="Book Antiqua" w:hAnsi="Book Antiqua" w:cs="Times New Roman"/>
          <w:sz w:val="16"/>
          <w:szCs w:val="16"/>
        </w:rPr>
      </w:pPr>
      <w:r w:rsidRPr="000932B0">
        <w:rPr>
          <w:rFonts w:ascii="Book Antiqua" w:hAnsi="Book Antiqua" w:cs="Times New Roman"/>
          <w:sz w:val="16"/>
          <w:szCs w:val="16"/>
        </w:rPr>
        <w:t>• Large-scale quantitative panels (</w:t>
      </w:r>
      <w:r w:rsidRPr="009A4B28">
        <w:rPr>
          <w:rFonts w:ascii="Book Antiqua" w:hAnsi="Book Antiqua" w:cs="Times New Roman"/>
          <w:color w:val="0070C0"/>
          <w:sz w:val="16"/>
          <w:szCs w:val="16"/>
        </w:rPr>
        <w:t>Dey and Majumder, 2024; Ghosh and Vinod, 2017</w:t>
      </w:r>
      <w:r w:rsidRPr="000932B0">
        <w:rPr>
          <w:rFonts w:ascii="Book Antiqua" w:hAnsi="Book Antiqua" w:cs="Times New Roman"/>
          <w:sz w:val="16"/>
          <w:szCs w:val="16"/>
        </w:rPr>
        <w:t xml:space="preserve">) capture macro-level socioeconomic correlations </w:t>
      </w:r>
      <w:r w:rsidR="00AC3CF5" w:rsidRPr="002D6278">
        <w:rPr>
          <w:rFonts w:ascii="Book Antiqua" w:hAnsi="Book Antiqua" w:cs="Times New Roman"/>
          <w:sz w:val="16"/>
          <w:szCs w:val="16"/>
        </w:rPr>
        <w:t>like education but are incapable of observing day-to-day account manipulation.</w:t>
      </w:r>
    </w:p>
    <w:p w14:paraId="67704A56" w14:textId="25456467" w:rsidR="0079612B" w:rsidRDefault="000932B0" w:rsidP="000932B0">
      <w:pPr>
        <w:jc w:val="both"/>
        <w:rPr>
          <w:rFonts w:ascii="Book Antiqua" w:hAnsi="Book Antiqua" w:cs="Times New Roman"/>
          <w:sz w:val="16"/>
          <w:szCs w:val="16"/>
        </w:rPr>
      </w:pPr>
      <w:r w:rsidRPr="000932B0">
        <w:rPr>
          <w:rFonts w:ascii="Book Antiqua" w:hAnsi="Book Antiqua" w:cs="Times New Roman"/>
          <w:sz w:val="16"/>
          <w:szCs w:val="16"/>
        </w:rPr>
        <w:t>• Qualitative and ethnographic field designs (</w:t>
      </w:r>
      <w:r w:rsidRPr="0079612B">
        <w:rPr>
          <w:rFonts w:ascii="Book Antiqua" w:hAnsi="Book Antiqua" w:cs="Times New Roman"/>
          <w:color w:val="0070C0"/>
          <w:sz w:val="16"/>
          <w:szCs w:val="16"/>
        </w:rPr>
        <w:t xml:space="preserve">Ibtasam </w:t>
      </w:r>
      <w:r w:rsidRPr="0079612B">
        <w:rPr>
          <w:rFonts w:ascii="Book Antiqua" w:hAnsi="Book Antiqua" w:cs="Times New Roman"/>
          <w:i/>
          <w:iCs/>
          <w:color w:val="0070C0"/>
          <w:sz w:val="16"/>
          <w:szCs w:val="16"/>
        </w:rPr>
        <w:t>et al.,</w:t>
      </w:r>
      <w:r w:rsidRPr="0079612B">
        <w:rPr>
          <w:rFonts w:ascii="Book Antiqua" w:hAnsi="Book Antiqua" w:cs="Times New Roman"/>
          <w:color w:val="0070C0"/>
          <w:sz w:val="16"/>
          <w:szCs w:val="16"/>
        </w:rPr>
        <w:t xml:space="preserve"> 2017; Scott </w:t>
      </w:r>
      <w:r w:rsidRPr="0079612B">
        <w:rPr>
          <w:rFonts w:ascii="Book Antiqua" w:hAnsi="Book Antiqua" w:cs="Times New Roman"/>
          <w:i/>
          <w:iCs/>
          <w:color w:val="0070C0"/>
          <w:sz w:val="16"/>
          <w:szCs w:val="16"/>
        </w:rPr>
        <w:t>et al.,</w:t>
      </w:r>
      <w:r w:rsidRPr="0079612B">
        <w:rPr>
          <w:rFonts w:ascii="Book Antiqua" w:hAnsi="Book Antiqua" w:cs="Times New Roman"/>
          <w:color w:val="0070C0"/>
          <w:sz w:val="16"/>
          <w:szCs w:val="16"/>
        </w:rPr>
        <w:t xml:space="preserve"> 2021</w:t>
      </w:r>
      <w:r w:rsidRPr="000932B0">
        <w:rPr>
          <w:rFonts w:ascii="Book Antiqua" w:hAnsi="Book Antiqua" w:cs="Times New Roman"/>
          <w:sz w:val="16"/>
          <w:szCs w:val="16"/>
        </w:rPr>
        <w:t xml:space="preserve">) </w:t>
      </w:r>
      <w:r w:rsidR="0079612B" w:rsidRPr="002D6278">
        <w:rPr>
          <w:rFonts w:ascii="Book Antiqua" w:hAnsi="Book Antiqua" w:cs="Times New Roman"/>
          <w:sz w:val="16"/>
          <w:szCs w:val="16"/>
        </w:rPr>
        <w:t>directly capture intra-household proxy operations, yet suffer from narrow, geographically constrained samples that limit statistical transferability.</w:t>
      </w:r>
      <w:r w:rsidR="006B3B99">
        <w:rPr>
          <w:rFonts w:ascii="Book Antiqua" w:hAnsi="Book Antiqua" w:cs="Times New Roman"/>
          <w:sz w:val="16"/>
          <w:szCs w:val="16"/>
        </w:rPr>
        <w:t xml:space="preserve"> </w:t>
      </w:r>
      <w:r w:rsidR="006B3B99" w:rsidRPr="006B3B99">
        <w:rPr>
          <w:rFonts w:ascii="Book Antiqua" w:hAnsi="Book Antiqua" w:cs="Times New Roman"/>
          <w:sz w:val="16"/>
          <w:szCs w:val="16"/>
        </w:rPr>
        <w:t>More recent rural qualitative work (</w:t>
      </w:r>
      <w:r w:rsidR="006B3B99" w:rsidRPr="006B3B99">
        <w:rPr>
          <w:rFonts w:ascii="Book Antiqua" w:hAnsi="Book Antiqua" w:cs="Times New Roman"/>
          <w:color w:val="0070C0"/>
          <w:sz w:val="16"/>
          <w:szCs w:val="16"/>
        </w:rPr>
        <w:t xml:space="preserve">Roy </w:t>
      </w:r>
      <w:r w:rsidR="006B3B99" w:rsidRPr="006B3B99">
        <w:rPr>
          <w:rFonts w:ascii="Book Antiqua" w:hAnsi="Book Antiqua" w:cs="Times New Roman"/>
          <w:i/>
          <w:iCs/>
          <w:color w:val="0070C0"/>
          <w:sz w:val="16"/>
          <w:szCs w:val="16"/>
        </w:rPr>
        <w:t>et al.,</w:t>
      </w:r>
      <w:r w:rsidR="006B3B99" w:rsidRPr="006B3B99">
        <w:rPr>
          <w:rFonts w:ascii="Book Antiqua" w:hAnsi="Book Antiqua" w:cs="Times New Roman"/>
          <w:color w:val="0070C0"/>
          <w:sz w:val="16"/>
          <w:szCs w:val="16"/>
        </w:rPr>
        <w:t xml:space="preserve"> 2024</w:t>
      </w:r>
      <w:r w:rsidR="006B3B99" w:rsidRPr="006B3B99">
        <w:rPr>
          <w:rFonts w:ascii="Book Antiqua" w:hAnsi="Book Antiqua" w:cs="Times New Roman"/>
          <w:sz w:val="16"/>
          <w:szCs w:val="16"/>
        </w:rPr>
        <w:t>) confirms this pattern, finding that women's MFS adoption in Bangladesh is shaped as much by household negotiation dynamics as by service availability.</w:t>
      </w:r>
    </w:p>
    <w:p w14:paraId="0D5A41C4" w14:textId="51825A2D" w:rsidR="00B63A20" w:rsidRPr="002D6278" w:rsidRDefault="000932B0" w:rsidP="000932B0">
      <w:pPr>
        <w:jc w:val="both"/>
        <w:rPr>
          <w:rFonts w:ascii="Book Antiqua" w:hAnsi="Book Antiqua" w:cs="Times New Roman"/>
          <w:sz w:val="16"/>
          <w:szCs w:val="16"/>
        </w:rPr>
      </w:pPr>
      <w:r w:rsidRPr="000932B0">
        <w:rPr>
          <w:rFonts w:ascii="Book Antiqua" w:hAnsi="Book Antiqua" w:cs="Times New Roman"/>
          <w:sz w:val="16"/>
          <w:szCs w:val="16"/>
        </w:rPr>
        <w:t>• Experimental and user-testing designs (</w:t>
      </w:r>
      <w:r w:rsidR="003A3E11" w:rsidRPr="003A3E11">
        <w:rPr>
          <w:rFonts w:ascii="Book Antiqua" w:hAnsi="Book Antiqua" w:cs="Times New Roman"/>
          <w:color w:val="0070C0"/>
          <w:sz w:val="16"/>
          <w:szCs w:val="16"/>
        </w:rPr>
        <w:t xml:space="preserve">Lee </w:t>
      </w:r>
      <w:r w:rsidR="003A3E11" w:rsidRPr="003A3E11">
        <w:rPr>
          <w:rFonts w:ascii="Book Antiqua" w:hAnsi="Book Antiqua" w:cs="Times New Roman"/>
          <w:i/>
          <w:iCs/>
          <w:color w:val="0070C0"/>
          <w:sz w:val="16"/>
          <w:szCs w:val="16"/>
        </w:rPr>
        <w:t>et al.,</w:t>
      </w:r>
      <w:r w:rsidR="003A3E11" w:rsidRPr="003A3E11">
        <w:rPr>
          <w:rFonts w:ascii="Book Antiqua" w:hAnsi="Book Antiqua" w:cs="Times New Roman"/>
          <w:color w:val="0070C0"/>
          <w:sz w:val="16"/>
          <w:szCs w:val="16"/>
        </w:rPr>
        <w:t xml:space="preserve"> 2021</w:t>
      </w:r>
      <w:r w:rsidRPr="000932B0">
        <w:rPr>
          <w:rFonts w:ascii="Book Antiqua" w:hAnsi="Book Antiqua" w:cs="Times New Roman"/>
          <w:sz w:val="16"/>
          <w:szCs w:val="16"/>
        </w:rPr>
        <w:t>) report high</w:t>
      </w:r>
      <w:r w:rsidR="00034456">
        <w:rPr>
          <w:rFonts w:ascii="Book Antiqua" w:hAnsi="Book Antiqua" w:cs="Times New Roman"/>
          <w:sz w:val="16"/>
          <w:szCs w:val="16"/>
        </w:rPr>
        <w:t>ly</w:t>
      </w:r>
      <w:r w:rsidRPr="000932B0">
        <w:rPr>
          <w:rFonts w:ascii="Book Antiqua" w:hAnsi="Book Antiqua" w:cs="Times New Roman"/>
          <w:sz w:val="16"/>
          <w:szCs w:val="16"/>
        </w:rPr>
        <w:t xml:space="preserve"> positive adoption metrics when privacy sub-wallets or iconographic interfaces are introduced. However, these studies evaluate short-term interventions in controlled environments, failing to measure long-term household power shifts or commercial viability</w:t>
      </w:r>
      <w:r w:rsidR="003A3E11">
        <w:rPr>
          <w:rFonts w:ascii="Book Antiqua" w:hAnsi="Book Antiqua" w:cs="Times New Roman"/>
          <w:sz w:val="16"/>
          <w:szCs w:val="16"/>
        </w:rPr>
        <w:t xml:space="preserve"> </w:t>
      </w:r>
      <w:r w:rsidR="00D210F4">
        <w:rPr>
          <w:rFonts w:ascii="Book Antiqua" w:hAnsi="Book Antiqua" w:cs="Times New Roman"/>
          <w:sz w:val="16"/>
          <w:szCs w:val="16"/>
        </w:rPr>
        <w:t>(</w:t>
      </w:r>
      <w:r w:rsidR="00D210F4" w:rsidRPr="00D210F4">
        <w:rPr>
          <w:rFonts w:ascii="Book Antiqua" w:hAnsi="Book Antiqua" w:cs="Times New Roman"/>
          <w:color w:val="0070C0"/>
          <w:sz w:val="16"/>
          <w:szCs w:val="16"/>
        </w:rPr>
        <w:t xml:space="preserve">Jack </w:t>
      </w:r>
      <w:r w:rsidR="00D210F4">
        <w:rPr>
          <w:rFonts w:ascii="Book Antiqua" w:hAnsi="Book Antiqua" w:cs="Times New Roman"/>
          <w:color w:val="0070C0"/>
          <w:sz w:val="16"/>
          <w:szCs w:val="16"/>
        </w:rPr>
        <w:t>and</w:t>
      </w:r>
      <w:r w:rsidR="00D210F4" w:rsidRPr="00D210F4">
        <w:rPr>
          <w:rFonts w:ascii="Book Antiqua" w:hAnsi="Book Antiqua" w:cs="Times New Roman"/>
          <w:color w:val="0070C0"/>
          <w:sz w:val="16"/>
          <w:szCs w:val="16"/>
        </w:rPr>
        <w:t xml:space="preserve"> Suri, 2014; Sumi</w:t>
      </w:r>
      <w:r w:rsidR="00D210F4">
        <w:rPr>
          <w:rFonts w:ascii="Book Antiqua" w:hAnsi="Book Antiqua" w:cs="Times New Roman"/>
          <w:color w:val="0070C0"/>
          <w:sz w:val="16"/>
          <w:szCs w:val="16"/>
        </w:rPr>
        <w:t xml:space="preserve"> </w:t>
      </w:r>
      <w:r w:rsidR="00345DD2" w:rsidRPr="00345DD2">
        <w:rPr>
          <w:rFonts w:ascii="Book Antiqua" w:hAnsi="Book Antiqua" w:cs="Times New Roman"/>
          <w:i/>
          <w:iCs/>
          <w:color w:val="0070C0"/>
          <w:sz w:val="16"/>
          <w:szCs w:val="16"/>
        </w:rPr>
        <w:t>et al.</w:t>
      </w:r>
      <w:r w:rsidR="00D210F4" w:rsidRPr="00345DD2">
        <w:rPr>
          <w:rFonts w:ascii="Book Antiqua" w:hAnsi="Book Antiqua" w:cs="Times New Roman"/>
          <w:i/>
          <w:iCs/>
          <w:color w:val="0070C0"/>
          <w:sz w:val="16"/>
          <w:szCs w:val="16"/>
        </w:rPr>
        <w:t>,</w:t>
      </w:r>
      <w:r w:rsidR="00D210F4" w:rsidRPr="00D210F4">
        <w:rPr>
          <w:rFonts w:ascii="Book Antiqua" w:hAnsi="Book Antiqua" w:cs="Times New Roman"/>
          <w:color w:val="0070C0"/>
          <w:sz w:val="16"/>
          <w:szCs w:val="16"/>
        </w:rPr>
        <w:t xml:space="preserve"> 2025</w:t>
      </w:r>
      <w:r w:rsidR="00D210F4">
        <w:rPr>
          <w:rFonts w:ascii="Book Antiqua" w:hAnsi="Book Antiqua" w:cs="Times New Roman"/>
          <w:sz w:val="16"/>
          <w:szCs w:val="16"/>
        </w:rPr>
        <w:t>)</w:t>
      </w:r>
      <w:r w:rsidRPr="000932B0">
        <w:rPr>
          <w:rFonts w:ascii="Book Antiqua" w:hAnsi="Book Antiqua" w:cs="Times New Roman"/>
          <w:sz w:val="16"/>
          <w:szCs w:val="16"/>
        </w:rPr>
        <w:t>.</w:t>
      </w:r>
    </w:p>
    <w:p w14:paraId="6C6BBCCD" w14:textId="6CD5C920" w:rsidR="0079041E" w:rsidRPr="002D6278" w:rsidRDefault="007D71AA" w:rsidP="000D6C5A">
      <w:pPr>
        <w:jc w:val="both"/>
        <w:rPr>
          <w:rFonts w:ascii="Book Antiqua" w:hAnsi="Book Antiqua" w:cs="Times New Roman"/>
          <w:sz w:val="16"/>
          <w:szCs w:val="16"/>
        </w:rPr>
      </w:pPr>
      <w:r w:rsidRPr="002D6278">
        <w:rPr>
          <w:rFonts w:ascii="Book Antiqua" w:hAnsi="Book Antiqua" w:cs="Times New Roman"/>
          <w:b/>
          <w:bCs/>
          <w:sz w:val="16"/>
          <w:szCs w:val="16"/>
        </w:rPr>
        <w:t xml:space="preserve">Table </w:t>
      </w:r>
      <w:r w:rsidR="00E1250A" w:rsidRPr="002D6278">
        <w:rPr>
          <w:rFonts w:ascii="Book Antiqua" w:hAnsi="Book Antiqua" w:cs="Times New Roman"/>
          <w:b/>
          <w:bCs/>
          <w:sz w:val="16"/>
          <w:szCs w:val="16"/>
        </w:rPr>
        <w:t>1</w:t>
      </w:r>
      <w:r w:rsidRPr="002D6278">
        <w:rPr>
          <w:rFonts w:ascii="Book Antiqua" w:hAnsi="Book Antiqua" w:cs="Times New Roman"/>
          <w:b/>
          <w:bCs/>
          <w:sz w:val="16"/>
          <w:szCs w:val="16"/>
        </w:rPr>
        <w:t xml:space="preserve">: </w:t>
      </w:r>
      <w:r w:rsidR="00856D96" w:rsidRPr="002D6278">
        <w:rPr>
          <w:rFonts w:ascii="Book Antiqua" w:hAnsi="Book Antiqua" w:cs="Times New Roman"/>
          <w:b/>
          <w:bCs/>
          <w:sz w:val="16"/>
          <w:szCs w:val="16"/>
        </w:rPr>
        <w:t>Thematic, Methodological, and Geographic Gap Summary</w:t>
      </w:r>
    </w:p>
    <w:tbl>
      <w:tblPr>
        <w:tblW w:w="91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992"/>
        <w:gridCol w:w="3544"/>
        <w:gridCol w:w="2771"/>
      </w:tblGrid>
      <w:tr w:rsidR="007D71AA" w:rsidRPr="002D6278" w14:paraId="28A474B8" w14:textId="77777777" w:rsidTr="009958B5">
        <w:trPr>
          <w:trHeight w:val="327"/>
        </w:trPr>
        <w:tc>
          <w:tcPr>
            <w:tcW w:w="1838" w:type="dxa"/>
            <w:tcBorders>
              <w:top w:val="single" w:sz="4" w:space="0" w:color="auto"/>
              <w:left w:val="single" w:sz="4" w:space="0" w:color="auto"/>
              <w:bottom w:val="single" w:sz="4" w:space="0" w:color="auto"/>
              <w:right w:val="single" w:sz="4" w:space="0" w:color="auto"/>
            </w:tcBorders>
            <w:vAlign w:val="center"/>
          </w:tcPr>
          <w:p w14:paraId="253E8EFD" w14:textId="77777777" w:rsidR="007D71AA" w:rsidRPr="00DC3855" w:rsidRDefault="007D71AA" w:rsidP="00B26D99">
            <w:pPr>
              <w:spacing w:after="0"/>
              <w:jc w:val="center"/>
              <w:rPr>
                <w:rFonts w:ascii="Book Antiqua" w:hAnsi="Book Antiqua" w:cs="Times New Roman"/>
                <w:color w:val="0070C0"/>
                <w:sz w:val="16"/>
                <w:szCs w:val="16"/>
              </w:rPr>
            </w:pPr>
            <w:r w:rsidRPr="00DC3855">
              <w:rPr>
                <w:rFonts w:ascii="Book Antiqua" w:hAnsi="Book Antiqua" w:cs="Times New Roman"/>
                <w:b/>
                <w:bCs/>
                <w:color w:val="0070C0"/>
                <w:sz w:val="16"/>
                <w:szCs w:val="16"/>
              </w:rPr>
              <w:t>Theme</w:t>
            </w:r>
          </w:p>
        </w:tc>
        <w:tc>
          <w:tcPr>
            <w:tcW w:w="992" w:type="dxa"/>
            <w:tcBorders>
              <w:top w:val="single" w:sz="4" w:space="0" w:color="auto"/>
              <w:left w:val="single" w:sz="4" w:space="0" w:color="auto"/>
              <w:bottom w:val="single" w:sz="4" w:space="0" w:color="auto"/>
              <w:right w:val="single" w:sz="4" w:space="0" w:color="auto"/>
            </w:tcBorders>
            <w:vAlign w:val="center"/>
          </w:tcPr>
          <w:p w14:paraId="6C003F5F" w14:textId="77777777" w:rsidR="007D71AA" w:rsidRPr="00DC3855" w:rsidRDefault="007D71AA" w:rsidP="00B26D99">
            <w:pPr>
              <w:spacing w:after="0"/>
              <w:jc w:val="center"/>
              <w:rPr>
                <w:rFonts w:ascii="Book Antiqua" w:hAnsi="Book Antiqua" w:cs="Times New Roman"/>
                <w:color w:val="0070C0"/>
                <w:sz w:val="16"/>
                <w:szCs w:val="16"/>
              </w:rPr>
            </w:pPr>
            <w:r w:rsidRPr="00DC3855">
              <w:rPr>
                <w:rFonts w:ascii="Book Antiqua" w:hAnsi="Book Antiqua" w:cs="Times New Roman"/>
                <w:b/>
                <w:bCs/>
                <w:color w:val="0070C0"/>
                <w:sz w:val="16"/>
                <w:szCs w:val="16"/>
              </w:rPr>
              <w:t>Maturity</w:t>
            </w:r>
          </w:p>
        </w:tc>
        <w:tc>
          <w:tcPr>
            <w:tcW w:w="3544" w:type="dxa"/>
            <w:tcBorders>
              <w:top w:val="single" w:sz="4" w:space="0" w:color="auto"/>
              <w:left w:val="single" w:sz="4" w:space="0" w:color="auto"/>
              <w:bottom w:val="single" w:sz="4" w:space="0" w:color="auto"/>
              <w:right w:val="single" w:sz="4" w:space="0" w:color="auto"/>
            </w:tcBorders>
            <w:vAlign w:val="center"/>
          </w:tcPr>
          <w:p w14:paraId="608C19F1" w14:textId="4A83E514" w:rsidR="007D71AA" w:rsidRPr="002D01CD" w:rsidRDefault="007D71AA" w:rsidP="009958B5">
            <w:pPr>
              <w:spacing w:after="0"/>
              <w:rPr>
                <w:rFonts w:ascii="Book Antiqua" w:hAnsi="Book Antiqua" w:cs="Times New Roman"/>
                <w:b/>
                <w:bCs/>
                <w:color w:val="0070C0"/>
                <w:sz w:val="16"/>
                <w:szCs w:val="16"/>
              </w:rPr>
            </w:pPr>
            <w:r w:rsidRPr="00DC3855">
              <w:rPr>
                <w:rFonts w:ascii="Book Antiqua" w:hAnsi="Book Antiqua" w:cs="Times New Roman"/>
                <w:b/>
                <w:bCs/>
                <w:color w:val="0070C0"/>
                <w:sz w:val="16"/>
                <w:szCs w:val="16"/>
              </w:rPr>
              <w:t xml:space="preserve">Dominant Methods </w:t>
            </w:r>
            <w:r w:rsidR="0021031C">
              <w:rPr>
                <w:rFonts w:ascii="Book Antiqua" w:hAnsi="Book Antiqua" w:cs="Times New Roman"/>
                <w:b/>
                <w:bCs/>
                <w:color w:val="0070C0"/>
                <w:sz w:val="16"/>
                <w:szCs w:val="16"/>
              </w:rPr>
              <w:t xml:space="preserve">&amp; </w:t>
            </w:r>
            <w:r w:rsidRPr="00DC3855">
              <w:rPr>
                <w:rFonts w:ascii="Book Antiqua" w:hAnsi="Book Antiqua" w:cs="Times New Roman"/>
                <w:b/>
                <w:bCs/>
                <w:color w:val="0070C0"/>
                <w:sz w:val="16"/>
                <w:szCs w:val="16"/>
              </w:rPr>
              <w:t>Geograph</w:t>
            </w:r>
            <w:r w:rsidR="009958B5">
              <w:rPr>
                <w:rFonts w:ascii="Book Antiqua" w:hAnsi="Book Antiqua" w:cs="Times New Roman"/>
                <w:b/>
                <w:bCs/>
                <w:color w:val="0070C0"/>
                <w:sz w:val="16"/>
                <w:szCs w:val="16"/>
              </w:rPr>
              <w:t xml:space="preserve">y </w:t>
            </w:r>
            <w:r w:rsidRPr="00DC3855">
              <w:rPr>
                <w:rFonts w:ascii="Book Antiqua" w:hAnsi="Book Antiqua" w:cs="Times New Roman"/>
                <w:b/>
                <w:bCs/>
                <w:color w:val="0070C0"/>
                <w:sz w:val="16"/>
                <w:szCs w:val="16"/>
              </w:rPr>
              <w:t>Coverage</w:t>
            </w:r>
          </w:p>
        </w:tc>
        <w:tc>
          <w:tcPr>
            <w:tcW w:w="2771" w:type="dxa"/>
            <w:tcBorders>
              <w:top w:val="single" w:sz="4" w:space="0" w:color="auto"/>
              <w:left w:val="single" w:sz="4" w:space="0" w:color="auto"/>
              <w:bottom w:val="single" w:sz="4" w:space="0" w:color="auto"/>
              <w:right w:val="single" w:sz="4" w:space="0" w:color="auto"/>
            </w:tcBorders>
            <w:vAlign w:val="center"/>
          </w:tcPr>
          <w:p w14:paraId="79CC2B42" w14:textId="77777777" w:rsidR="007D71AA" w:rsidRPr="00DC3855" w:rsidRDefault="007D71AA" w:rsidP="00B26D99">
            <w:pPr>
              <w:spacing w:after="0"/>
              <w:jc w:val="center"/>
              <w:rPr>
                <w:rFonts w:ascii="Book Antiqua" w:hAnsi="Book Antiqua" w:cs="Times New Roman"/>
                <w:color w:val="0070C0"/>
                <w:sz w:val="16"/>
                <w:szCs w:val="16"/>
              </w:rPr>
            </w:pPr>
            <w:r w:rsidRPr="00DC3855">
              <w:rPr>
                <w:rFonts w:ascii="Book Antiqua" w:hAnsi="Book Antiqua" w:cs="Times New Roman"/>
                <w:b/>
                <w:bCs/>
                <w:color w:val="0070C0"/>
                <w:sz w:val="16"/>
                <w:szCs w:val="16"/>
              </w:rPr>
              <w:t>Identified Gap</w:t>
            </w:r>
          </w:p>
        </w:tc>
      </w:tr>
      <w:tr w:rsidR="007D71AA" w:rsidRPr="002D6278" w14:paraId="1D6C6C63" w14:textId="77777777" w:rsidTr="009958B5">
        <w:trPr>
          <w:trHeight w:val="127"/>
        </w:trPr>
        <w:tc>
          <w:tcPr>
            <w:tcW w:w="1838" w:type="dxa"/>
            <w:tcBorders>
              <w:top w:val="single" w:sz="4" w:space="0" w:color="auto"/>
              <w:left w:val="single" w:sz="4" w:space="0" w:color="auto"/>
              <w:bottom w:val="single" w:sz="4" w:space="0" w:color="auto"/>
              <w:right w:val="single" w:sz="4" w:space="0" w:color="auto"/>
            </w:tcBorders>
            <w:vAlign w:val="center"/>
          </w:tcPr>
          <w:p w14:paraId="481E867E" w14:textId="1221D7E3"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Gender gap in account ownership</w:t>
            </w:r>
          </w:p>
        </w:tc>
        <w:tc>
          <w:tcPr>
            <w:tcW w:w="992" w:type="dxa"/>
            <w:tcBorders>
              <w:top w:val="single" w:sz="4" w:space="0" w:color="auto"/>
              <w:left w:val="single" w:sz="4" w:space="0" w:color="auto"/>
              <w:bottom w:val="single" w:sz="4" w:space="0" w:color="auto"/>
              <w:right w:val="single" w:sz="4" w:space="0" w:color="auto"/>
            </w:tcBorders>
            <w:vAlign w:val="center"/>
          </w:tcPr>
          <w:p w14:paraId="561A6CD5" w14:textId="77777777"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Mature</w:t>
            </w:r>
          </w:p>
        </w:tc>
        <w:tc>
          <w:tcPr>
            <w:tcW w:w="3544" w:type="dxa"/>
            <w:tcBorders>
              <w:top w:val="single" w:sz="4" w:space="0" w:color="auto"/>
              <w:left w:val="single" w:sz="4" w:space="0" w:color="auto"/>
              <w:bottom w:val="single" w:sz="4" w:space="0" w:color="auto"/>
              <w:right w:val="single" w:sz="4" w:space="0" w:color="auto"/>
            </w:tcBorders>
            <w:vAlign w:val="center"/>
          </w:tcPr>
          <w:p w14:paraId="4ECE1825" w14:textId="00CD4CBF"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Cross-sectional household surveys; India, Bangladesh, Pakistan</w:t>
            </w:r>
            <w:r w:rsidR="00E4687D">
              <w:rPr>
                <w:rFonts w:ascii="Book Antiqua" w:hAnsi="Book Antiqua" w:cs="Times New Roman"/>
                <w:sz w:val="16"/>
                <w:szCs w:val="16"/>
              </w:rPr>
              <w:t>.</w:t>
            </w:r>
          </w:p>
        </w:tc>
        <w:tc>
          <w:tcPr>
            <w:tcW w:w="2771" w:type="dxa"/>
            <w:tcBorders>
              <w:top w:val="single" w:sz="4" w:space="0" w:color="auto"/>
              <w:left w:val="single" w:sz="4" w:space="0" w:color="auto"/>
              <w:bottom w:val="single" w:sz="4" w:space="0" w:color="auto"/>
              <w:right w:val="single" w:sz="4" w:space="0" w:color="auto"/>
            </w:tcBorders>
            <w:vAlign w:val="center"/>
          </w:tcPr>
          <w:p w14:paraId="53812B71" w14:textId="526B7DFE" w:rsidR="007D71AA" w:rsidRPr="002D6278" w:rsidRDefault="00755F5B" w:rsidP="008747BC">
            <w:pPr>
              <w:spacing w:after="0"/>
              <w:rPr>
                <w:rFonts w:ascii="Book Antiqua" w:hAnsi="Book Antiqua" w:cs="Times New Roman"/>
                <w:sz w:val="16"/>
                <w:szCs w:val="16"/>
              </w:rPr>
            </w:pPr>
            <w:r w:rsidRPr="00755F5B">
              <w:rPr>
                <w:rFonts w:ascii="Book Antiqua" w:hAnsi="Book Antiqua" w:cs="Times New Roman"/>
                <w:sz w:val="16"/>
                <w:szCs w:val="16"/>
              </w:rPr>
              <w:t xml:space="preserve">Nepal and Sri Lanka </w:t>
            </w:r>
            <w:r w:rsidR="006F39AC">
              <w:rPr>
                <w:rFonts w:ascii="Book Antiqua" w:hAnsi="Book Antiqua" w:cs="Times New Roman"/>
                <w:sz w:val="16"/>
                <w:szCs w:val="16"/>
              </w:rPr>
              <w:t>are</w:t>
            </w:r>
            <w:r w:rsidR="00E4687D">
              <w:rPr>
                <w:rFonts w:ascii="Book Antiqua" w:hAnsi="Book Antiqua" w:cs="Times New Roman"/>
                <w:sz w:val="16"/>
                <w:szCs w:val="16"/>
              </w:rPr>
              <w:t xml:space="preserve"> </w:t>
            </w:r>
            <w:r w:rsidRPr="00755F5B">
              <w:rPr>
                <w:rFonts w:ascii="Book Antiqua" w:hAnsi="Book Antiqua" w:cs="Times New Roman"/>
                <w:sz w:val="16"/>
                <w:szCs w:val="16"/>
              </w:rPr>
              <w:t>severely unrepresented</w:t>
            </w:r>
            <w:r>
              <w:rPr>
                <w:rFonts w:ascii="Book Antiqua" w:hAnsi="Book Antiqua" w:cs="Times New Roman"/>
                <w:sz w:val="16"/>
                <w:szCs w:val="16"/>
              </w:rPr>
              <w:t>.</w:t>
            </w:r>
          </w:p>
        </w:tc>
      </w:tr>
      <w:tr w:rsidR="007D71AA" w:rsidRPr="002D6278" w14:paraId="2FF34178" w14:textId="77777777" w:rsidTr="009958B5">
        <w:trPr>
          <w:trHeight w:val="106"/>
        </w:trPr>
        <w:tc>
          <w:tcPr>
            <w:tcW w:w="1838" w:type="dxa"/>
            <w:tcBorders>
              <w:top w:val="single" w:sz="4" w:space="0" w:color="auto"/>
              <w:left w:val="single" w:sz="4" w:space="0" w:color="auto"/>
              <w:bottom w:val="single" w:sz="4" w:space="0" w:color="auto"/>
              <w:right w:val="single" w:sz="4" w:space="0" w:color="auto"/>
            </w:tcBorders>
            <w:vAlign w:val="center"/>
          </w:tcPr>
          <w:p w14:paraId="6386DFBD" w14:textId="67788930"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Patriarchal control over accounts</w:t>
            </w:r>
          </w:p>
        </w:tc>
        <w:tc>
          <w:tcPr>
            <w:tcW w:w="992" w:type="dxa"/>
            <w:tcBorders>
              <w:top w:val="single" w:sz="4" w:space="0" w:color="auto"/>
              <w:left w:val="single" w:sz="4" w:space="0" w:color="auto"/>
              <w:bottom w:val="single" w:sz="4" w:space="0" w:color="auto"/>
              <w:right w:val="single" w:sz="4" w:space="0" w:color="auto"/>
            </w:tcBorders>
            <w:vAlign w:val="center"/>
          </w:tcPr>
          <w:p w14:paraId="48424454" w14:textId="77777777"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Mature</w:t>
            </w:r>
          </w:p>
        </w:tc>
        <w:tc>
          <w:tcPr>
            <w:tcW w:w="3544" w:type="dxa"/>
            <w:tcBorders>
              <w:top w:val="single" w:sz="4" w:space="0" w:color="auto"/>
              <w:left w:val="single" w:sz="4" w:space="0" w:color="auto"/>
              <w:bottom w:val="single" w:sz="4" w:space="0" w:color="auto"/>
              <w:right w:val="single" w:sz="4" w:space="0" w:color="auto"/>
            </w:tcBorders>
            <w:vAlign w:val="center"/>
          </w:tcPr>
          <w:p w14:paraId="31442F38" w14:textId="5F05FC33"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 xml:space="preserve">Mixed-methods </w:t>
            </w:r>
            <w:r w:rsidR="000A7F48" w:rsidRPr="002D6278">
              <w:rPr>
                <w:rFonts w:ascii="Book Antiqua" w:hAnsi="Book Antiqua" w:cs="Times New Roman"/>
                <w:sz w:val="16"/>
                <w:szCs w:val="16"/>
              </w:rPr>
              <w:t>interviews and field-tracking</w:t>
            </w:r>
            <w:r w:rsidRPr="002D6278">
              <w:rPr>
                <w:rFonts w:ascii="Book Antiqua" w:hAnsi="Book Antiqua" w:cs="Times New Roman"/>
                <w:sz w:val="16"/>
                <w:szCs w:val="16"/>
              </w:rPr>
              <w:t>; Bangladesh, Pakistan</w:t>
            </w:r>
            <w:r w:rsidR="00E4687D">
              <w:rPr>
                <w:rFonts w:ascii="Book Antiqua" w:hAnsi="Book Antiqua" w:cs="Times New Roman"/>
                <w:sz w:val="16"/>
                <w:szCs w:val="16"/>
              </w:rPr>
              <w:t>.</w:t>
            </w:r>
          </w:p>
        </w:tc>
        <w:tc>
          <w:tcPr>
            <w:tcW w:w="2771" w:type="dxa"/>
            <w:tcBorders>
              <w:top w:val="single" w:sz="4" w:space="0" w:color="auto"/>
              <w:left w:val="single" w:sz="4" w:space="0" w:color="auto"/>
              <w:bottom w:val="single" w:sz="4" w:space="0" w:color="auto"/>
              <w:right w:val="single" w:sz="4" w:space="0" w:color="auto"/>
            </w:tcBorders>
            <w:vAlign w:val="center"/>
          </w:tcPr>
          <w:p w14:paraId="1FD455FB" w14:textId="0F8E749F" w:rsidR="007D71AA" w:rsidRPr="002D6278" w:rsidRDefault="00170A29" w:rsidP="008747BC">
            <w:pPr>
              <w:spacing w:after="0"/>
              <w:rPr>
                <w:rFonts w:ascii="Book Antiqua" w:hAnsi="Book Antiqua" w:cs="Times New Roman"/>
                <w:sz w:val="16"/>
                <w:szCs w:val="16"/>
              </w:rPr>
            </w:pPr>
            <w:r w:rsidRPr="00170A29">
              <w:rPr>
                <w:rFonts w:ascii="Book Antiqua" w:hAnsi="Book Antiqua" w:cs="Times New Roman"/>
                <w:sz w:val="16"/>
                <w:szCs w:val="16"/>
              </w:rPr>
              <w:t>Longitudinal impact on agency unmeasured</w:t>
            </w:r>
            <w:r>
              <w:rPr>
                <w:rFonts w:ascii="Book Antiqua" w:hAnsi="Book Antiqua" w:cs="Times New Roman"/>
                <w:sz w:val="16"/>
                <w:szCs w:val="16"/>
              </w:rPr>
              <w:t>.</w:t>
            </w:r>
          </w:p>
        </w:tc>
      </w:tr>
      <w:tr w:rsidR="007D71AA" w:rsidRPr="002D6278" w14:paraId="00D147D2" w14:textId="77777777" w:rsidTr="009958B5">
        <w:trPr>
          <w:trHeight w:val="54"/>
        </w:trPr>
        <w:tc>
          <w:tcPr>
            <w:tcW w:w="1838" w:type="dxa"/>
            <w:tcBorders>
              <w:top w:val="single" w:sz="4" w:space="0" w:color="auto"/>
              <w:left w:val="single" w:sz="4" w:space="0" w:color="auto"/>
              <w:bottom w:val="single" w:sz="4" w:space="0" w:color="auto"/>
              <w:right w:val="single" w:sz="4" w:space="0" w:color="auto"/>
            </w:tcBorders>
            <w:vAlign w:val="center"/>
          </w:tcPr>
          <w:p w14:paraId="5DD3926A" w14:textId="67F18B0C"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 xml:space="preserve">Technology acceptance </w:t>
            </w:r>
          </w:p>
        </w:tc>
        <w:tc>
          <w:tcPr>
            <w:tcW w:w="992" w:type="dxa"/>
            <w:tcBorders>
              <w:top w:val="single" w:sz="4" w:space="0" w:color="auto"/>
              <w:left w:val="single" w:sz="4" w:space="0" w:color="auto"/>
              <w:bottom w:val="single" w:sz="4" w:space="0" w:color="auto"/>
              <w:right w:val="single" w:sz="4" w:space="0" w:color="auto"/>
            </w:tcBorders>
            <w:vAlign w:val="center"/>
          </w:tcPr>
          <w:p w14:paraId="18A4CDEB" w14:textId="77777777"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Emerging</w:t>
            </w:r>
          </w:p>
        </w:tc>
        <w:tc>
          <w:tcPr>
            <w:tcW w:w="3544" w:type="dxa"/>
            <w:tcBorders>
              <w:top w:val="single" w:sz="4" w:space="0" w:color="auto"/>
              <w:left w:val="single" w:sz="4" w:space="0" w:color="auto"/>
              <w:bottom w:val="single" w:sz="4" w:space="0" w:color="auto"/>
              <w:right w:val="single" w:sz="4" w:space="0" w:color="auto"/>
            </w:tcBorders>
            <w:vAlign w:val="center"/>
          </w:tcPr>
          <w:p w14:paraId="057C68F2" w14:textId="03A90EF1"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Survey-based structural models; India, Pakistan, Bangladesh</w:t>
            </w:r>
            <w:r w:rsidR="00E4687D">
              <w:rPr>
                <w:rFonts w:ascii="Book Antiqua" w:hAnsi="Book Antiqua" w:cs="Times New Roman"/>
                <w:sz w:val="16"/>
                <w:szCs w:val="16"/>
              </w:rPr>
              <w:t>.</w:t>
            </w:r>
          </w:p>
        </w:tc>
        <w:tc>
          <w:tcPr>
            <w:tcW w:w="2771" w:type="dxa"/>
            <w:tcBorders>
              <w:top w:val="single" w:sz="4" w:space="0" w:color="auto"/>
              <w:left w:val="single" w:sz="4" w:space="0" w:color="auto"/>
              <w:bottom w:val="single" w:sz="4" w:space="0" w:color="auto"/>
              <w:right w:val="single" w:sz="4" w:space="0" w:color="auto"/>
            </w:tcBorders>
            <w:vAlign w:val="center"/>
          </w:tcPr>
          <w:p w14:paraId="10D2C4B7" w14:textId="6F1804DD" w:rsidR="007D71AA" w:rsidRPr="002D6278" w:rsidRDefault="00344771" w:rsidP="008747BC">
            <w:pPr>
              <w:spacing w:after="0"/>
              <w:rPr>
                <w:rFonts w:ascii="Book Antiqua" w:hAnsi="Book Antiqua" w:cs="Times New Roman"/>
                <w:sz w:val="16"/>
                <w:szCs w:val="16"/>
              </w:rPr>
            </w:pPr>
            <w:r w:rsidRPr="00344771">
              <w:rPr>
                <w:rFonts w:ascii="Book Antiqua" w:hAnsi="Book Antiqua" w:cs="Times New Roman"/>
                <w:sz w:val="16"/>
                <w:szCs w:val="16"/>
              </w:rPr>
              <w:t>Ignores shared-device dynamics and coercion</w:t>
            </w:r>
            <w:r>
              <w:rPr>
                <w:rFonts w:ascii="Book Antiqua" w:hAnsi="Book Antiqua" w:cs="Times New Roman"/>
                <w:sz w:val="16"/>
                <w:szCs w:val="16"/>
              </w:rPr>
              <w:t>.</w:t>
            </w:r>
          </w:p>
        </w:tc>
      </w:tr>
      <w:tr w:rsidR="007D71AA" w:rsidRPr="002D6278" w14:paraId="12406109" w14:textId="77777777" w:rsidTr="009958B5">
        <w:trPr>
          <w:trHeight w:val="54"/>
        </w:trPr>
        <w:tc>
          <w:tcPr>
            <w:tcW w:w="1838" w:type="dxa"/>
            <w:tcBorders>
              <w:top w:val="single" w:sz="4" w:space="0" w:color="auto"/>
              <w:left w:val="single" w:sz="4" w:space="0" w:color="auto"/>
              <w:bottom w:val="single" w:sz="4" w:space="0" w:color="auto"/>
              <w:right w:val="single" w:sz="4" w:space="0" w:color="auto"/>
            </w:tcBorders>
            <w:vAlign w:val="center"/>
          </w:tcPr>
          <w:p w14:paraId="77BD04A0" w14:textId="0FEE2468"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 xml:space="preserve">Group-based social capital </w:t>
            </w:r>
            <w:r w:rsidR="00C9680F" w:rsidRPr="002D6278">
              <w:rPr>
                <w:rFonts w:ascii="Book Antiqua" w:hAnsi="Book Antiqua" w:cs="Times New Roman"/>
                <w:sz w:val="16"/>
                <w:szCs w:val="16"/>
              </w:rPr>
              <w:t xml:space="preserve">savings </w:t>
            </w:r>
          </w:p>
        </w:tc>
        <w:tc>
          <w:tcPr>
            <w:tcW w:w="992" w:type="dxa"/>
            <w:tcBorders>
              <w:top w:val="single" w:sz="4" w:space="0" w:color="auto"/>
              <w:left w:val="single" w:sz="4" w:space="0" w:color="auto"/>
              <w:bottom w:val="single" w:sz="4" w:space="0" w:color="auto"/>
              <w:right w:val="single" w:sz="4" w:space="0" w:color="auto"/>
            </w:tcBorders>
            <w:vAlign w:val="center"/>
          </w:tcPr>
          <w:p w14:paraId="296756F4" w14:textId="77777777"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Emerging</w:t>
            </w:r>
          </w:p>
        </w:tc>
        <w:tc>
          <w:tcPr>
            <w:tcW w:w="3544" w:type="dxa"/>
            <w:tcBorders>
              <w:top w:val="single" w:sz="4" w:space="0" w:color="auto"/>
              <w:left w:val="single" w:sz="4" w:space="0" w:color="auto"/>
              <w:bottom w:val="single" w:sz="4" w:space="0" w:color="auto"/>
              <w:right w:val="single" w:sz="4" w:space="0" w:color="auto"/>
            </w:tcBorders>
            <w:vAlign w:val="center"/>
          </w:tcPr>
          <w:p w14:paraId="7C7F9226" w14:textId="07AEED66"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Programme evaluations, cash-plus literature; cross-country</w:t>
            </w:r>
            <w:r w:rsidR="00814A1B" w:rsidRPr="002D6278">
              <w:rPr>
                <w:rFonts w:ascii="Book Antiqua" w:hAnsi="Book Antiqua" w:cs="Times New Roman"/>
                <w:sz w:val="16"/>
                <w:szCs w:val="16"/>
              </w:rPr>
              <w:t xml:space="preserve"> comparisons</w:t>
            </w:r>
            <w:r w:rsidR="00E4687D">
              <w:rPr>
                <w:rFonts w:ascii="Book Antiqua" w:hAnsi="Book Antiqua" w:cs="Times New Roman"/>
                <w:sz w:val="16"/>
                <w:szCs w:val="16"/>
              </w:rPr>
              <w:t>.</w:t>
            </w:r>
          </w:p>
        </w:tc>
        <w:tc>
          <w:tcPr>
            <w:tcW w:w="2771" w:type="dxa"/>
            <w:tcBorders>
              <w:top w:val="single" w:sz="4" w:space="0" w:color="auto"/>
              <w:left w:val="single" w:sz="4" w:space="0" w:color="auto"/>
              <w:bottom w:val="single" w:sz="4" w:space="0" w:color="auto"/>
              <w:right w:val="single" w:sz="4" w:space="0" w:color="auto"/>
            </w:tcBorders>
            <w:vAlign w:val="center"/>
          </w:tcPr>
          <w:p w14:paraId="4516AEE5" w14:textId="590EC4AE"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 xml:space="preserve">Few South-Asia-specific studies; </w:t>
            </w:r>
            <w:r w:rsidR="001F2485">
              <w:rPr>
                <w:rFonts w:ascii="Book Antiqua" w:hAnsi="Book Antiqua" w:cs="Times New Roman"/>
                <w:sz w:val="16"/>
                <w:szCs w:val="16"/>
              </w:rPr>
              <w:t>over</w:t>
            </w:r>
            <w:r w:rsidR="006E2660">
              <w:rPr>
                <w:rFonts w:ascii="Book Antiqua" w:hAnsi="Book Antiqua" w:cs="Times New Roman"/>
                <w:sz w:val="16"/>
                <w:szCs w:val="16"/>
              </w:rPr>
              <w:t>-</w:t>
            </w:r>
            <w:r w:rsidRPr="002D6278">
              <w:rPr>
                <w:rFonts w:ascii="Book Antiqua" w:hAnsi="Book Antiqua" w:cs="Times New Roman"/>
                <w:sz w:val="16"/>
                <w:szCs w:val="16"/>
              </w:rPr>
              <w:t>generalised from Sub-Saharan Africa</w:t>
            </w:r>
            <w:r w:rsidR="00C961D4" w:rsidRPr="002D6278">
              <w:rPr>
                <w:rFonts w:ascii="Book Antiqua" w:hAnsi="Book Antiqua" w:cs="Times New Roman"/>
                <w:sz w:val="16"/>
                <w:szCs w:val="16"/>
              </w:rPr>
              <w:t>.</w:t>
            </w:r>
          </w:p>
        </w:tc>
      </w:tr>
      <w:tr w:rsidR="007D71AA" w:rsidRPr="002D6278" w14:paraId="05A7A96A" w14:textId="77777777" w:rsidTr="009958B5">
        <w:trPr>
          <w:trHeight w:val="54"/>
        </w:trPr>
        <w:tc>
          <w:tcPr>
            <w:tcW w:w="1838" w:type="dxa"/>
            <w:tcBorders>
              <w:top w:val="single" w:sz="4" w:space="0" w:color="auto"/>
              <w:left w:val="single" w:sz="4" w:space="0" w:color="auto"/>
              <w:bottom w:val="single" w:sz="4" w:space="0" w:color="auto"/>
              <w:right w:val="single" w:sz="4" w:space="0" w:color="auto"/>
            </w:tcBorders>
            <w:vAlign w:val="center"/>
          </w:tcPr>
          <w:p w14:paraId="4AD74194" w14:textId="3D4A692A"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 xml:space="preserve">Household bargaining </w:t>
            </w:r>
            <w:r w:rsidR="005B7A4C" w:rsidRPr="002D6278">
              <w:rPr>
                <w:rFonts w:ascii="Book Antiqua" w:hAnsi="Book Antiqua" w:cs="Times New Roman"/>
                <w:sz w:val="16"/>
                <w:szCs w:val="16"/>
              </w:rPr>
              <w:t>dynamics</w:t>
            </w:r>
          </w:p>
        </w:tc>
        <w:tc>
          <w:tcPr>
            <w:tcW w:w="992" w:type="dxa"/>
            <w:tcBorders>
              <w:top w:val="single" w:sz="4" w:space="0" w:color="auto"/>
              <w:left w:val="single" w:sz="4" w:space="0" w:color="auto"/>
              <w:bottom w:val="single" w:sz="4" w:space="0" w:color="auto"/>
              <w:right w:val="single" w:sz="4" w:space="0" w:color="auto"/>
            </w:tcBorders>
            <w:vAlign w:val="center"/>
          </w:tcPr>
          <w:p w14:paraId="3EFBA428" w14:textId="77777777"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Under-researched</w:t>
            </w:r>
          </w:p>
        </w:tc>
        <w:tc>
          <w:tcPr>
            <w:tcW w:w="3544" w:type="dxa"/>
            <w:tcBorders>
              <w:top w:val="single" w:sz="4" w:space="0" w:color="auto"/>
              <w:left w:val="single" w:sz="4" w:space="0" w:color="auto"/>
              <w:bottom w:val="single" w:sz="4" w:space="0" w:color="auto"/>
              <w:right w:val="single" w:sz="4" w:space="0" w:color="auto"/>
            </w:tcBorders>
            <w:vAlign w:val="center"/>
          </w:tcPr>
          <w:p w14:paraId="56D560C1" w14:textId="5CD61E38"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Cross-sectional, correlational studies; India, Bangladesh</w:t>
            </w:r>
            <w:r w:rsidR="00E4687D">
              <w:rPr>
                <w:rFonts w:ascii="Book Antiqua" w:hAnsi="Book Antiqua" w:cs="Times New Roman"/>
                <w:sz w:val="16"/>
                <w:szCs w:val="16"/>
              </w:rPr>
              <w:t>.</w:t>
            </w:r>
          </w:p>
        </w:tc>
        <w:tc>
          <w:tcPr>
            <w:tcW w:w="2771" w:type="dxa"/>
            <w:tcBorders>
              <w:top w:val="single" w:sz="4" w:space="0" w:color="auto"/>
              <w:left w:val="single" w:sz="4" w:space="0" w:color="auto"/>
              <w:bottom w:val="single" w:sz="4" w:space="0" w:color="auto"/>
              <w:right w:val="single" w:sz="4" w:space="0" w:color="auto"/>
            </w:tcBorders>
            <w:vAlign w:val="center"/>
          </w:tcPr>
          <w:p w14:paraId="52EDBE3A" w14:textId="53BFD626" w:rsidR="007D71AA" w:rsidRPr="002D6278" w:rsidRDefault="007D71AA" w:rsidP="008747BC">
            <w:pPr>
              <w:spacing w:after="0"/>
              <w:rPr>
                <w:rFonts w:ascii="Book Antiqua" w:hAnsi="Book Antiqua" w:cs="Times New Roman"/>
                <w:sz w:val="16"/>
                <w:szCs w:val="16"/>
              </w:rPr>
            </w:pPr>
            <w:r w:rsidRPr="002D6278">
              <w:rPr>
                <w:rFonts w:ascii="Book Antiqua" w:hAnsi="Book Antiqua" w:cs="Times New Roman"/>
                <w:sz w:val="16"/>
                <w:szCs w:val="16"/>
              </w:rPr>
              <w:t>No experimental</w:t>
            </w:r>
            <w:r w:rsidR="00B4572B" w:rsidRPr="002D6278">
              <w:rPr>
                <w:rFonts w:ascii="Book Antiqua" w:hAnsi="Book Antiqua" w:cs="Times New Roman"/>
                <w:sz w:val="16"/>
                <w:szCs w:val="16"/>
              </w:rPr>
              <w:t>/</w:t>
            </w:r>
            <w:r w:rsidRPr="002D6278">
              <w:rPr>
                <w:rFonts w:ascii="Book Antiqua" w:hAnsi="Book Antiqua" w:cs="Times New Roman"/>
                <w:sz w:val="16"/>
                <w:szCs w:val="16"/>
              </w:rPr>
              <w:t xml:space="preserve">quasi-experimental study </w:t>
            </w:r>
            <w:r w:rsidR="00BD5D0F" w:rsidRPr="002D6278">
              <w:rPr>
                <w:rFonts w:ascii="Book Antiqua" w:hAnsi="Book Antiqua" w:cs="Times New Roman"/>
                <w:sz w:val="16"/>
                <w:szCs w:val="16"/>
              </w:rPr>
              <w:t xml:space="preserve">to </w:t>
            </w:r>
            <w:r w:rsidRPr="002D6278">
              <w:rPr>
                <w:rFonts w:ascii="Book Antiqua" w:hAnsi="Book Antiqua" w:cs="Times New Roman"/>
                <w:sz w:val="16"/>
                <w:szCs w:val="16"/>
              </w:rPr>
              <w:t>isolate</w:t>
            </w:r>
            <w:r w:rsidR="00BD5D0F" w:rsidRPr="002D6278">
              <w:rPr>
                <w:rFonts w:ascii="Book Antiqua" w:hAnsi="Book Antiqua" w:cs="Times New Roman"/>
                <w:sz w:val="16"/>
                <w:szCs w:val="16"/>
              </w:rPr>
              <w:t xml:space="preserve"> </w:t>
            </w:r>
            <w:r w:rsidRPr="002D6278">
              <w:rPr>
                <w:rFonts w:ascii="Book Antiqua" w:hAnsi="Book Antiqua" w:cs="Times New Roman"/>
                <w:sz w:val="16"/>
                <w:szCs w:val="16"/>
              </w:rPr>
              <w:t xml:space="preserve">causal </w:t>
            </w:r>
            <w:r w:rsidR="00401B3A" w:rsidRPr="002D6278">
              <w:rPr>
                <w:rFonts w:ascii="Book Antiqua" w:hAnsi="Book Antiqua" w:cs="Times New Roman"/>
                <w:sz w:val="16"/>
                <w:szCs w:val="16"/>
              </w:rPr>
              <w:t xml:space="preserve">FinTech </w:t>
            </w:r>
            <w:r w:rsidRPr="002D6278">
              <w:rPr>
                <w:rFonts w:ascii="Book Antiqua" w:hAnsi="Book Antiqua" w:cs="Times New Roman"/>
                <w:sz w:val="16"/>
                <w:szCs w:val="16"/>
              </w:rPr>
              <w:t>effect</w:t>
            </w:r>
            <w:r w:rsidR="00401B3A" w:rsidRPr="002D6278">
              <w:rPr>
                <w:rFonts w:ascii="Book Antiqua" w:hAnsi="Book Antiqua" w:cs="Times New Roman"/>
                <w:sz w:val="16"/>
                <w:szCs w:val="16"/>
              </w:rPr>
              <w:t>s</w:t>
            </w:r>
            <w:r w:rsidR="00C961D4" w:rsidRPr="002D6278">
              <w:rPr>
                <w:rFonts w:ascii="Book Antiqua" w:hAnsi="Book Antiqua" w:cs="Times New Roman"/>
                <w:sz w:val="16"/>
                <w:szCs w:val="16"/>
              </w:rPr>
              <w:t>.</w:t>
            </w:r>
          </w:p>
        </w:tc>
      </w:tr>
    </w:tbl>
    <w:p w14:paraId="528A7886" w14:textId="246827A9" w:rsidR="007D71AA" w:rsidRDefault="00401B3A" w:rsidP="000D6C5A">
      <w:pPr>
        <w:jc w:val="both"/>
        <w:rPr>
          <w:rFonts w:ascii="Book Antiqua" w:hAnsi="Book Antiqua" w:cs="Times New Roman"/>
          <w:i/>
          <w:iCs/>
          <w:sz w:val="16"/>
          <w:szCs w:val="16"/>
        </w:rPr>
      </w:pPr>
      <w:r w:rsidRPr="002D6278">
        <w:rPr>
          <w:rFonts w:ascii="Book Antiqua" w:hAnsi="Book Antiqua" w:cs="Times New Roman"/>
          <w:i/>
          <w:iCs/>
          <w:sz w:val="16"/>
          <w:szCs w:val="16"/>
        </w:rPr>
        <w:t>Source: The Author</w:t>
      </w:r>
      <w:r w:rsidR="008747BC" w:rsidRPr="002D6278">
        <w:rPr>
          <w:rFonts w:ascii="Book Antiqua" w:hAnsi="Book Antiqua" w:cs="Times New Roman"/>
          <w:i/>
          <w:iCs/>
          <w:sz w:val="16"/>
          <w:szCs w:val="16"/>
        </w:rPr>
        <w:t>.</w:t>
      </w:r>
    </w:p>
    <w:p w14:paraId="0882C18F" w14:textId="0BABBEDD" w:rsidR="000D6C5A" w:rsidRPr="002D6278" w:rsidRDefault="009E0228" w:rsidP="000D6C5A">
      <w:pPr>
        <w:jc w:val="both"/>
        <w:rPr>
          <w:rFonts w:ascii="Book Antiqua" w:hAnsi="Book Antiqua" w:cs="Times New Roman"/>
          <w:b/>
          <w:bCs/>
          <w:color w:val="156082" w:themeColor="accent1"/>
          <w:sz w:val="16"/>
          <w:szCs w:val="16"/>
        </w:rPr>
      </w:pPr>
      <w:r w:rsidRPr="002D6278">
        <w:rPr>
          <w:rFonts w:ascii="Book Antiqua" w:hAnsi="Book Antiqua" w:cs="Times New Roman"/>
          <w:b/>
          <w:bCs/>
          <w:sz w:val="16"/>
          <w:szCs w:val="16"/>
        </w:rPr>
        <w:t>3.</w:t>
      </w:r>
      <w:r w:rsidR="005F7410" w:rsidRPr="002D6278">
        <w:rPr>
          <w:rFonts w:ascii="Book Antiqua" w:hAnsi="Book Antiqua" w:cs="Times New Roman"/>
          <w:b/>
          <w:bCs/>
          <w:sz w:val="16"/>
          <w:szCs w:val="16"/>
        </w:rPr>
        <w:t>3</w:t>
      </w:r>
      <w:r w:rsidR="000D6C5A" w:rsidRPr="002D6278">
        <w:rPr>
          <w:rFonts w:ascii="Book Antiqua" w:hAnsi="Book Antiqua" w:cs="Times New Roman"/>
          <w:b/>
          <w:bCs/>
          <w:sz w:val="16"/>
          <w:szCs w:val="16"/>
        </w:rPr>
        <w:t xml:space="preserve"> </w:t>
      </w:r>
      <w:r w:rsidR="00930B87" w:rsidRPr="00930B87">
        <w:rPr>
          <w:rFonts w:ascii="Book Antiqua" w:hAnsi="Book Antiqua" w:cs="Times New Roman"/>
          <w:b/>
          <w:bCs/>
          <w:sz w:val="16"/>
          <w:szCs w:val="16"/>
        </w:rPr>
        <w:t xml:space="preserve">Rationale for Theoretical Combination and </w:t>
      </w:r>
      <w:r w:rsidR="00B814CA" w:rsidRPr="00B814CA">
        <w:rPr>
          <w:rFonts w:ascii="Book Antiqua" w:hAnsi="Book Antiqua" w:cs="Times New Roman"/>
          <w:b/>
          <w:bCs/>
          <w:sz w:val="16"/>
          <w:szCs w:val="16"/>
        </w:rPr>
        <w:t>Empirical Synthesis</w:t>
      </w:r>
    </w:p>
    <w:p w14:paraId="5012860A" w14:textId="4552C440" w:rsidR="00D93E23" w:rsidRPr="00B814CA" w:rsidRDefault="00B814CA" w:rsidP="00D93E23">
      <w:pPr>
        <w:jc w:val="both"/>
        <w:rPr>
          <w:rFonts w:ascii="Book Antiqua" w:hAnsi="Book Antiqua" w:cs="Times New Roman"/>
          <w:b/>
          <w:bCs/>
          <w:sz w:val="16"/>
          <w:szCs w:val="16"/>
        </w:rPr>
      </w:pPr>
      <w:r>
        <w:rPr>
          <w:rFonts w:ascii="Book Antiqua" w:hAnsi="Book Antiqua" w:cs="Times New Roman"/>
          <w:b/>
          <w:bCs/>
          <w:sz w:val="16"/>
          <w:szCs w:val="16"/>
        </w:rPr>
        <w:t>3</w:t>
      </w:r>
      <w:r w:rsidR="00D93E23" w:rsidRPr="00B814CA">
        <w:rPr>
          <w:rFonts w:ascii="Book Antiqua" w:hAnsi="Book Antiqua" w:cs="Times New Roman"/>
          <w:b/>
          <w:bCs/>
          <w:sz w:val="16"/>
          <w:szCs w:val="16"/>
        </w:rPr>
        <w:t>.</w:t>
      </w:r>
      <w:r w:rsidR="00C56AFA">
        <w:rPr>
          <w:rFonts w:ascii="Book Antiqua" w:hAnsi="Book Antiqua" w:cs="Times New Roman"/>
          <w:b/>
          <w:bCs/>
          <w:sz w:val="16"/>
          <w:szCs w:val="16"/>
        </w:rPr>
        <w:t>3.1</w:t>
      </w:r>
      <w:r w:rsidR="00D93E23" w:rsidRPr="00B814CA">
        <w:rPr>
          <w:rFonts w:ascii="Book Antiqua" w:hAnsi="Book Antiqua" w:cs="Times New Roman"/>
          <w:b/>
          <w:bCs/>
          <w:sz w:val="16"/>
          <w:szCs w:val="16"/>
        </w:rPr>
        <w:t xml:space="preserve"> Deconstruction of Behavioural Models in Patriarchal Contexts</w:t>
      </w:r>
    </w:p>
    <w:p w14:paraId="71ACFEC7" w14:textId="0011432A" w:rsidR="00D93E23" w:rsidRPr="00D93E23" w:rsidRDefault="00E977D8" w:rsidP="00D93E23">
      <w:pPr>
        <w:jc w:val="both"/>
        <w:rPr>
          <w:rFonts w:ascii="Book Antiqua" w:hAnsi="Book Antiqua" w:cs="Times New Roman"/>
          <w:sz w:val="16"/>
          <w:szCs w:val="16"/>
        </w:rPr>
      </w:pPr>
      <w:r w:rsidRPr="00E977D8">
        <w:rPr>
          <w:rFonts w:ascii="Book Antiqua" w:hAnsi="Book Antiqua" w:cs="Times New Roman"/>
          <w:sz w:val="16"/>
          <w:szCs w:val="16"/>
        </w:rPr>
        <w:t>Conventional adoption models, such as TAM and UTAUT, presume that individuals operate with full autonomy when making decisions</w:t>
      </w:r>
      <w:r w:rsidR="00D93E23" w:rsidRPr="00D93E23">
        <w:rPr>
          <w:rFonts w:ascii="Book Antiqua" w:hAnsi="Book Antiqua" w:cs="Times New Roman"/>
          <w:sz w:val="16"/>
          <w:szCs w:val="16"/>
        </w:rPr>
        <w:t>. However, these linear models fail in patriarchal settings across South Asia, where technology use is shaped by household structures.</w:t>
      </w:r>
    </w:p>
    <w:p w14:paraId="14B70DA2" w14:textId="1D698133"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Standard models assume users act autonomously, but in South Asian households, digital adoption is mediated by male relatives</w:t>
      </w:r>
      <w:r w:rsidR="00314852">
        <w:rPr>
          <w:rFonts w:ascii="Book Antiqua" w:hAnsi="Book Antiqua" w:cs="Times New Roman"/>
          <w:sz w:val="16"/>
          <w:szCs w:val="16"/>
        </w:rPr>
        <w:t xml:space="preserve"> (</w:t>
      </w:r>
      <w:r w:rsidR="00052282" w:rsidRPr="00052282">
        <w:rPr>
          <w:rFonts w:ascii="Book Antiqua" w:hAnsi="Book Antiqua" w:cs="Times New Roman"/>
          <w:color w:val="0070C0"/>
          <w:sz w:val="16"/>
          <w:szCs w:val="16"/>
        </w:rPr>
        <w:t xml:space="preserve">Hoque </w:t>
      </w:r>
      <w:r w:rsidR="00052282" w:rsidRPr="00052282">
        <w:rPr>
          <w:rFonts w:ascii="Book Antiqua" w:hAnsi="Book Antiqua" w:cs="Times New Roman"/>
          <w:i/>
          <w:iCs/>
          <w:color w:val="0070C0"/>
          <w:sz w:val="16"/>
          <w:szCs w:val="16"/>
        </w:rPr>
        <w:t xml:space="preserve">et al., </w:t>
      </w:r>
      <w:r w:rsidR="00052282" w:rsidRPr="00052282">
        <w:rPr>
          <w:rFonts w:ascii="Book Antiqua" w:hAnsi="Book Antiqua" w:cs="Times New Roman"/>
          <w:color w:val="0070C0"/>
          <w:sz w:val="16"/>
          <w:szCs w:val="16"/>
        </w:rPr>
        <w:t>2024</w:t>
      </w:r>
      <w:r w:rsidR="00314852">
        <w:rPr>
          <w:rFonts w:ascii="Book Antiqua" w:hAnsi="Book Antiqua" w:cs="Times New Roman"/>
          <w:sz w:val="16"/>
          <w:szCs w:val="16"/>
        </w:rPr>
        <w:t>)</w:t>
      </w:r>
      <w:r w:rsidRPr="00D93E23">
        <w:rPr>
          <w:rFonts w:ascii="Book Antiqua" w:hAnsi="Book Antiqua" w:cs="Times New Roman"/>
          <w:sz w:val="16"/>
          <w:szCs w:val="16"/>
        </w:rPr>
        <w:t>. Features that normally lower friction, such as simplified interfaces, can increase risk in shared-device households by making financial actions easily monitorable by male family members. Furthermore, perceived utility is evaluated against social norms; a tool that yields financial returns may still be rejected if it breaches norms of female seclusion (purdah) or causes domestic conflict.</w:t>
      </w:r>
    </w:p>
    <w:p w14:paraId="4D92C4B6" w14:textId="77777777"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Shared handsets also create a barrier. When a device is shared, women rarely hold administrative control, leaving security alerts and balances visible to male owners. Without privacy features, this exposure can lead to account takeovers or forced fund diversion. Finally, social influence often acts as a form of policing rather than peer recommendation, penalizing women who interact independently with male financial agents or handle private money.</w:t>
      </w:r>
    </w:p>
    <w:p w14:paraId="12915130" w14:textId="0C0C10C3" w:rsidR="00D93E23" w:rsidRPr="00FA49BC" w:rsidRDefault="00FA49BC" w:rsidP="00D93E23">
      <w:pPr>
        <w:jc w:val="both"/>
        <w:rPr>
          <w:rFonts w:ascii="Book Antiqua" w:hAnsi="Book Antiqua" w:cs="Times New Roman"/>
          <w:b/>
          <w:bCs/>
          <w:sz w:val="16"/>
          <w:szCs w:val="16"/>
        </w:rPr>
      </w:pPr>
      <w:r w:rsidRPr="00FA49BC">
        <w:rPr>
          <w:rFonts w:ascii="Book Antiqua" w:hAnsi="Book Antiqua" w:cs="Times New Roman"/>
          <w:b/>
          <w:bCs/>
          <w:sz w:val="16"/>
          <w:szCs w:val="16"/>
        </w:rPr>
        <w:t>3</w:t>
      </w:r>
      <w:r w:rsidR="00D93E23" w:rsidRPr="00FA49BC">
        <w:rPr>
          <w:rFonts w:ascii="Book Antiqua" w:hAnsi="Book Antiqua" w:cs="Times New Roman"/>
          <w:b/>
          <w:bCs/>
          <w:sz w:val="16"/>
          <w:szCs w:val="16"/>
        </w:rPr>
        <w:t>.</w:t>
      </w:r>
      <w:r w:rsidR="00C56AFA">
        <w:rPr>
          <w:rFonts w:ascii="Book Antiqua" w:hAnsi="Book Antiqua" w:cs="Times New Roman"/>
          <w:b/>
          <w:bCs/>
          <w:sz w:val="16"/>
          <w:szCs w:val="16"/>
        </w:rPr>
        <w:t>3.</w:t>
      </w:r>
      <w:r w:rsidR="00D93E23" w:rsidRPr="00FA49BC">
        <w:rPr>
          <w:rFonts w:ascii="Book Antiqua" w:hAnsi="Book Antiqua" w:cs="Times New Roman"/>
          <w:b/>
          <w:bCs/>
          <w:sz w:val="16"/>
          <w:szCs w:val="16"/>
        </w:rPr>
        <w:t xml:space="preserve">2 Kabeer’s Resources-Agency-Achievements (RAA) </w:t>
      </w:r>
      <w:r w:rsidR="00AF76A1">
        <w:rPr>
          <w:rFonts w:ascii="Book Antiqua" w:hAnsi="Book Antiqua" w:cs="Times New Roman"/>
          <w:b/>
          <w:bCs/>
          <w:sz w:val="16"/>
          <w:szCs w:val="16"/>
        </w:rPr>
        <w:t>Schema</w:t>
      </w:r>
    </w:p>
    <w:p w14:paraId="6BE45475" w14:textId="2E2BA4AF"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 xml:space="preserve">To address these limitations, this study utilizes Kabeer’s (1999) </w:t>
      </w:r>
      <w:r w:rsidR="006752A2">
        <w:rPr>
          <w:rFonts w:ascii="Book Antiqua" w:hAnsi="Book Antiqua" w:cs="Times New Roman"/>
          <w:sz w:val="16"/>
          <w:szCs w:val="16"/>
        </w:rPr>
        <w:t>R</w:t>
      </w:r>
      <w:r w:rsidRPr="00D93E23">
        <w:rPr>
          <w:rFonts w:ascii="Book Antiqua" w:hAnsi="Book Antiqua" w:cs="Times New Roman"/>
          <w:sz w:val="16"/>
          <w:szCs w:val="16"/>
        </w:rPr>
        <w:t>AA</w:t>
      </w:r>
      <w:r w:rsidR="006752A2">
        <w:rPr>
          <w:rFonts w:ascii="Book Antiqua" w:hAnsi="Book Antiqua" w:cs="Times New Roman"/>
          <w:sz w:val="16"/>
          <w:szCs w:val="16"/>
        </w:rPr>
        <w:t xml:space="preserve"> </w:t>
      </w:r>
      <w:r w:rsidR="00313B26">
        <w:rPr>
          <w:rFonts w:ascii="Book Antiqua" w:hAnsi="Book Antiqua" w:cs="Times New Roman"/>
          <w:sz w:val="16"/>
          <w:szCs w:val="16"/>
        </w:rPr>
        <w:t>schema</w:t>
      </w:r>
      <w:r w:rsidR="009A7E9D">
        <w:rPr>
          <w:rFonts w:ascii="Book Antiqua" w:hAnsi="Book Antiqua" w:cs="Times New Roman"/>
          <w:sz w:val="16"/>
          <w:szCs w:val="16"/>
        </w:rPr>
        <w:t xml:space="preserve"> where e</w:t>
      </w:r>
      <w:r w:rsidRPr="00D93E23">
        <w:rPr>
          <w:rFonts w:ascii="Book Antiqua" w:hAnsi="Book Antiqua" w:cs="Times New Roman"/>
          <w:sz w:val="16"/>
          <w:szCs w:val="16"/>
        </w:rPr>
        <w:t>mpowerment is viewed as a process moving from material resources to agency, and finally to socio-economic achievements.</w:t>
      </w:r>
    </w:p>
    <w:p w14:paraId="31890B49" w14:textId="701B2F1A"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w:t>
      </w:r>
      <w:r w:rsidR="00FA49BC">
        <w:rPr>
          <w:rFonts w:ascii="Book Antiqua" w:hAnsi="Book Antiqua" w:cs="Times New Roman"/>
          <w:sz w:val="16"/>
          <w:szCs w:val="16"/>
        </w:rPr>
        <w:t xml:space="preserve"> </w:t>
      </w:r>
      <w:r w:rsidRPr="00FC5BC8">
        <w:rPr>
          <w:rFonts w:ascii="Book Antiqua" w:hAnsi="Book Antiqua" w:cs="Times New Roman"/>
          <w:b/>
          <w:bCs/>
          <w:sz w:val="16"/>
          <w:szCs w:val="16"/>
        </w:rPr>
        <w:t>Resources:</w:t>
      </w:r>
      <w:r w:rsidRPr="00D93E23">
        <w:rPr>
          <w:rFonts w:ascii="Book Antiqua" w:hAnsi="Book Antiqua" w:cs="Times New Roman"/>
          <w:sz w:val="16"/>
          <w:szCs w:val="16"/>
        </w:rPr>
        <w:t xml:space="preserve"> Pre-conditions</w:t>
      </w:r>
      <w:r w:rsidR="00F4048D">
        <w:rPr>
          <w:rFonts w:ascii="Book Antiqua" w:hAnsi="Book Antiqua" w:cs="Times New Roman"/>
          <w:sz w:val="16"/>
          <w:szCs w:val="16"/>
        </w:rPr>
        <w:t xml:space="preserve">, such as </w:t>
      </w:r>
      <w:r w:rsidRPr="00D93E23">
        <w:rPr>
          <w:rFonts w:ascii="Book Antiqua" w:hAnsi="Book Antiqua" w:cs="Times New Roman"/>
          <w:sz w:val="16"/>
          <w:szCs w:val="16"/>
        </w:rPr>
        <w:t>digital infrastructure, mobile phones, biometric identification, and proximity to financial access points.</w:t>
      </w:r>
    </w:p>
    <w:p w14:paraId="7182AFE1" w14:textId="21FBC175"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w:t>
      </w:r>
      <w:r w:rsidR="00FC5BC8">
        <w:rPr>
          <w:rFonts w:ascii="Book Antiqua" w:hAnsi="Book Antiqua" w:cs="Times New Roman"/>
          <w:sz w:val="16"/>
          <w:szCs w:val="16"/>
        </w:rPr>
        <w:t xml:space="preserve"> </w:t>
      </w:r>
      <w:r w:rsidRPr="00FC5BC8">
        <w:rPr>
          <w:rFonts w:ascii="Book Antiqua" w:hAnsi="Book Antiqua" w:cs="Times New Roman"/>
          <w:b/>
          <w:bCs/>
          <w:sz w:val="16"/>
          <w:szCs w:val="16"/>
        </w:rPr>
        <w:t>Agency:</w:t>
      </w:r>
      <w:r w:rsidRPr="00D93E23">
        <w:rPr>
          <w:rFonts w:ascii="Book Antiqua" w:hAnsi="Book Antiqua" w:cs="Times New Roman"/>
          <w:sz w:val="16"/>
          <w:szCs w:val="16"/>
        </w:rPr>
        <w:t xml:space="preserve"> The core process of defining goals and acting upon them, </w:t>
      </w:r>
      <w:r w:rsidR="00F4048D">
        <w:rPr>
          <w:rFonts w:ascii="Book Antiqua" w:hAnsi="Book Antiqua" w:cs="Times New Roman"/>
          <w:sz w:val="16"/>
          <w:szCs w:val="16"/>
        </w:rPr>
        <w:t>such as</w:t>
      </w:r>
      <w:r w:rsidRPr="00D93E23">
        <w:rPr>
          <w:rFonts w:ascii="Book Antiqua" w:hAnsi="Book Antiqua" w:cs="Times New Roman"/>
          <w:sz w:val="16"/>
          <w:szCs w:val="16"/>
        </w:rPr>
        <w:t xml:space="preserve"> strategic financial decision-making, autonomous transaction execution, and negotiating household resource allocation.</w:t>
      </w:r>
    </w:p>
    <w:p w14:paraId="3DA24C11" w14:textId="7E6116E5"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lastRenderedPageBreak/>
        <w:t>•</w:t>
      </w:r>
      <w:r w:rsidR="00FC5BC8">
        <w:rPr>
          <w:rFonts w:ascii="Book Antiqua" w:hAnsi="Book Antiqua" w:cs="Times New Roman"/>
          <w:sz w:val="16"/>
          <w:szCs w:val="16"/>
        </w:rPr>
        <w:t xml:space="preserve"> </w:t>
      </w:r>
      <w:r w:rsidRPr="00FC5BC8">
        <w:rPr>
          <w:rFonts w:ascii="Book Antiqua" w:hAnsi="Book Antiqua" w:cs="Times New Roman"/>
          <w:b/>
          <w:bCs/>
          <w:sz w:val="16"/>
          <w:szCs w:val="16"/>
        </w:rPr>
        <w:t>Achievements:</w:t>
      </w:r>
      <w:r w:rsidRPr="00D93E23">
        <w:rPr>
          <w:rFonts w:ascii="Book Antiqua" w:hAnsi="Book Antiqua" w:cs="Times New Roman"/>
          <w:sz w:val="16"/>
          <w:szCs w:val="16"/>
        </w:rPr>
        <w:t xml:space="preserve"> Tangible outcomes resulting from agency, such as economic security, asset accumulation, and rebalanced household decision-making.</w:t>
      </w:r>
    </w:p>
    <w:p w14:paraId="164CEF6F" w14:textId="77777777"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Structural friction occurs when resources fail to translate into agency. For example, a woman may receive a digital wallet (Resource), but a spouse demands the credentials, blocking her agency. Alternatively, agency may not lead to achievements if external market restrictions prevent her from scaling a micro-enterprise.</w:t>
      </w:r>
    </w:p>
    <w:p w14:paraId="208A4533" w14:textId="530A1FDF" w:rsidR="00D93E23" w:rsidRPr="0079540B" w:rsidRDefault="0079540B" w:rsidP="00D93E23">
      <w:pPr>
        <w:jc w:val="both"/>
        <w:rPr>
          <w:rFonts w:ascii="Book Antiqua" w:hAnsi="Book Antiqua" w:cs="Times New Roman"/>
          <w:b/>
          <w:bCs/>
          <w:sz w:val="16"/>
          <w:szCs w:val="16"/>
        </w:rPr>
      </w:pPr>
      <w:r w:rsidRPr="0079540B">
        <w:rPr>
          <w:rFonts w:ascii="Book Antiqua" w:hAnsi="Book Antiqua" w:cs="Times New Roman"/>
          <w:b/>
          <w:bCs/>
          <w:sz w:val="16"/>
          <w:szCs w:val="16"/>
        </w:rPr>
        <w:t>3</w:t>
      </w:r>
      <w:r w:rsidR="00D93E23" w:rsidRPr="0079540B">
        <w:rPr>
          <w:rFonts w:ascii="Book Antiqua" w:hAnsi="Book Antiqua" w:cs="Times New Roman"/>
          <w:b/>
          <w:bCs/>
          <w:sz w:val="16"/>
          <w:szCs w:val="16"/>
        </w:rPr>
        <w:t>.3</w:t>
      </w:r>
      <w:r w:rsidR="00D00973">
        <w:rPr>
          <w:rFonts w:ascii="Book Antiqua" w:hAnsi="Book Antiqua" w:cs="Times New Roman"/>
          <w:b/>
          <w:bCs/>
          <w:sz w:val="16"/>
          <w:szCs w:val="16"/>
        </w:rPr>
        <w:t>.3</w:t>
      </w:r>
      <w:r w:rsidR="00D93E23" w:rsidRPr="0079540B">
        <w:rPr>
          <w:rFonts w:ascii="Book Antiqua" w:hAnsi="Book Antiqua" w:cs="Times New Roman"/>
          <w:b/>
          <w:bCs/>
          <w:sz w:val="16"/>
          <w:szCs w:val="16"/>
        </w:rPr>
        <w:t xml:space="preserve"> Empirical Synthesis of South Asian Evidence</w:t>
      </w:r>
    </w:p>
    <w:p w14:paraId="738D8121" w14:textId="77777777" w:rsidR="00D93E23" w:rsidRPr="00D93E23" w:rsidRDefault="00D93E23" w:rsidP="00D93E23">
      <w:pPr>
        <w:jc w:val="both"/>
        <w:rPr>
          <w:rFonts w:ascii="Book Antiqua" w:hAnsi="Book Antiqua" w:cs="Times New Roman"/>
          <w:sz w:val="16"/>
          <w:szCs w:val="16"/>
        </w:rPr>
      </w:pPr>
      <w:r w:rsidRPr="00D93E23">
        <w:rPr>
          <w:rFonts w:ascii="Book Antiqua" w:hAnsi="Book Antiqua" w:cs="Times New Roman"/>
          <w:sz w:val="16"/>
          <w:szCs w:val="16"/>
        </w:rPr>
        <w:t>The literature reveals four primary thematic domains governing female FinTech adoption in South Asia:</w:t>
      </w:r>
    </w:p>
    <w:p w14:paraId="07B1EC75" w14:textId="200BBBC6" w:rsidR="00D93E23" w:rsidRPr="00461811" w:rsidRDefault="007C28D2" w:rsidP="00151BE1">
      <w:pPr>
        <w:spacing w:after="0"/>
        <w:jc w:val="both"/>
        <w:rPr>
          <w:rFonts w:ascii="Book Antiqua" w:hAnsi="Book Antiqua" w:cs="Times New Roman"/>
          <w:b/>
          <w:bCs/>
          <w:sz w:val="16"/>
          <w:szCs w:val="16"/>
        </w:rPr>
      </w:pPr>
      <w:r>
        <w:rPr>
          <w:rFonts w:ascii="Book Antiqua" w:hAnsi="Book Antiqua" w:cs="Times New Roman"/>
          <w:b/>
          <w:bCs/>
          <w:sz w:val="16"/>
          <w:szCs w:val="16"/>
        </w:rPr>
        <w:t>i</w:t>
      </w:r>
      <w:r w:rsidR="00D93E23" w:rsidRPr="0079540B">
        <w:rPr>
          <w:rFonts w:ascii="Book Antiqua" w:hAnsi="Book Antiqua" w:cs="Times New Roman"/>
          <w:b/>
          <w:bCs/>
          <w:sz w:val="16"/>
          <w:szCs w:val="16"/>
        </w:rPr>
        <w:t>. Patriarchal Surveillance and Shared Devices</w:t>
      </w:r>
      <w:r w:rsidR="00461811">
        <w:rPr>
          <w:rFonts w:ascii="Book Antiqua" w:hAnsi="Book Antiqua" w:cs="Times New Roman"/>
          <w:b/>
          <w:bCs/>
          <w:sz w:val="16"/>
          <w:szCs w:val="16"/>
        </w:rPr>
        <w:t xml:space="preserve">: </w:t>
      </w:r>
      <w:r w:rsidR="00D93E23" w:rsidRPr="00D93E23">
        <w:rPr>
          <w:rFonts w:ascii="Book Antiqua" w:hAnsi="Book Antiqua" w:cs="Times New Roman"/>
          <w:sz w:val="16"/>
          <w:szCs w:val="16"/>
        </w:rPr>
        <w:t>While mobile penetration has grown, the operational gap</w:t>
      </w:r>
      <w:r w:rsidR="00924195">
        <w:rPr>
          <w:rFonts w:ascii="Book Antiqua" w:hAnsi="Book Antiqua" w:cs="Times New Roman"/>
          <w:sz w:val="16"/>
          <w:szCs w:val="16"/>
        </w:rPr>
        <w:t xml:space="preserve"> of </w:t>
      </w:r>
      <w:r w:rsidR="00D93E23" w:rsidRPr="00D93E23">
        <w:rPr>
          <w:rFonts w:ascii="Book Antiqua" w:hAnsi="Book Antiqua" w:cs="Times New Roman"/>
          <w:sz w:val="16"/>
          <w:szCs w:val="16"/>
        </w:rPr>
        <w:t>having unrestricted</w:t>
      </w:r>
      <w:r w:rsidR="00924195">
        <w:rPr>
          <w:rFonts w:ascii="Book Antiqua" w:hAnsi="Book Antiqua" w:cs="Times New Roman"/>
          <w:sz w:val="16"/>
          <w:szCs w:val="16"/>
        </w:rPr>
        <w:t xml:space="preserve"> and </w:t>
      </w:r>
      <w:r w:rsidR="00D93E23" w:rsidRPr="00D93E23">
        <w:rPr>
          <w:rFonts w:ascii="Book Antiqua" w:hAnsi="Book Antiqua" w:cs="Times New Roman"/>
          <w:sz w:val="16"/>
          <w:szCs w:val="16"/>
        </w:rPr>
        <w:t>private control over a device</w:t>
      </w:r>
      <w:r w:rsidR="00924195">
        <w:rPr>
          <w:rFonts w:ascii="Book Antiqua" w:hAnsi="Book Antiqua" w:cs="Times New Roman"/>
          <w:sz w:val="16"/>
          <w:szCs w:val="16"/>
        </w:rPr>
        <w:t xml:space="preserve"> </w:t>
      </w:r>
      <w:r w:rsidR="00D93E23" w:rsidRPr="00D93E23">
        <w:rPr>
          <w:rFonts w:ascii="Book Antiqua" w:hAnsi="Book Antiqua" w:cs="Times New Roman"/>
          <w:sz w:val="16"/>
          <w:szCs w:val="16"/>
        </w:rPr>
        <w:t>remains wide. Shared hardware and SMS-based alerts allow male household members to monitor accounts continuously. In state programs like India's PMJDY or Pakistan's Ehsaas, women frequently surrender control or PINs to male relatives. To counter this surveillance, women utilize hidden sub-balances and discrete transaction logs when platforms permit them.</w:t>
      </w:r>
    </w:p>
    <w:p w14:paraId="254E023C" w14:textId="77777777" w:rsidR="00151BE1" w:rsidRPr="00D93E23" w:rsidRDefault="00151BE1" w:rsidP="00151BE1">
      <w:pPr>
        <w:spacing w:after="0"/>
        <w:jc w:val="both"/>
        <w:rPr>
          <w:rFonts w:ascii="Book Antiqua" w:hAnsi="Book Antiqua" w:cs="Times New Roman"/>
          <w:sz w:val="16"/>
          <w:szCs w:val="16"/>
        </w:rPr>
      </w:pPr>
    </w:p>
    <w:p w14:paraId="6AF55454" w14:textId="458116D9" w:rsidR="00D93E23" w:rsidRPr="00461811" w:rsidRDefault="00924195" w:rsidP="00151BE1">
      <w:pPr>
        <w:spacing w:after="0"/>
        <w:jc w:val="both"/>
        <w:rPr>
          <w:rFonts w:ascii="Book Antiqua" w:hAnsi="Book Antiqua" w:cs="Times New Roman"/>
          <w:b/>
          <w:bCs/>
          <w:sz w:val="16"/>
          <w:szCs w:val="16"/>
        </w:rPr>
      </w:pPr>
      <w:r>
        <w:rPr>
          <w:rFonts w:ascii="Book Antiqua" w:hAnsi="Book Antiqua" w:cs="Times New Roman"/>
          <w:b/>
          <w:bCs/>
          <w:sz w:val="16"/>
          <w:szCs w:val="16"/>
        </w:rPr>
        <w:t>ii</w:t>
      </w:r>
      <w:r w:rsidR="00D93E23" w:rsidRPr="00924195">
        <w:rPr>
          <w:rFonts w:ascii="Book Antiqua" w:hAnsi="Book Antiqua" w:cs="Times New Roman"/>
          <w:b/>
          <w:bCs/>
          <w:sz w:val="16"/>
          <w:szCs w:val="16"/>
        </w:rPr>
        <w:t>. Digital Literacy and Interface Friction</w:t>
      </w:r>
      <w:r w:rsidR="00461811">
        <w:rPr>
          <w:rFonts w:ascii="Book Antiqua" w:hAnsi="Book Antiqua" w:cs="Times New Roman"/>
          <w:b/>
          <w:bCs/>
          <w:sz w:val="16"/>
          <w:szCs w:val="16"/>
        </w:rPr>
        <w:t xml:space="preserve">: </w:t>
      </w:r>
      <w:r w:rsidR="00D93E23" w:rsidRPr="00D93E23">
        <w:rPr>
          <w:rFonts w:ascii="Book Antiqua" w:hAnsi="Book Antiqua" w:cs="Times New Roman"/>
          <w:sz w:val="16"/>
          <w:szCs w:val="16"/>
        </w:rPr>
        <w:t>Text-heavy interfaces and non-native languages create cognitive load and transaction anxiety for low-literacy users. When independent execution becomes difficult, women resort to family or agent mediation, which often leads to privacy loss, overcharging, or fraud. Implementing voice-guided regional prompts and iconographic menus significantly improves completion rates and reduces reliance on proxies.</w:t>
      </w:r>
    </w:p>
    <w:p w14:paraId="43CF8FFF" w14:textId="77777777" w:rsidR="00151BE1" w:rsidRPr="00D93E23" w:rsidRDefault="00151BE1" w:rsidP="00151BE1">
      <w:pPr>
        <w:spacing w:after="0"/>
        <w:jc w:val="both"/>
        <w:rPr>
          <w:rFonts w:ascii="Book Antiqua" w:hAnsi="Book Antiqua" w:cs="Times New Roman"/>
          <w:sz w:val="16"/>
          <w:szCs w:val="16"/>
        </w:rPr>
      </w:pPr>
    </w:p>
    <w:p w14:paraId="0391CB15" w14:textId="38AAF656" w:rsidR="00D93E23" w:rsidRPr="00461811" w:rsidRDefault="00924195" w:rsidP="00151BE1">
      <w:pPr>
        <w:spacing w:after="0"/>
        <w:jc w:val="both"/>
        <w:rPr>
          <w:rFonts w:ascii="Book Antiqua" w:hAnsi="Book Antiqua" w:cs="Times New Roman"/>
          <w:b/>
          <w:bCs/>
          <w:sz w:val="16"/>
          <w:szCs w:val="16"/>
        </w:rPr>
      </w:pPr>
      <w:r>
        <w:rPr>
          <w:rFonts w:ascii="Book Antiqua" w:hAnsi="Book Antiqua" w:cs="Times New Roman"/>
          <w:b/>
          <w:bCs/>
          <w:sz w:val="16"/>
          <w:szCs w:val="16"/>
        </w:rPr>
        <w:t>iii</w:t>
      </w:r>
      <w:r w:rsidR="00D93E23" w:rsidRPr="00924195">
        <w:rPr>
          <w:rFonts w:ascii="Book Antiqua" w:hAnsi="Book Antiqua" w:cs="Times New Roman"/>
          <w:b/>
          <w:bCs/>
          <w:sz w:val="16"/>
          <w:szCs w:val="16"/>
        </w:rPr>
        <w:t>. Agent Networks and Spatial Mobility</w:t>
      </w:r>
      <w:r w:rsidR="00461811">
        <w:rPr>
          <w:rFonts w:ascii="Book Antiqua" w:hAnsi="Book Antiqua" w:cs="Times New Roman"/>
          <w:b/>
          <w:bCs/>
          <w:sz w:val="16"/>
          <w:szCs w:val="16"/>
        </w:rPr>
        <w:t xml:space="preserve">: </w:t>
      </w:r>
      <w:r w:rsidR="00D93E23" w:rsidRPr="00D93E23">
        <w:rPr>
          <w:rFonts w:ascii="Book Antiqua" w:hAnsi="Book Antiqua" w:cs="Times New Roman"/>
          <w:sz w:val="16"/>
          <w:szCs w:val="16"/>
        </w:rPr>
        <w:t xml:space="preserve">Cultural norms frequently restrict female spatial mobility, preventing women from traveling alone to market </w:t>
      </w:r>
      <w:r w:rsidRPr="00D93E23">
        <w:rPr>
          <w:rFonts w:ascii="Book Antiqua" w:hAnsi="Book Antiqua" w:cs="Times New Roman"/>
          <w:sz w:val="16"/>
          <w:szCs w:val="16"/>
        </w:rPr>
        <w:t>centres</w:t>
      </w:r>
      <w:r w:rsidR="00D93E23" w:rsidRPr="00D93E23">
        <w:rPr>
          <w:rFonts w:ascii="Book Antiqua" w:hAnsi="Book Antiqua" w:cs="Times New Roman"/>
          <w:sz w:val="16"/>
          <w:szCs w:val="16"/>
        </w:rPr>
        <w:t xml:space="preserve"> where Cash-In/Cash-Out (CICO) agents are located. Furthermore, male-dominated agent networks create cultural discomfort and privacy concerns under norms of purdah. Deploying female agents (Bank Sakhis) bypasses these mobility barriers, increases trust, and lowers dormancy rates.</w:t>
      </w:r>
    </w:p>
    <w:p w14:paraId="3510F1F5" w14:textId="77777777" w:rsidR="00151BE1" w:rsidRPr="00D93E23" w:rsidRDefault="00151BE1" w:rsidP="00151BE1">
      <w:pPr>
        <w:spacing w:after="0"/>
        <w:jc w:val="both"/>
        <w:rPr>
          <w:rFonts w:ascii="Book Antiqua" w:hAnsi="Book Antiqua" w:cs="Times New Roman"/>
          <w:sz w:val="16"/>
          <w:szCs w:val="16"/>
        </w:rPr>
      </w:pPr>
    </w:p>
    <w:p w14:paraId="7FEBC663" w14:textId="3CFFB8B5" w:rsidR="00CE0443" w:rsidRDefault="00CE0443" w:rsidP="00151BE1">
      <w:pPr>
        <w:spacing w:after="0"/>
        <w:jc w:val="both"/>
        <w:rPr>
          <w:rFonts w:ascii="Book Antiqua" w:hAnsi="Book Antiqua" w:cs="Times New Roman"/>
          <w:sz w:val="16"/>
          <w:szCs w:val="16"/>
        </w:rPr>
      </w:pPr>
      <w:r>
        <w:rPr>
          <w:rFonts w:ascii="Book Antiqua" w:hAnsi="Book Antiqua" w:cs="Times New Roman"/>
          <w:b/>
          <w:bCs/>
          <w:sz w:val="16"/>
          <w:szCs w:val="16"/>
        </w:rPr>
        <w:t>iv</w:t>
      </w:r>
      <w:r w:rsidR="00D93E23" w:rsidRPr="00CE0443">
        <w:rPr>
          <w:rFonts w:ascii="Book Antiqua" w:hAnsi="Book Antiqua" w:cs="Times New Roman"/>
          <w:b/>
          <w:bCs/>
          <w:sz w:val="16"/>
          <w:szCs w:val="16"/>
        </w:rPr>
        <w:t>. Socio-Religious and Institutional Frameworks</w:t>
      </w:r>
      <w:r w:rsidR="00461811">
        <w:rPr>
          <w:rFonts w:ascii="Book Antiqua" w:hAnsi="Book Antiqua" w:cs="Times New Roman"/>
          <w:b/>
          <w:bCs/>
          <w:sz w:val="16"/>
          <w:szCs w:val="16"/>
        </w:rPr>
        <w:t xml:space="preserve">: </w:t>
      </w:r>
      <w:r w:rsidR="00D93E23" w:rsidRPr="00D93E23">
        <w:rPr>
          <w:rFonts w:ascii="Book Antiqua" w:hAnsi="Book Antiqua" w:cs="Times New Roman"/>
          <w:sz w:val="16"/>
          <w:szCs w:val="16"/>
        </w:rPr>
        <w:t xml:space="preserve">Religious values heavily influence financial </w:t>
      </w:r>
      <w:r w:rsidRPr="00D93E23">
        <w:rPr>
          <w:rFonts w:ascii="Book Antiqua" w:hAnsi="Book Antiqua" w:cs="Times New Roman"/>
          <w:sz w:val="16"/>
          <w:szCs w:val="16"/>
        </w:rPr>
        <w:t>behaviours</w:t>
      </w:r>
      <w:r w:rsidR="00D93E23" w:rsidRPr="00D93E23">
        <w:rPr>
          <w:rFonts w:ascii="Book Antiqua" w:hAnsi="Book Antiqua" w:cs="Times New Roman"/>
          <w:sz w:val="16"/>
          <w:szCs w:val="16"/>
        </w:rPr>
        <w:t>. In Muslim-majority settings, standard interest-bearing products often trigger religious objections regarding Riba. Sharia-compliant digital wallets and fee-based micro-savings increase uptake among conservative demographics. Additionally, simplified biometric KYC rules and Direct Benefit Transfers (DBT) act as critical onboarding drivers, though accessible cash-out points are required to prevent immediate cash withdrawals.</w:t>
      </w:r>
    </w:p>
    <w:p w14:paraId="5F24A70E" w14:textId="77777777" w:rsidR="00461811" w:rsidRPr="00461811" w:rsidRDefault="00461811" w:rsidP="00151BE1">
      <w:pPr>
        <w:spacing w:after="0"/>
        <w:jc w:val="both"/>
        <w:rPr>
          <w:rFonts w:ascii="Book Antiqua" w:hAnsi="Book Antiqua" w:cs="Times New Roman"/>
          <w:b/>
          <w:bCs/>
          <w:sz w:val="16"/>
          <w:szCs w:val="16"/>
        </w:rPr>
      </w:pPr>
    </w:p>
    <w:p w14:paraId="2A3EEBC3" w14:textId="754375BC" w:rsidR="00EE6FB0" w:rsidRPr="00DE33EE" w:rsidRDefault="00F74004" w:rsidP="00D93E23">
      <w:pPr>
        <w:jc w:val="both"/>
        <w:rPr>
          <w:rFonts w:ascii="Book Antiqua" w:hAnsi="Book Antiqua" w:cs="Times New Roman"/>
          <w:b/>
          <w:bCs/>
          <w:sz w:val="16"/>
          <w:szCs w:val="16"/>
        </w:rPr>
      </w:pPr>
      <w:r>
        <w:rPr>
          <w:rFonts w:ascii="Book Antiqua" w:hAnsi="Book Antiqua" w:cs="Times New Roman"/>
          <w:b/>
          <w:bCs/>
          <w:sz w:val="16"/>
          <w:szCs w:val="16"/>
        </w:rPr>
        <w:t xml:space="preserve">Table 2: </w:t>
      </w:r>
      <w:r w:rsidR="00524092" w:rsidRPr="00DE33EE">
        <w:rPr>
          <w:rFonts w:ascii="Book Antiqua" w:hAnsi="Book Antiqua" w:cs="Times New Roman"/>
          <w:b/>
          <w:bCs/>
          <w:sz w:val="16"/>
          <w:szCs w:val="16"/>
        </w:rPr>
        <w:t xml:space="preserve">Synthesis </w:t>
      </w:r>
      <w:r w:rsidR="00DE33EE" w:rsidRPr="00DE33EE">
        <w:rPr>
          <w:rFonts w:ascii="Book Antiqua" w:hAnsi="Book Antiqua" w:cs="Times New Roman"/>
          <w:b/>
          <w:bCs/>
          <w:sz w:val="16"/>
          <w:szCs w:val="16"/>
        </w:rPr>
        <w:t>Summary</w:t>
      </w:r>
    </w:p>
    <w:tbl>
      <w:tblPr>
        <w:tblStyle w:val="ListTable3-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1"/>
        <w:gridCol w:w="2302"/>
        <w:gridCol w:w="2603"/>
        <w:gridCol w:w="2590"/>
      </w:tblGrid>
      <w:tr w:rsidR="003F77DC" w:rsidRPr="00C6264F" w14:paraId="6131E5E3" w14:textId="77777777" w:rsidTr="0046181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05CE3D2D" w14:textId="77777777" w:rsidR="003F77DC" w:rsidRPr="00C6264F" w:rsidRDefault="003F77DC" w:rsidP="003F77DC">
            <w:pPr>
              <w:spacing w:line="259" w:lineRule="auto"/>
              <w:rPr>
                <w:rFonts w:ascii="Book Antiqua" w:hAnsi="Book Antiqua"/>
                <w:b w:val="0"/>
                <w:bCs w:val="0"/>
                <w:sz w:val="16"/>
                <w:szCs w:val="16"/>
              </w:rPr>
            </w:pPr>
            <w:r w:rsidRPr="00C6264F">
              <w:rPr>
                <w:rFonts w:ascii="Book Antiqua" w:hAnsi="Book Antiqua"/>
                <w:b w:val="0"/>
                <w:bCs w:val="0"/>
                <w:sz w:val="16"/>
                <w:szCs w:val="16"/>
              </w:rPr>
              <w:t>Domain</w:t>
            </w:r>
          </w:p>
        </w:tc>
        <w:tc>
          <w:tcPr>
            <w:tcW w:w="2302" w:type="dxa"/>
            <w:hideMark/>
          </w:tcPr>
          <w:p w14:paraId="540D9F51" w14:textId="77777777" w:rsidR="003F77DC" w:rsidRPr="00C6264F" w:rsidRDefault="003F77DC" w:rsidP="003F77DC">
            <w:pPr>
              <w:spacing w:line="259" w:lineRule="auto"/>
              <w:cnfStyle w:val="100000000000" w:firstRow="1" w:lastRow="0" w:firstColumn="0" w:lastColumn="0" w:oddVBand="0" w:evenVBand="0" w:oddHBand="0" w:evenHBand="0" w:firstRowFirstColumn="0" w:firstRowLastColumn="0" w:lastRowFirstColumn="0" w:lastRowLastColumn="0"/>
              <w:rPr>
                <w:rFonts w:ascii="Book Antiqua" w:hAnsi="Book Antiqua"/>
                <w:b w:val="0"/>
                <w:bCs w:val="0"/>
                <w:sz w:val="16"/>
                <w:szCs w:val="16"/>
              </w:rPr>
            </w:pPr>
            <w:r w:rsidRPr="00C6264F">
              <w:rPr>
                <w:rFonts w:ascii="Book Antiqua" w:hAnsi="Book Antiqua"/>
                <w:b w:val="0"/>
                <w:bCs w:val="0"/>
                <w:sz w:val="16"/>
                <w:szCs w:val="16"/>
              </w:rPr>
              <w:t>Key Structural Barriers</w:t>
            </w:r>
          </w:p>
        </w:tc>
        <w:tc>
          <w:tcPr>
            <w:tcW w:w="2603" w:type="dxa"/>
            <w:hideMark/>
          </w:tcPr>
          <w:p w14:paraId="29A5DA91" w14:textId="77777777" w:rsidR="003F77DC" w:rsidRPr="00C6264F" w:rsidRDefault="003F77DC" w:rsidP="003F77DC">
            <w:pPr>
              <w:spacing w:line="259" w:lineRule="auto"/>
              <w:cnfStyle w:val="100000000000" w:firstRow="1" w:lastRow="0" w:firstColumn="0" w:lastColumn="0" w:oddVBand="0" w:evenVBand="0" w:oddHBand="0" w:evenHBand="0" w:firstRowFirstColumn="0" w:firstRowLastColumn="0" w:lastRowFirstColumn="0" w:lastRowLastColumn="0"/>
              <w:rPr>
                <w:rFonts w:ascii="Book Antiqua" w:hAnsi="Book Antiqua"/>
                <w:b w:val="0"/>
                <w:bCs w:val="0"/>
                <w:sz w:val="16"/>
                <w:szCs w:val="16"/>
              </w:rPr>
            </w:pPr>
            <w:r w:rsidRPr="00C6264F">
              <w:rPr>
                <w:rFonts w:ascii="Book Antiqua" w:hAnsi="Book Antiqua"/>
                <w:b w:val="0"/>
                <w:bCs w:val="0"/>
                <w:sz w:val="16"/>
                <w:szCs w:val="16"/>
              </w:rPr>
              <w:t>Intervener Dynamics</w:t>
            </w:r>
          </w:p>
        </w:tc>
        <w:tc>
          <w:tcPr>
            <w:tcW w:w="0" w:type="auto"/>
            <w:hideMark/>
          </w:tcPr>
          <w:p w14:paraId="5ABEB4FB" w14:textId="77777777" w:rsidR="003F77DC" w:rsidRPr="00C6264F" w:rsidRDefault="003F77DC" w:rsidP="003F77DC">
            <w:pPr>
              <w:spacing w:line="259" w:lineRule="auto"/>
              <w:cnfStyle w:val="100000000000" w:firstRow="1" w:lastRow="0" w:firstColumn="0" w:lastColumn="0" w:oddVBand="0" w:evenVBand="0" w:oddHBand="0" w:evenHBand="0" w:firstRowFirstColumn="0" w:firstRowLastColumn="0" w:lastRowFirstColumn="0" w:lastRowLastColumn="0"/>
              <w:rPr>
                <w:rFonts w:ascii="Book Antiqua" w:hAnsi="Book Antiqua"/>
                <w:b w:val="0"/>
                <w:bCs w:val="0"/>
                <w:sz w:val="16"/>
                <w:szCs w:val="16"/>
              </w:rPr>
            </w:pPr>
            <w:r w:rsidRPr="00C6264F">
              <w:rPr>
                <w:rFonts w:ascii="Book Antiqua" w:hAnsi="Book Antiqua"/>
                <w:b w:val="0"/>
                <w:bCs w:val="0"/>
                <w:sz w:val="16"/>
                <w:szCs w:val="16"/>
              </w:rPr>
              <w:t>Theoretical Outcome (RAA Lens)</w:t>
            </w:r>
          </w:p>
        </w:tc>
      </w:tr>
      <w:tr w:rsidR="003F77DC" w:rsidRPr="00C6264F" w14:paraId="5B5EE6DD" w14:textId="77777777" w:rsidTr="00461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524D1419" w14:textId="006273DA" w:rsidR="003F77DC" w:rsidRPr="00C6264F" w:rsidRDefault="003F77DC" w:rsidP="003F77DC">
            <w:pPr>
              <w:spacing w:line="259" w:lineRule="auto"/>
              <w:rPr>
                <w:rFonts w:ascii="Book Antiqua" w:hAnsi="Book Antiqua"/>
                <w:b w:val="0"/>
                <w:bCs w:val="0"/>
                <w:sz w:val="16"/>
                <w:szCs w:val="16"/>
              </w:rPr>
            </w:pPr>
            <w:r w:rsidRPr="00C6264F">
              <w:rPr>
                <w:rFonts w:ascii="Book Antiqua" w:hAnsi="Book Antiqua"/>
                <w:b w:val="0"/>
                <w:bCs w:val="0"/>
                <w:sz w:val="16"/>
                <w:szCs w:val="16"/>
              </w:rPr>
              <w:t xml:space="preserve">Patriarchal </w:t>
            </w:r>
            <w:r w:rsidR="00723D64">
              <w:rPr>
                <w:rFonts w:ascii="Book Antiqua" w:hAnsi="Book Antiqua"/>
                <w:b w:val="0"/>
                <w:bCs w:val="0"/>
                <w:sz w:val="16"/>
                <w:szCs w:val="16"/>
              </w:rPr>
              <w:t>and</w:t>
            </w:r>
            <w:r w:rsidRPr="00C6264F">
              <w:rPr>
                <w:rFonts w:ascii="Book Antiqua" w:hAnsi="Book Antiqua"/>
                <w:b w:val="0"/>
                <w:bCs w:val="0"/>
                <w:sz w:val="16"/>
                <w:szCs w:val="16"/>
              </w:rPr>
              <w:t xml:space="preserve"> Household</w:t>
            </w:r>
          </w:p>
        </w:tc>
        <w:tc>
          <w:tcPr>
            <w:tcW w:w="2302" w:type="dxa"/>
            <w:tcBorders>
              <w:top w:val="none" w:sz="0" w:space="0" w:color="auto"/>
              <w:bottom w:val="none" w:sz="0" w:space="0" w:color="auto"/>
            </w:tcBorders>
            <w:hideMark/>
          </w:tcPr>
          <w:p w14:paraId="7208ECBA"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Shared devices, male PIN control, domestic surveillance.</w:t>
            </w:r>
          </w:p>
        </w:tc>
        <w:tc>
          <w:tcPr>
            <w:tcW w:w="2603" w:type="dxa"/>
            <w:tcBorders>
              <w:top w:val="none" w:sz="0" w:space="0" w:color="auto"/>
              <w:bottom w:val="none" w:sz="0" w:space="0" w:color="auto"/>
            </w:tcBorders>
            <w:hideMark/>
          </w:tcPr>
          <w:p w14:paraId="5B6EA01E"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Discrete UI design, hidden sub-balances, biometric authentication.</w:t>
            </w:r>
          </w:p>
        </w:tc>
        <w:tc>
          <w:tcPr>
            <w:tcW w:w="0" w:type="auto"/>
            <w:tcBorders>
              <w:top w:val="none" w:sz="0" w:space="0" w:color="auto"/>
              <w:bottom w:val="none" w:sz="0" w:space="0" w:color="auto"/>
            </w:tcBorders>
            <w:hideMark/>
          </w:tcPr>
          <w:p w14:paraId="3E01852D"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 xml:space="preserve">Resource </w:t>
            </w:r>
            <m:oMath>
              <m:r>
                <w:rPr>
                  <w:rFonts w:ascii="Cambria Math" w:hAnsi="Cambria Math"/>
                  <w:sz w:val="16"/>
                  <w:szCs w:val="16"/>
                </w:rPr>
                <m:t>→</m:t>
              </m:r>
            </m:oMath>
            <w:r w:rsidRPr="00C6264F">
              <w:rPr>
                <w:rFonts w:ascii="Book Antiqua" w:hAnsi="Book Antiqua"/>
                <w:sz w:val="16"/>
                <w:szCs w:val="16"/>
              </w:rPr>
              <w:t xml:space="preserve"> Agency: Protects user privacy for autonomous decisions.</w:t>
            </w:r>
          </w:p>
        </w:tc>
      </w:tr>
      <w:tr w:rsidR="003F77DC" w:rsidRPr="00C6264F" w14:paraId="11B6FC58" w14:textId="77777777" w:rsidTr="00461811">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CB8C1E" w14:textId="7DD7BF87" w:rsidR="003F77DC" w:rsidRPr="00C6264F" w:rsidRDefault="003F77DC" w:rsidP="003F77DC">
            <w:pPr>
              <w:spacing w:line="259" w:lineRule="auto"/>
              <w:rPr>
                <w:rFonts w:ascii="Book Antiqua" w:hAnsi="Book Antiqua"/>
                <w:b w:val="0"/>
                <w:bCs w:val="0"/>
                <w:sz w:val="16"/>
                <w:szCs w:val="16"/>
              </w:rPr>
            </w:pPr>
            <w:r w:rsidRPr="00C6264F">
              <w:rPr>
                <w:rFonts w:ascii="Book Antiqua" w:hAnsi="Book Antiqua"/>
                <w:b w:val="0"/>
                <w:bCs w:val="0"/>
                <w:sz w:val="16"/>
                <w:szCs w:val="16"/>
              </w:rPr>
              <w:t xml:space="preserve">Interface </w:t>
            </w:r>
            <w:r w:rsidR="00723D64">
              <w:rPr>
                <w:rFonts w:ascii="Book Antiqua" w:hAnsi="Book Antiqua"/>
                <w:b w:val="0"/>
                <w:bCs w:val="0"/>
                <w:sz w:val="16"/>
                <w:szCs w:val="16"/>
              </w:rPr>
              <w:t>and</w:t>
            </w:r>
            <w:r w:rsidRPr="00C6264F">
              <w:rPr>
                <w:rFonts w:ascii="Book Antiqua" w:hAnsi="Book Antiqua"/>
                <w:b w:val="0"/>
                <w:bCs w:val="0"/>
                <w:sz w:val="16"/>
                <w:szCs w:val="16"/>
              </w:rPr>
              <w:t xml:space="preserve"> Digital Capability</w:t>
            </w:r>
          </w:p>
        </w:tc>
        <w:tc>
          <w:tcPr>
            <w:tcW w:w="2302" w:type="dxa"/>
            <w:hideMark/>
          </w:tcPr>
          <w:p w14:paraId="35CB40F4"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Text-heavy interfaces, non-native languages, complex user journeys.</w:t>
            </w:r>
          </w:p>
        </w:tc>
        <w:tc>
          <w:tcPr>
            <w:tcW w:w="2603" w:type="dxa"/>
            <w:hideMark/>
          </w:tcPr>
          <w:p w14:paraId="51879340"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Voice-guided prompts, iconographic menus, sandbox environments.</w:t>
            </w:r>
          </w:p>
        </w:tc>
        <w:tc>
          <w:tcPr>
            <w:tcW w:w="0" w:type="auto"/>
            <w:hideMark/>
          </w:tcPr>
          <w:p w14:paraId="5928EA72"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 xml:space="preserve">Resource </w:t>
            </w:r>
            <m:oMath>
              <m:r>
                <w:rPr>
                  <w:rFonts w:ascii="Cambria Math" w:hAnsi="Cambria Math"/>
                  <w:sz w:val="16"/>
                  <w:szCs w:val="16"/>
                </w:rPr>
                <m:t>→</m:t>
              </m:r>
            </m:oMath>
            <w:r w:rsidRPr="00C6264F">
              <w:rPr>
                <w:rFonts w:ascii="Book Antiqua" w:hAnsi="Book Antiqua"/>
                <w:sz w:val="16"/>
                <w:szCs w:val="16"/>
              </w:rPr>
              <w:t xml:space="preserve"> Agency: Lowers cognitive friction and proxy reliance.</w:t>
            </w:r>
          </w:p>
        </w:tc>
      </w:tr>
      <w:tr w:rsidR="003F77DC" w:rsidRPr="00C6264F" w14:paraId="7331B855" w14:textId="77777777" w:rsidTr="00461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33FB8925" w14:textId="7C050C0C" w:rsidR="003F77DC" w:rsidRPr="00C6264F" w:rsidRDefault="003F77DC" w:rsidP="003F77DC">
            <w:pPr>
              <w:spacing w:line="259" w:lineRule="auto"/>
              <w:rPr>
                <w:rFonts w:ascii="Book Antiqua" w:hAnsi="Book Antiqua"/>
                <w:b w:val="0"/>
                <w:bCs w:val="0"/>
                <w:sz w:val="16"/>
                <w:szCs w:val="16"/>
              </w:rPr>
            </w:pPr>
            <w:r w:rsidRPr="00C6264F">
              <w:rPr>
                <w:rFonts w:ascii="Book Antiqua" w:hAnsi="Book Antiqua"/>
                <w:b w:val="0"/>
                <w:bCs w:val="0"/>
                <w:sz w:val="16"/>
                <w:szCs w:val="16"/>
              </w:rPr>
              <w:t xml:space="preserve">Agent </w:t>
            </w:r>
            <w:r w:rsidR="00723D64">
              <w:rPr>
                <w:rFonts w:ascii="Book Antiqua" w:hAnsi="Book Antiqua"/>
                <w:b w:val="0"/>
                <w:bCs w:val="0"/>
                <w:sz w:val="16"/>
                <w:szCs w:val="16"/>
              </w:rPr>
              <w:t>and</w:t>
            </w:r>
            <w:r w:rsidRPr="00C6264F">
              <w:rPr>
                <w:rFonts w:ascii="Book Antiqua" w:hAnsi="Book Antiqua"/>
                <w:b w:val="0"/>
                <w:bCs w:val="0"/>
                <w:sz w:val="16"/>
                <w:szCs w:val="16"/>
              </w:rPr>
              <w:t xml:space="preserve"> Spatial Mobility</w:t>
            </w:r>
          </w:p>
        </w:tc>
        <w:tc>
          <w:tcPr>
            <w:tcW w:w="2302" w:type="dxa"/>
            <w:tcBorders>
              <w:top w:val="none" w:sz="0" w:space="0" w:color="auto"/>
              <w:bottom w:val="none" w:sz="0" w:space="0" w:color="auto"/>
            </w:tcBorders>
            <w:hideMark/>
          </w:tcPr>
          <w:p w14:paraId="53C92DBA"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Public market placement, male agent dominance, mobility restrictions.</w:t>
            </w:r>
          </w:p>
        </w:tc>
        <w:tc>
          <w:tcPr>
            <w:tcW w:w="2603" w:type="dxa"/>
            <w:tcBorders>
              <w:top w:val="none" w:sz="0" w:space="0" w:color="auto"/>
              <w:bottom w:val="none" w:sz="0" w:space="0" w:color="auto"/>
            </w:tcBorders>
            <w:hideMark/>
          </w:tcPr>
          <w:p w14:paraId="67EC17E1"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Deployment of female agents (</w:t>
            </w:r>
            <w:r w:rsidRPr="00C6264F">
              <w:rPr>
                <w:rFonts w:ascii="Book Antiqua" w:hAnsi="Book Antiqua"/>
                <w:i/>
                <w:iCs/>
                <w:sz w:val="16"/>
                <w:szCs w:val="16"/>
              </w:rPr>
              <w:t>Bank Sakhis</w:t>
            </w:r>
            <w:r w:rsidRPr="00C6264F">
              <w:rPr>
                <w:rFonts w:ascii="Book Antiqua" w:hAnsi="Book Antiqua"/>
                <w:sz w:val="16"/>
                <w:szCs w:val="16"/>
              </w:rPr>
              <w:t>), doorstep services.</w:t>
            </w:r>
          </w:p>
        </w:tc>
        <w:tc>
          <w:tcPr>
            <w:tcW w:w="0" w:type="auto"/>
            <w:tcBorders>
              <w:top w:val="none" w:sz="0" w:space="0" w:color="auto"/>
              <w:bottom w:val="none" w:sz="0" w:space="0" w:color="auto"/>
            </w:tcBorders>
            <w:hideMark/>
          </w:tcPr>
          <w:p w14:paraId="675CEE60" w14:textId="77777777" w:rsidR="003F77DC" w:rsidRPr="00C6264F" w:rsidRDefault="003F77DC" w:rsidP="003F77DC">
            <w:pPr>
              <w:spacing w:line="259" w:lineRule="auto"/>
              <w:cnfStyle w:val="000000100000" w:firstRow="0" w:lastRow="0" w:firstColumn="0" w:lastColumn="0" w:oddVBand="0" w:evenVBand="0" w:oddHBand="1"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 xml:space="preserve">Resource </w:t>
            </w:r>
            <m:oMath>
              <m:r>
                <w:rPr>
                  <w:rFonts w:ascii="Cambria Math" w:hAnsi="Cambria Math"/>
                  <w:sz w:val="16"/>
                  <w:szCs w:val="16"/>
                </w:rPr>
                <m:t>→</m:t>
              </m:r>
            </m:oMath>
            <w:r w:rsidRPr="00C6264F">
              <w:rPr>
                <w:rFonts w:ascii="Book Antiqua" w:hAnsi="Book Antiqua"/>
                <w:sz w:val="16"/>
                <w:szCs w:val="16"/>
              </w:rPr>
              <w:t xml:space="preserve"> Agency: Bypasses mobility constraints and privacy fears.</w:t>
            </w:r>
          </w:p>
        </w:tc>
      </w:tr>
      <w:tr w:rsidR="003F77DC" w:rsidRPr="00C6264F" w14:paraId="2A40B69C" w14:textId="77777777" w:rsidTr="00461811">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5797E74" w14:textId="2EF91582" w:rsidR="003F77DC" w:rsidRPr="00C6264F" w:rsidRDefault="003F77DC" w:rsidP="003F77DC">
            <w:pPr>
              <w:spacing w:line="259" w:lineRule="auto"/>
              <w:rPr>
                <w:rFonts w:ascii="Book Antiqua" w:hAnsi="Book Antiqua"/>
                <w:b w:val="0"/>
                <w:bCs w:val="0"/>
                <w:sz w:val="16"/>
                <w:szCs w:val="16"/>
              </w:rPr>
            </w:pPr>
            <w:r w:rsidRPr="00C6264F">
              <w:rPr>
                <w:rFonts w:ascii="Book Antiqua" w:hAnsi="Book Antiqua"/>
                <w:b w:val="0"/>
                <w:bCs w:val="0"/>
                <w:sz w:val="16"/>
                <w:szCs w:val="16"/>
              </w:rPr>
              <w:t xml:space="preserve">Institutional </w:t>
            </w:r>
            <w:r w:rsidR="00723D64">
              <w:rPr>
                <w:rFonts w:ascii="Book Antiqua" w:hAnsi="Book Antiqua"/>
                <w:b w:val="0"/>
                <w:bCs w:val="0"/>
                <w:sz w:val="16"/>
                <w:szCs w:val="16"/>
              </w:rPr>
              <w:t>and</w:t>
            </w:r>
            <w:r w:rsidRPr="00C6264F">
              <w:rPr>
                <w:rFonts w:ascii="Book Antiqua" w:hAnsi="Book Antiqua"/>
                <w:b w:val="0"/>
                <w:bCs w:val="0"/>
                <w:sz w:val="16"/>
                <w:szCs w:val="16"/>
              </w:rPr>
              <w:t xml:space="preserve"> Regulatory</w:t>
            </w:r>
          </w:p>
        </w:tc>
        <w:tc>
          <w:tcPr>
            <w:tcW w:w="2302" w:type="dxa"/>
            <w:hideMark/>
          </w:tcPr>
          <w:p w14:paraId="30F4FF6F"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 xml:space="preserve">Strict KYC, interest-bearing products conflicting with </w:t>
            </w:r>
            <w:r w:rsidRPr="00C6264F">
              <w:rPr>
                <w:rFonts w:ascii="Book Antiqua" w:hAnsi="Book Antiqua"/>
                <w:i/>
                <w:iCs/>
                <w:sz w:val="16"/>
                <w:szCs w:val="16"/>
              </w:rPr>
              <w:t>Riba</w:t>
            </w:r>
            <w:r w:rsidRPr="00C6264F">
              <w:rPr>
                <w:rFonts w:ascii="Book Antiqua" w:hAnsi="Book Antiqua"/>
                <w:sz w:val="16"/>
                <w:szCs w:val="16"/>
              </w:rPr>
              <w:t>.</w:t>
            </w:r>
          </w:p>
        </w:tc>
        <w:tc>
          <w:tcPr>
            <w:tcW w:w="2603" w:type="dxa"/>
            <w:hideMark/>
          </w:tcPr>
          <w:p w14:paraId="41F81041"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Tiered biometric KYC, Sharia-compliant products, DBT integration.</w:t>
            </w:r>
          </w:p>
        </w:tc>
        <w:tc>
          <w:tcPr>
            <w:tcW w:w="0" w:type="auto"/>
            <w:hideMark/>
          </w:tcPr>
          <w:p w14:paraId="649459AA" w14:textId="77777777" w:rsidR="003F77DC" w:rsidRPr="00C6264F" w:rsidRDefault="003F77DC" w:rsidP="003F77DC">
            <w:pPr>
              <w:spacing w:line="259" w:lineRule="auto"/>
              <w:cnfStyle w:val="000000000000" w:firstRow="0" w:lastRow="0" w:firstColumn="0" w:lastColumn="0" w:oddVBand="0" w:evenVBand="0" w:oddHBand="0" w:evenHBand="0" w:firstRowFirstColumn="0" w:firstRowLastColumn="0" w:lastRowFirstColumn="0" w:lastRowLastColumn="0"/>
              <w:rPr>
                <w:rFonts w:ascii="Book Antiqua" w:hAnsi="Book Antiqua"/>
                <w:sz w:val="16"/>
                <w:szCs w:val="16"/>
              </w:rPr>
            </w:pPr>
            <w:r w:rsidRPr="00C6264F">
              <w:rPr>
                <w:rFonts w:ascii="Book Antiqua" w:hAnsi="Book Antiqua"/>
                <w:sz w:val="16"/>
                <w:szCs w:val="16"/>
              </w:rPr>
              <w:t xml:space="preserve">Agency </w:t>
            </w:r>
            <m:oMath>
              <m:r>
                <w:rPr>
                  <w:rFonts w:ascii="Cambria Math" w:hAnsi="Cambria Math"/>
                  <w:sz w:val="16"/>
                  <w:szCs w:val="16"/>
                </w:rPr>
                <m:t>→</m:t>
              </m:r>
            </m:oMath>
            <w:r w:rsidRPr="00C6264F">
              <w:rPr>
                <w:rFonts w:ascii="Book Antiqua" w:hAnsi="Book Antiqua"/>
                <w:sz w:val="16"/>
                <w:szCs w:val="16"/>
              </w:rPr>
              <w:t xml:space="preserve"> Achievement: Translates platform access into long-term security.</w:t>
            </w:r>
          </w:p>
        </w:tc>
      </w:tr>
    </w:tbl>
    <w:p w14:paraId="214FC597" w14:textId="77777777" w:rsidR="00DE33EE" w:rsidRDefault="00DE33EE" w:rsidP="003F77DC">
      <w:pPr>
        <w:spacing w:after="0"/>
        <w:jc w:val="both"/>
        <w:rPr>
          <w:rFonts w:ascii="Book Antiqua" w:hAnsi="Book Antiqua" w:cs="Times New Roman"/>
          <w:sz w:val="16"/>
          <w:szCs w:val="16"/>
        </w:rPr>
      </w:pPr>
    </w:p>
    <w:p w14:paraId="313F9786" w14:textId="3D17DA27" w:rsidR="00E27CB0" w:rsidRPr="00E27CB0" w:rsidRDefault="00E27CB0" w:rsidP="00D93E23">
      <w:pPr>
        <w:jc w:val="both"/>
        <w:rPr>
          <w:rFonts w:ascii="Book Antiqua" w:hAnsi="Book Antiqua" w:cs="Times New Roman"/>
          <w:b/>
          <w:bCs/>
          <w:sz w:val="16"/>
          <w:szCs w:val="16"/>
        </w:rPr>
      </w:pPr>
      <w:r w:rsidRPr="00E27CB0">
        <w:rPr>
          <w:rFonts w:ascii="Book Antiqua" w:hAnsi="Book Antiqua" w:cs="Times New Roman"/>
          <w:b/>
          <w:bCs/>
          <w:sz w:val="16"/>
          <w:szCs w:val="16"/>
        </w:rPr>
        <w:t>3.</w:t>
      </w:r>
      <w:r w:rsidR="00D00973">
        <w:rPr>
          <w:rFonts w:ascii="Book Antiqua" w:hAnsi="Book Antiqua" w:cs="Times New Roman"/>
          <w:b/>
          <w:bCs/>
          <w:sz w:val="16"/>
          <w:szCs w:val="16"/>
        </w:rPr>
        <w:t>3.</w:t>
      </w:r>
      <w:r w:rsidR="00F74004">
        <w:rPr>
          <w:rFonts w:ascii="Book Antiqua" w:hAnsi="Book Antiqua" w:cs="Times New Roman"/>
          <w:b/>
          <w:bCs/>
          <w:sz w:val="16"/>
          <w:szCs w:val="16"/>
        </w:rPr>
        <w:t>4</w:t>
      </w:r>
      <w:r w:rsidRPr="00E27CB0">
        <w:rPr>
          <w:rFonts w:ascii="Book Antiqua" w:hAnsi="Book Antiqua" w:cs="Times New Roman"/>
          <w:b/>
          <w:bCs/>
          <w:sz w:val="16"/>
          <w:szCs w:val="16"/>
        </w:rPr>
        <w:t xml:space="preserve"> Beyond Resources: Mapping Customer Experience Cues to Kabeer’s Empowerment Framework</w:t>
      </w:r>
    </w:p>
    <w:p w14:paraId="47BD5045" w14:textId="1DD5BCE3" w:rsidR="00112C79" w:rsidRPr="00112C79" w:rsidRDefault="00112C79" w:rsidP="00D93E23">
      <w:pPr>
        <w:jc w:val="both"/>
        <w:rPr>
          <w:rFonts w:ascii="Book Antiqua" w:hAnsi="Book Antiqua" w:cs="Times New Roman"/>
          <w:sz w:val="16"/>
          <w:szCs w:val="16"/>
        </w:rPr>
      </w:pPr>
      <w:r w:rsidRPr="00112C79">
        <w:rPr>
          <w:rFonts w:ascii="Book Antiqua" w:hAnsi="Book Antiqua" w:cs="Times New Roman"/>
          <w:sz w:val="16"/>
          <w:szCs w:val="16"/>
        </w:rPr>
        <w:t xml:space="preserve">Moving from generic utility, </w:t>
      </w:r>
      <w:r w:rsidRPr="00112C79">
        <w:rPr>
          <w:rFonts w:ascii="Book Antiqua" w:hAnsi="Book Antiqua" w:cs="Times New Roman"/>
          <w:color w:val="0070C0"/>
          <w:sz w:val="16"/>
          <w:szCs w:val="16"/>
        </w:rPr>
        <w:t xml:space="preserve">Padma Kiran and Vedala (2025) </w:t>
      </w:r>
      <w:r w:rsidRPr="00112C79">
        <w:rPr>
          <w:rFonts w:ascii="Book Antiqua" w:hAnsi="Book Antiqua" w:cs="Times New Roman"/>
          <w:sz w:val="16"/>
          <w:szCs w:val="16"/>
        </w:rPr>
        <w:t xml:space="preserve">prove that platform trust and add-on services directly determine usage longevity. </w:t>
      </w:r>
      <w:r w:rsidRPr="00112C79">
        <w:rPr>
          <w:rFonts w:ascii="Book Antiqua" w:hAnsi="Book Antiqua" w:cs="Times New Roman"/>
          <w:color w:val="0070C0"/>
          <w:sz w:val="16"/>
          <w:szCs w:val="16"/>
        </w:rPr>
        <w:t xml:space="preserve">Zhang </w:t>
      </w:r>
      <w:r w:rsidRPr="00112C79">
        <w:rPr>
          <w:rFonts w:ascii="Book Antiqua" w:hAnsi="Book Antiqua" w:cs="Times New Roman"/>
          <w:i/>
          <w:iCs/>
          <w:color w:val="0070C0"/>
          <w:sz w:val="16"/>
          <w:szCs w:val="16"/>
        </w:rPr>
        <w:t xml:space="preserve">et al. </w:t>
      </w:r>
      <w:r w:rsidRPr="00112C79">
        <w:rPr>
          <w:rFonts w:ascii="Book Antiqua" w:hAnsi="Book Antiqua" w:cs="Times New Roman"/>
          <w:color w:val="0070C0"/>
          <w:sz w:val="16"/>
          <w:szCs w:val="16"/>
        </w:rPr>
        <w:t xml:space="preserve">(2023) </w:t>
      </w:r>
      <w:r w:rsidRPr="00112C79">
        <w:rPr>
          <w:rFonts w:ascii="Book Antiqua" w:hAnsi="Book Antiqua" w:cs="Times New Roman"/>
          <w:sz w:val="16"/>
          <w:szCs w:val="16"/>
        </w:rPr>
        <w:t xml:space="preserve">confirm that data </w:t>
      </w:r>
      <w:r w:rsidR="00887467" w:rsidRPr="00112C79">
        <w:rPr>
          <w:rFonts w:ascii="Book Antiqua" w:hAnsi="Book Antiqua" w:cs="Times New Roman"/>
          <w:sz w:val="16"/>
          <w:szCs w:val="16"/>
        </w:rPr>
        <w:t>safety</w:t>
      </w:r>
      <w:r w:rsidRPr="00112C79">
        <w:rPr>
          <w:rFonts w:ascii="Book Antiqua" w:hAnsi="Book Antiqua" w:cs="Times New Roman"/>
          <w:sz w:val="16"/>
          <w:szCs w:val="16"/>
        </w:rPr>
        <w:t xml:space="preserve"> and system trust jointly drive adoption intentions, while </w:t>
      </w:r>
      <w:r w:rsidRPr="00112C79">
        <w:rPr>
          <w:rFonts w:ascii="Book Antiqua" w:hAnsi="Book Antiqua" w:cs="Times New Roman"/>
          <w:color w:val="0070C0"/>
          <w:sz w:val="16"/>
          <w:szCs w:val="16"/>
        </w:rPr>
        <w:t xml:space="preserve">Sumi </w:t>
      </w:r>
      <w:r w:rsidRPr="00112C79">
        <w:rPr>
          <w:rFonts w:ascii="Book Antiqua" w:hAnsi="Book Antiqua" w:cs="Times New Roman"/>
          <w:i/>
          <w:iCs/>
          <w:color w:val="0070C0"/>
          <w:sz w:val="16"/>
          <w:szCs w:val="16"/>
        </w:rPr>
        <w:t>et al.</w:t>
      </w:r>
      <w:r w:rsidRPr="00112C79">
        <w:rPr>
          <w:rFonts w:ascii="Book Antiqua" w:hAnsi="Book Antiqua" w:cs="Times New Roman"/>
          <w:color w:val="0070C0"/>
          <w:sz w:val="16"/>
          <w:szCs w:val="16"/>
        </w:rPr>
        <w:t xml:space="preserve"> (2025) </w:t>
      </w:r>
      <w:r w:rsidRPr="00112C79">
        <w:rPr>
          <w:rFonts w:ascii="Book Antiqua" w:hAnsi="Book Antiqua" w:cs="Times New Roman"/>
          <w:sz w:val="16"/>
          <w:szCs w:val="16"/>
        </w:rPr>
        <w:t xml:space="preserve">show that gender significantly moderates how trust constructs translate into interface usage. Standardizing these dimensions, </w:t>
      </w:r>
      <w:r w:rsidRPr="00112C79">
        <w:rPr>
          <w:rFonts w:ascii="Book Antiqua" w:hAnsi="Book Antiqua" w:cs="Times New Roman"/>
          <w:color w:val="0070C0"/>
          <w:sz w:val="16"/>
          <w:szCs w:val="16"/>
        </w:rPr>
        <w:t xml:space="preserve">Chauhan </w:t>
      </w:r>
      <w:r w:rsidRPr="00112C79">
        <w:rPr>
          <w:rFonts w:ascii="Book Antiqua" w:hAnsi="Book Antiqua" w:cs="Times New Roman"/>
          <w:i/>
          <w:iCs/>
          <w:color w:val="0070C0"/>
          <w:sz w:val="16"/>
          <w:szCs w:val="16"/>
        </w:rPr>
        <w:t xml:space="preserve">et al. </w:t>
      </w:r>
      <w:r w:rsidRPr="00112C79">
        <w:rPr>
          <w:rFonts w:ascii="Book Antiqua" w:hAnsi="Book Antiqua" w:cs="Times New Roman"/>
          <w:color w:val="0070C0"/>
          <w:sz w:val="16"/>
          <w:szCs w:val="16"/>
        </w:rPr>
        <w:t xml:space="preserve">(2022) </w:t>
      </w:r>
      <w:r w:rsidRPr="00112C79">
        <w:rPr>
          <w:rFonts w:ascii="Book Antiqua" w:hAnsi="Book Antiqua" w:cs="Times New Roman"/>
          <w:sz w:val="16"/>
          <w:szCs w:val="16"/>
        </w:rPr>
        <w:t>categori</w:t>
      </w:r>
      <w:r>
        <w:rPr>
          <w:rFonts w:ascii="Book Antiqua" w:hAnsi="Book Antiqua" w:cs="Times New Roman"/>
          <w:sz w:val="16"/>
          <w:szCs w:val="16"/>
        </w:rPr>
        <w:t>s</w:t>
      </w:r>
      <w:r w:rsidRPr="00112C79">
        <w:rPr>
          <w:rFonts w:ascii="Book Antiqua" w:hAnsi="Book Antiqua" w:cs="Times New Roman"/>
          <w:sz w:val="16"/>
          <w:szCs w:val="16"/>
        </w:rPr>
        <w:t>e customer experience into:</w:t>
      </w:r>
    </w:p>
    <w:p w14:paraId="44BD2FBF" w14:textId="77777777" w:rsidR="00112C79" w:rsidRPr="00112C79" w:rsidRDefault="00112C79" w:rsidP="00E27FAE">
      <w:pPr>
        <w:spacing w:after="0"/>
        <w:jc w:val="both"/>
        <w:rPr>
          <w:rFonts w:ascii="Book Antiqua" w:hAnsi="Book Antiqua" w:cs="Times New Roman"/>
          <w:sz w:val="16"/>
          <w:szCs w:val="16"/>
        </w:rPr>
      </w:pPr>
      <w:r w:rsidRPr="00112C79">
        <w:rPr>
          <w:rFonts w:ascii="Book Antiqua" w:hAnsi="Book Antiqua" w:cs="Times New Roman"/>
          <w:sz w:val="16"/>
          <w:szCs w:val="16"/>
        </w:rPr>
        <w:t xml:space="preserve">1. </w:t>
      </w:r>
      <w:r w:rsidRPr="00112C79">
        <w:rPr>
          <w:rFonts w:ascii="Book Antiqua" w:hAnsi="Book Antiqua" w:cs="Times New Roman"/>
          <w:b/>
          <w:bCs/>
          <w:sz w:val="16"/>
          <w:szCs w:val="16"/>
        </w:rPr>
        <w:t>Functional Cues:</w:t>
      </w:r>
      <w:r w:rsidRPr="00112C79">
        <w:rPr>
          <w:rFonts w:ascii="Book Antiqua" w:hAnsi="Book Antiqua" w:cs="Times New Roman"/>
          <w:sz w:val="16"/>
          <w:szCs w:val="16"/>
        </w:rPr>
        <w:t xml:space="preserve"> Security, transaction speed, reliability.</w:t>
      </w:r>
    </w:p>
    <w:p w14:paraId="28DD9392" w14:textId="77777777" w:rsidR="00112C79" w:rsidRPr="00112C79" w:rsidRDefault="00112C79" w:rsidP="00E27FAE">
      <w:pPr>
        <w:spacing w:after="0"/>
        <w:jc w:val="both"/>
        <w:rPr>
          <w:rFonts w:ascii="Book Antiqua" w:hAnsi="Book Antiqua" w:cs="Times New Roman"/>
          <w:sz w:val="16"/>
          <w:szCs w:val="16"/>
        </w:rPr>
      </w:pPr>
      <w:r w:rsidRPr="00112C79">
        <w:rPr>
          <w:rFonts w:ascii="Book Antiqua" w:hAnsi="Book Antiqua" w:cs="Times New Roman"/>
          <w:sz w:val="16"/>
          <w:szCs w:val="16"/>
        </w:rPr>
        <w:t xml:space="preserve">2. </w:t>
      </w:r>
      <w:r w:rsidRPr="00112C79">
        <w:rPr>
          <w:rFonts w:ascii="Book Antiqua" w:hAnsi="Book Antiqua" w:cs="Times New Roman"/>
          <w:b/>
          <w:bCs/>
          <w:sz w:val="16"/>
          <w:szCs w:val="16"/>
        </w:rPr>
        <w:t>Mechanic Cues:</w:t>
      </w:r>
      <w:r w:rsidRPr="00112C79">
        <w:rPr>
          <w:rFonts w:ascii="Book Antiqua" w:hAnsi="Book Antiqua" w:cs="Times New Roman"/>
          <w:sz w:val="16"/>
          <w:szCs w:val="16"/>
        </w:rPr>
        <w:t xml:space="preserve"> Visual design, navigability, audio/iconographic interfaces.</w:t>
      </w:r>
    </w:p>
    <w:p w14:paraId="1E923E59" w14:textId="57731211" w:rsidR="00497C2C" w:rsidRDefault="00112C79" w:rsidP="00E27FAE">
      <w:pPr>
        <w:spacing w:after="0"/>
        <w:jc w:val="both"/>
        <w:rPr>
          <w:rFonts w:ascii="Book Antiqua" w:hAnsi="Book Antiqua" w:cs="Times New Roman"/>
          <w:sz w:val="16"/>
          <w:szCs w:val="16"/>
        </w:rPr>
      </w:pPr>
      <w:r w:rsidRPr="00112C79">
        <w:rPr>
          <w:rFonts w:ascii="Book Antiqua" w:hAnsi="Book Antiqua" w:cs="Times New Roman"/>
          <w:sz w:val="16"/>
          <w:szCs w:val="16"/>
        </w:rPr>
        <w:t xml:space="preserve">3. </w:t>
      </w:r>
      <w:r w:rsidRPr="00112C79">
        <w:rPr>
          <w:rFonts w:ascii="Book Antiqua" w:hAnsi="Book Antiqua" w:cs="Times New Roman"/>
          <w:b/>
          <w:bCs/>
          <w:sz w:val="16"/>
          <w:szCs w:val="16"/>
        </w:rPr>
        <w:t>Humanic Cues:</w:t>
      </w:r>
      <w:r w:rsidRPr="00112C79">
        <w:rPr>
          <w:rFonts w:ascii="Book Antiqua" w:hAnsi="Book Antiqua" w:cs="Times New Roman"/>
          <w:sz w:val="16"/>
          <w:szCs w:val="16"/>
        </w:rPr>
        <w:t xml:space="preserve"> Agent network interactions, customer service responsiveness.</w:t>
      </w:r>
    </w:p>
    <w:p w14:paraId="7B06B328" w14:textId="77777777" w:rsidR="008A5381" w:rsidRDefault="008A5381" w:rsidP="00E27FAE">
      <w:pPr>
        <w:spacing w:after="0"/>
        <w:jc w:val="both"/>
        <w:rPr>
          <w:rFonts w:ascii="Book Antiqua" w:hAnsi="Book Antiqua" w:cs="Times New Roman"/>
          <w:sz w:val="16"/>
          <w:szCs w:val="16"/>
        </w:rPr>
      </w:pPr>
    </w:p>
    <w:p w14:paraId="2B80DC4E" w14:textId="7940692F" w:rsidR="00DB460F" w:rsidRDefault="008A5381" w:rsidP="00DB460F">
      <w:pPr>
        <w:spacing w:after="0"/>
        <w:jc w:val="both"/>
        <w:rPr>
          <w:rFonts w:ascii="Book Antiqua" w:hAnsi="Book Antiqua" w:cs="Times New Roman"/>
          <w:sz w:val="16"/>
          <w:szCs w:val="16"/>
        </w:rPr>
      </w:pPr>
      <w:r w:rsidRPr="008A5381">
        <w:rPr>
          <w:rFonts w:ascii="Book Antiqua" w:hAnsi="Book Antiqua" w:cs="Times New Roman"/>
          <w:sz w:val="16"/>
          <w:szCs w:val="16"/>
        </w:rPr>
        <w:t>When mapped onto Kabeer’s (1999) framework, standard FinTech interventions focus exclusively on 'Resources' (functional cues/gross account creation) while ignoring 'Agency' (mechanic and humanic cues). Without agency-enabling design, digital tools fail to yield genuine economic achievements.</w:t>
      </w:r>
    </w:p>
    <w:p w14:paraId="2913CE34" w14:textId="77777777" w:rsidR="00CC26D9" w:rsidRDefault="00CC26D9" w:rsidP="000D6C5A">
      <w:pPr>
        <w:jc w:val="both"/>
        <w:rPr>
          <w:rFonts w:ascii="Book Antiqua" w:hAnsi="Book Antiqua" w:cs="Times New Roman"/>
          <w:b/>
          <w:bCs/>
          <w:sz w:val="16"/>
          <w:szCs w:val="16"/>
        </w:rPr>
      </w:pPr>
    </w:p>
    <w:p w14:paraId="69B1413A" w14:textId="77777777" w:rsidR="00D23BC4" w:rsidRDefault="00D23BC4" w:rsidP="000D6C5A">
      <w:pPr>
        <w:jc w:val="both"/>
        <w:rPr>
          <w:rFonts w:ascii="Book Antiqua" w:hAnsi="Book Antiqua" w:cs="Times New Roman"/>
          <w:b/>
          <w:bCs/>
          <w:sz w:val="16"/>
          <w:szCs w:val="16"/>
        </w:rPr>
      </w:pPr>
    </w:p>
    <w:p w14:paraId="70513A53" w14:textId="20474866" w:rsidR="000D6C5A" w:rsidRPr="002D6278" w:rsidRDefault="000D6C5A" w:rsidP="000D6C5A">
      <w:pPr>
        <w:jc w:val="both"/>
        <w:rPr>
          <w:rFonts w:ascii="Book Antiqua" w:hAnsi="Book Antiqua" w:cs="Times New Roman"/>
          <w:sz w:val="16"/>
          <w:szCs w:val="16"/>
        </w:rPr>
      </w:pPr>
      <w:r w:rsidRPr="002D6278">
        <w:rPr>
          <w:rFonts w:ascii="Book Antiqua" w:hAnsi="Book Antiqua" w:cs="Times New Roman"/>
          <w:b/>
          <w:bCs/>
          <w:sz w:val="16"/>
          <w:szCs w:val="16"/>
        </w:rPr>
        <w:lastRenderedPageBreak/>
        <w:t xml:space="preserve">Figure </w:t>
      </w:r>
      <w:r w:rsidR="00E1250A" w:rsidRPr="002D6278">
        <w:rPr>
          <w:rFonts w:ascii="Book Antiqua" w:hAnsi="Book Antiqua" w:cs="Times New Roman"/>
          <w:b/>
          <w:bCs/>
          <w:sz w:val="16"/>
          <w:szCs w:val="16"/>
        </w:rPr>
        <w:t>1</w:t>
      </w:r>
      <w:r w:rsidRPr="002D6278">
        <w:rPr>
          <w:rFonts w:ascii="Book Antiqua" w:hAnsi="Book Antiqua" w:cs="Times New Roman"/>
          <w:b/>
          <w:bCs/>
          <w:sz w:val="16"/>
          <w:szCs w:val="16"/>
        </w:rPr>
        <w:t xml:space="preserve">: Conceptual Model for Study Analysis </w:t>
      </w:r>
    </w:p>
    <w:tbl>
      <w:tblPr>
        <w:tblW w:w="9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6"/>
        <w:gridCol w:w="2274"/>
        <w:gridCol w:w="2262"/>
        <w:gridCol w:w="2126"/>
      </w:tblGrid>
      <w:tr w:rsidR="000D6C5A" w:rsidRPr="00D23BC4" w14:paraId="27B8ECFF"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1F3864"/>
            <w:tcMar>
              <w:top w:w="80" w:type="dxa"/>
              <w:left w:w="120" w:type="dxa"/>
              <w:bottom w:w="80" w:type="dxa"/>
              <w:right w:w="120" w:type="dxa"/>
            </w:tcMar>
          </w:tcPr>
          <w:p w14:paraId="77378367"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b/>
                <w:bCs/>
                <w:color w:val="FFFFFF"/>
                <w:sz w:val="15"/>
                <w:szCs w:val="15"/>
              </w:rPr>
              <w:t>CONTEXT (C): Macro/Meso Socio-Cultural and Institutional Architecture</w:t>
            </w:r>
          </w:p>
        </w:tc>
      </w:tr>
      <w:tr w:rsidR="000D6C5A" w:rsidRPr="00D23BC4" w14:paraId="2FCC85E7" w14:textId="77777777" w:rsidTr="00D23BC4">
        <w:tc>
          <w:tcPr>
            <w:tcW w:w="2406" w:type="dxa"/>
            <w:tcBorders>
              <w:top w:val="single" w:sz="3" w:space="0" w:color="2E75B6"/>
              <w:left w:val="single" w:sz="3" w:space="0" w:color="2E75B6"/>
              <w:bottom w:val="single" w:sz="3" w:space="0" w:color="2E75B6"/>
              <w:right w:val="single" w:sz="3" w:space="0" w:color="2E75B6"/>
            </w:tcBorders>
            <w:shd w:val="clear" w:color="auto" w:fill="DEEAF1"/>
            <w:tcMar>
              <w:top w:w="80" w:type="dxa"/>
              <w:left w:w="120" w:type="dxa"/>
              <w:bottom w:w="80" w:type="dxa"/>
              <w:right w:w="120" w:type="dxa"/>
            </w:tcMar>
          </w:tcPr>
          <w:p w14:paraId="7C68BFBC" w14:textId="22599615"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Patriarchal </w:t>
            </w:r>
            <w:r w:rsidR="00175FAA" w:rsidRPr="00D23BC4">
              <w:rPr>
                <w:rFonts w:ascii="Book Antiqua" w:hAnsi="Book Antiqua"/>
                <w:sz w:val="15"/>
                <w:szCs w:val="15"/>
              </w:rPr>
              <w:t>H</w:t>
            </w:r>
            <w:r w:rsidRPr="00D23BC4">
              <w:rPr>
                <w:rFonts w:ascii="Book Antiqua" w:hAnsi="Book Antiqua"/>
                <w:sz w:val="15"/>
                <w:szCs w:val="15"/>
              </w:rPr>
              <w:t>ousehold</w:t>
            </w:r>
          </w:p>
          <w:p w14:paraId="59908BFA" w14:textId="0A51A869" w:rsidR="000D6C5A" w:rsidRPr="00D23BC4" w:rsidRDefault="00F62616" w:rsidP="00CE11DC">
            <w:pPr>
              <w:spacing w:after="0" w:line="276" w:lineRule="auto"/>
              <w:jc w:val="center"/>
              <w:rPr>
                <w:rFonts w:ascii="Book Antiqua" w:hAnsi="Book Antiqua"/>
                <w:sz w:val="15"/>
                <w:szCs w:val="15"/>
              </w:rPr>
            </w:pPr>
            <w:r w:rsidRPr="00D23BC4">
              <w:rPr>
                <w:rFonts w:ascii="Book Antiqua" w:hAnsi="Book Antiqua"/>
                <w:sz w:val="15"/>
                <w:szCs w:val="15"/>
              </w:rPr>
              <w:t>s</w:t>
            </w:r>
            <w:r w:rsidR="00005381" w:rsidRPr="00D23BC4">
              <w:rPr>
                <w:rFonts w:ascii="Book Antiqua" w:hAnsi="Book Antiqua"/>
                <w:sz w:val="15"/>
                <w:szCs w:val="15"/>
              </w:rPr>
              <w:t xml:space="preserve">urveillance </w:t>
            </w:r>
          </w:p>
        </w:tc>
        <w:tc>
          <w:tcPr>
            <w:tcW w:w="2274" w:type="dxa"/>
            <w:tcBorders>
              <w:top w:val="single" w:sz="3" w:space="0" w:color="2E75B6"/>
              <w:left w:val="single" w:sz="3" w:space="0" w:color="2E75B6"/>
              <w:bottom w:val="single" w:sz="3" w:space="0" w:color="2E75B6"/>
              <w:right w:val="single" w:sz="3" w:space="0" w:color="2E75B6"/>
            </w:tcBorders>
            <w:shd w:val="clear" w:color="auto" w:fill="DEEAF1"/>
            <w:tcMar>
              <w:top w:w="80" w:type="dxa"/>
              <w:left w:w="120" w:type="dxa"/>
              <w:bottom w:w="80" w:type="dxa"/>
              <w:right w:w="120" w:type="dxa"/>
            </w:tcMar>
          </w:tcPr>
          <w:p w14:paraId="1956D941" w14:textId="30797EA3"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Digital literacy </w:t>
            </w:r>
            <w:r w:rsidR="005C0F4B" w:rsidRPr="00D23BC4">
              <w:rPr>
                <w:rFonts w:ascii="Book Antiqua" w:hAnsi="Book Antiqua"/>
                <w:sz w:val="15"/>
                <w:szCs w:val="15"/>
              </w:rPr>
              <w:t xml:space="preserve">gap </w:t>
            </w:r>
            <w:r w:rsidR="00723D64" w:rsidRPr="00D23BC4">
              <w:rPr>
                <w:rFonts w:ascii="Book Antiqua" w:hAnsi="Book Antiqua"/>
                <w:sz w:val="15"/>
                <w:szCs w:val="15"/>
              </w:rPr>
              <w:t>and</w:t>
            </w:r>
            <w:r w:rsidRPr="00D23BC4">
              <w:rPr>
                <w:rFonts w:ascii="Book Antiqua" w:hAnsi="Book Antiqua"/>
                <w:sz w:val="15"/>
                <w:szCs w:val="15"/>
              </w:rPr>
              <w:t xml:space="preserve"> device access</w:t>
            </w:r>
          </w:p>
        </w:tc>
        <w:tc>
          <w:tcPr>
            <w:tcW w:w="2262" w:type="dxa"/>
            <w:tcBorders>
              <w:top w:val="single" w:sz="3" w:space="0" w:color="2E75B6"/>
              <w:left w:val="single" w:sz="3" w:space="0" w:color="2E75B6"/>
              <w:bottom w:val="single" w:sz="3" w:space="0" w:color="2E75B6"/>
              <w:right w:val="single" w:sz="3" w:space="0" w:color="2E75B6"/>
            </w:tcBorders>
            <w:shd w:val="clear" w:color="auto" w:fill="DEEAF1"/>
            <w:tcMar>
              <w:top w:w="80" w:type="dxa"/>
              <w:left w:w="120" w:type="dxa"/>
              <w:bottom w:w="80" w:type="dxa"/>
              <w:right w:w="120" w:type="dxa"/>
            </w:tcMar>
          </w:tcPr>
          <w:p w14:paraId="33D94784"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Mobility restrictions</w:t>
            </w:r>
          </w:p>
          <w:p w14:paraId="31994F92" w14:textId="42E40B63" w:rsidR="000D6C5A" w:rsidRPr="00D23BC4" w:rsidRDefault="00723D64" w:rsidP="00CE11DC">
            <w:pPr>
              <w:spacing w:after="0" w:line="276" w:lineRule="auto"/>
              <w:jc w:val="center"/>
              <w:rPr>
                <w:rFonts w:ascii="Book Antiqua" w:hAnsi="Book Antiqua"/>
                <w:sz w:val="15"/>
                <w:szCs w:val="15"/>
              </w:rPr>
            </w:pPr>
            <w:r w:rsidRPr="00D23BC4">
              <w:rPr>
                <w:rFonts w:ascii="Book Antiqua" w:hAnsi="Book Antiqua"/>
                <w:sz w:val="15"/>
                <w:szCs w:val="15"/>
              </w:rPr>
              <w:t>and</w:t>
            </w:r>
            <w:r w:rsidR="000D6C5A" w:rsidRPr="00D23BC4">
              <w:rPr>
                <w:rFonts w:ascii="Book Antiqua" w:hAnsi="Book Antiqua"/>
                <w:sz w:val="15"/>
                <w:szCs w:val="15"/>
              </w:rPr>
              <w:t xml:space="preserve"> Low institutional trust</w:t>
            </w:r>
          </w:p>
        </w:tc>
        <w:tc>
          <w:tcPr>
            <w:tcW w:w="2126" w:type="dxa"/>
            <w:tcBorders>
              <w:top w:val="single" w:sz="3" w:space="0" w:color="2E75B6"/>
              <w:left w:val="single" w:sz="3" w:space="0" w:color="2E75B6"/>
              <w:bottom w:val="single" w:sz="3" w:space="0" w:color="2E75B6"/>
              <w:right w:val="single" w:sz="3" w:space="0" w:color="2E75B6"/>
            </w:tcBorders>
            <w:shd w:val="clear" w:color="auto" w:fill="DEEAF1"/>
            <w:tcMar>
              <w:top w:w="80" w:type="dxa"/>
              <w:left w:w="120" w:type="dxa"/>
              <w:bottom w:w="80" w:type="dxa"/>
              <w:right w:w="120" w:type="dxa"/>
            </w:tcMar>
          </w:tcPr>
          <w:p w14:paraId="618E6BDA"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Socio-religious Heterogeneity</w:t>
            </w:r>
          </w:p>
        </w:tc>
      </w:tr>
      <w:tr w:rsidR="000D6C5A" w:rsidRPr="00D23BC4" w14:paraId="4733B385"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F5F5F5"/>
            <w:tcMar>
              <w:top w:w="80" w:type="dxa"/>
              <w:left w:w="120" w:type="dxa"/>
              <w:bottom w:w="80" w:type="dxa"/>
              <w:right w:w="120" w:type="dxa"/>
            </w:tcMar>
          </w:tcPr>
          <w:p w14:paraId="5439C47C"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cs="Arial"/>
                <w:b/>
                <w:bCs/>
                <w:color w:val="2E75B6"/>
                <w:sz w:val="15"/>
                <w:szCs w:val="15"/>
              </w:rPr>
              <w:t>▼</w:t>
            </w:r>
            <w:r w:rsidRPr="00D23BC4">
              <w:rPr>
                <w:rFonts w:ascii="Book Antiqua" w:hAnsi="Book Antiqua"/>
                <w:b/>
                <w:bCs/>
                <w:color w:val="2E75B6"/>
                <w:sz w:val="15"/>
                <w:szCs w:val="15"/>
              </w:rPr>
              <w:t>Shapes adoption intention via TAM / UTAUT constructs</w:t>
            </w:r>
            <w:r w:rsidRPr="00D23BC4">
              <w:rPr>
                <w:rFonts w:ascii="Book Antiqua" w:hAnsi="Book Antiqua" w:cs="Arial"/>
                <w:b/>
                <w:bCs/>
                <w:color w:val="2E75B6"/>
                <w:sz w:val="15"/>
                <w:szCs w:val="15"/>
              </w:rPr>
              <w:t>▼</w:t>
            </w:r>
          </w:p>
        </w:tc>
      </w:tr>
      <w:tr w:rsidR="000D6C5A" w:rsidRPr="00D23BC4" w14:paraId="740DDBD4"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2E75B6"/>
            <w:tcMar>
              <w:top w:w="80" w:type="dxa"/>
              <w:left w:w="120" w:type="dxa"/>
              <w:bottom w:w="80" w:type="dxa"/>
              <w:right w:w="120" w:type="dxa"/>
            </w:tcMar>
          </w:tcPr>
          <w:p w14:paraId="257AD36E"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b/>
                <w:bCs/>
                <w:color w:val="FFFFFF" w:themeColor="background1"/>
                <w:sz w:val="15"/>
                <w:szCs w:val="15"/>
              </w:rPr>
              <w:t>INTERVENTION (I): FinTech Deployment and Adoption Artifacts</w:t>
            </w:r>
          </w:p>
        </w:tc>
      </w:tr>
      <w:tr w:rsidR="000D6C5A" w:rsidRPr="00D23BC4" w14:paraId="04E7429E" w14:textId="77777777" w:rsidTr="00D23BC4">
        <w:trPr>
          <w:trHeight w:val="85"/>
        </w:trPr>
        <w:tc>
          <w:tcPr>
            <w:tcW w:w="2406" w:type="dxa"/>
            <w:tcBorders>
              <w:top w:val="single" w:sz="3" w:space="0" w:color="2E75B6"/>
              <w:left w:val="single" w:sz="3" w:space="0" w:color="2E75B6"/>
              <w:bottom w:val="single" w:sz="3" w:space="0" w:color="2E75B6"/>
              <w:right w:val="single" w:sz="3" w:space="0" w:color="2E75B6"/>
            </w:tcBorders>
            <w:shd w:val="clear" w:color="auto" w:fill="E2EFDA"/>
            <w:tcMar>
              <w:top w:w="80" w:type="dxa"/>
              <w:left w:w="120" w:type="dxa"/>
              <w:bottom w:w="80" w:type="dxa"/>
              <w:right w:w="120" w:type="dxa"/>
            </w:tcMar>
          </w:tcPr>
          <w:p w14:paraId="52B74F0C"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Perceived</w:t>
            </w:r>
          </w:p>
          <w:p w14:paraId="5D606316"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Usefulness</w:t>
            </w:r>
          </w:p>
        </w:tc>
        <w:tc>
          <w:tcPr>
            <w:tcW w:w="2274" w:type="dxa"/>
            <w:tcBorders>
              <w:top w:val="single" w:sz="3" w:space="0" w:color="2E75B6"/>
              <w:left w:val="single" w:sz="3" w:space="0" w:color="2E75B6"/>
              <w:bottom w:val="single" w:sz="3" w:space="0" w:color="2E75B6"/>
              <w:right w:val="single" w:sz="3" w:space="0" w:color="2E75B6"/>
            </w:tcBorders>
            <w:shd w:val="clear" w:color="auto" w:fill="E2EFDA"/>
            <w:tcMar>
              <w:top w:w="80" w:type="dxa"/>
              <w:left w:w="120" w:type="dxa"/>
              <w:bottom w:w="80" w:type="dxa"/>
              <w:right w:w="120" w:type="dxa"/>
            </w:tcMar>
          </w:tcPr>
          <w:p w14:paraId="55C63A21"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Effort</w:t>
            </w:r>
          </w:p>
          <w:p w14:paraId="30B0D67C"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Expectancy</w:t>
            </w:r>
          </w:p>
        </w:tc>
        <w:tc>
          <w:tcPr>
            <w:tcW w:w="2262" w:type="dxa"/>
            <w:tcBorders>
              <w:top w:val="single" w:sz="3" w:space="0" w:color="2E75B6"/>
              <w:left w:val="single" w:sz="3" w:space="0" w:color="2E75B6"/>
              <w:bottom w:val="single" w:sz="3" w:space="0" w:color="2E75B6"/>
              <w:right w:val="single" w:sz="3" w:space="0" w:color="2E75B6"/>
            </w:tcBorders>
            <w:shd w:val="clear" w:color="auto" w:fill="E2EFDA"/>
            <w:tcMar>
              <w:top w:w="80" w:type="dxa"/>
              <w:left w:w="120" w:type="dxa"/>
              <w:bottom w:w="80" w:type="dxa"/>
              <w:right w:w="120" w:type="dxa"/>
            </w:tcMar>
          </w:tcPr>
          <w:p w14:paraId="12AFB30C" w14:textId="44E2E4EB" w:rsidR="000D6C5A" w:rsidRPr="00D23BC4" w:rsidRDefault="001156DE" w:rsidP="00CE11DC">
            <w:pPr>
              <w:spacing w:after="0" w:line="276" w:lineRule="auto"/>
              <w:jc w:val="center"/>
              <w:rPr>
                <w:rFonts w:ascii="Book Antiqua" w:hAnsi="Book Antiqua"/>
                <w:sz w:val="15"/>
                <w:szCs w:val="15"/>
              </w:rPr>
            </w:pPr>
            <w:r w:rsidRPr="00D23BC4">
              <w:rPr>
                <w:rFonts w:ascii="Book Antiqua" w:hAnsi="Book Antiqua"/>
                <w:sz w:val="15"/>
                <w:szCs w:val="15"/>
              </w:rPr>
              <w:t>Ecosystem Provider Constraints</w:t>
            </w:r>
          </w:p>
        </w:tc>
        <w:tc>
          <w:tcPr>
            <w:tcW w:w="2126" w:type="dxa"/>
            <w:tcBorders>
              <w:top w:val="single" w:sz="3" w:space="0" w:color="2E75B6"/>
              <w:left w:val="single" w:sz="3" w:space="0" w:color="2E75B6"/>
              <w:bottom w:val="single" w:sz="3" w:space="0" w:color="2E75B6"/>
              <w:right w:val="single" w:sz="3" w:space="0" w:color="2E75B6"/>
            </w:tcBorders>
            <w:shd w:val="clear" w:color="auto" w:fill="E2EFDA"/>
            <w:tcMar>
              <w:top w:w="80" w:type="dxa"/>
              <w:left w:w="120" w:type="dxa"/>
              <w:bottom w:w="80" w:type="dxa"/>
              <w:right w:w="120" w:type="dxa"/>
            </w:tcMar>
          </w:tcPr>
          <w:p w14:paraId="4D2ADECE" w14:textId="77777777" w:rsidR="00D23BC4" w:rsidRDefault="005C0F4B"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Core Business </w:t>
            </w:r>
          </w:p>
          <w:p w14:paraId="79747CDE" w14:textId="2FF10A74" w:rsidR="000D6C5A" w:rsidRPr="00D23BC4" w:rsidRDefault="005C0F4B" w:rsidP="00CE11DC">
            <w:pPr>
              <w:spacing w:after="0" w:line="276" w:lineRule="auto"/>
              <w:jc w:val="center"/>
              <w:rPr>
                <w:rFonts w:ascii="Book Antiqua" w:hAnsi="Book Antiqua"/>
                <w:sz w:val="15"/>
                <w:szCs w:val="15"/>
              </w:rPr>
            </w:pPr>
            <w:r w:rsidRPr="00D23BC4">
              <w:rPr>
                <w:rFonts w:ascii="Book Antiqua" w:hAnsi="Book Antiqua"/>
                <w:sz w:val="15"/>
                <w:szCs w:val="15"/>
              </w:rPr>
              <w:t>Model Logics</w:t>
            </w:r>
          </w:p>
        </w:tc>
      </w:tr>
      <w:tr w:rsidR="000D6C5A" w:rsidRPr="00D23BC4" w14:paraId="328A42AF"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F5F5F5"/>
            <w:tcMar>
              <w:top w:w="80" w:type="dxa"/>
              <w:left w:w="120" w:type="dxa"/>
              <w:bottom w:w="80" w:type="dxa"/>
              <w:right w:w="120" w:type="dxa"/>
            </w:tcMar>
          </w:tcPr>
          <w:p w14:paraId="36F36584"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cs="Arial"/>
                <w:b/>
                <w:bCs/>
                <w:color w:val="2E75B6"/>
                <w:sz w:val="15"/>
                <w:szCs w:val="15"/>
              </w:rPr>
              <w:t>▼</w:t>
            </w:r>
            <w:r w:rsidRPr="00D23BC4">
              <w:rPr>
                <w:rFonts w:ascii="Book Antiqua" w:hAnsi="Book Antiqua"/>
                <w:b/>
                <w:bCs/>
                <w:color w:val="2E75B6"/>
                <w:sz w:val="15"/>
                <w:szCs w:val="15"/>
              </w:rPr>
              <w:t>Filtered through Kabeer</w:t>
            </w:r>
            <w:r w:rsidRPr="00D23BC4">
              <w:rPr>
                <w:rFonts w:ascii="Book Antiqua" w:hAnsi="Book Antiqua" w:cs="Aptos"/>
                <w:b/>
                <w:bCs/>
                <w:color w:val="2E75B6"/>
                <w:sz w:val="15"/>
                <w:szCs w:val="15"/>
              </w:rPr>
              <w:t>’</w:t>
            </w:r>
            <w:r w:rsidRPr="00D23BC4">
              <w:rPr>
                <w:rFonts w:ascii="Book Antiqua" w:hAnsi="Book Antiqua"/>
                <w:b/>
                <w:bCs/>
                <w:color w:val="2E75B6"/>
                <w:sz w:val="15"/>
                <w:szCs w:val="15"/>
              </w:rPr>
              <w:t>s Resources</w:t>
            </w:r>
            <w:r w:rsidRPr="00D23BC4">
              <w:rPr>
                <w:rFonts w:ascii="Book Antiqua" w:hAnsi="Book Antiqua" w:cs="Aptos"/>
                <w:b/>
                <w:bCs/>
                <w:color w:val="2E75B6"/>
                <w:sz w:val="15"/>
                <w:szCs w:val="15"/>
              </w:rPr>
              <w:t>–</w:t>
            </w:r>
            <w:r w:rsidRPr="00D23BC4">
              <w:rPr>
                <w:rFonts w:ascii="Book Antiqua" w:hAnsi="Book Antiqua"/>
                <w:b/>
                <w:bCs/>
                <w:color w:val="2E75B6"/>
                <w:sz w:val="15"/>
                <w:szCs w:val="15"/>
              </w:rPr>
              <w:t>Agency</w:t>
            </w:r>
            <w:r w:rsidRPr="00D23BC4">
              <w:rPr>
                <w:rFonts w:ascii="Book Antiqua" w:hAnsi="Book Antiqua" w:cs="Aptos"/>
                <w:b/>
                <w:bCs/>
                <w:color w:val="2E75B6"/>
                <w:sz w:val="15"/>
                <w:szCs w:val="15"/>
              </w:rPr>
              <w:t>–</w:t>
            </w:r>
            <w:r w:rsidRPr="00D23BC4">
              <w:rPr>
                <w:rFonts w:ascii="Book Antiqua" w:hAnsi="Book Antiqua"/>
                <w:b/>
                <w:bCs/>
                <w:color w:val="2E75B6"/>
                <w:sz w:val="15"/>
                <w:szCs w:val="15"/>
              </w:rPr>
              <w:t>Achievements schema</w:t>
            </w:r>
            <w:r w:rsidRPr="00D23BC4">
              <w:rPr>
                <w:rFonts w:ascii="Book Antiqua" w:hAnsi="Book Antiqua" w:cs="Arial"/>
                <w:b/>
                <w:bCs/>
                <w:color w:val="2E75B6"/>
                <w:sz w:val="15"/>
                <w:szCs w:val="15"/>
              </w:rPr>
              <w:t>▼</w:t>
            </w:r>
          </w:p>
        </w:tc>
      </w:tr>
      <w:tr w:rsidR="000D6C5A" w:rsidRPr="00D23BC4" w14:paraId="42E17EC5"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375623"/>
            <w:tcMar>
              <w:top w:w="80" w:type="dxa"/>
              <w:left w:w="120" w:type="dxa"/>
              <w:bottom w:w="80" w:type="dxa"/>
              <w:right w:w="120" w:type="dxa"/>
            </w:tcMar>
          </w:tcPr>
          <w:p w14:paraId="7D2D0338" w14:textId="283FF0EA"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b/>
                <w:bCs/>
                <w:color w:val="FFFFFF" w:themeColor="background1"/>
                <w:sz w:val="15"/>
                <w:szCs w:val="15"/>
              </w:rPr>
              <w:t xml:space="preserve">MECHANISM (M): Generative Cognitive </w:t>
            </w:r>
            <w:r w:rsidR="00723D64" w:rsidRPr="00D23BC4">
              <w:rPr>
                <w:rFonts w:ascii="Book Antiqua" w:hAnsi="Book Antiqua"/>
                <w:b/>
                <w:bCs/>
                <w:color w:val="FFFFFF" w:themeColor="background1"/>
                <w:sz w:val="15"/>
                <w:szCs w:val="15"/>
              </w:rPr>
              <w:t>and</w:t>
            </w:r>
            <w:r w:rsidRPr="00D23BC4">
              <w:rPr>
                <w:rFonts w:ascii="Book Antiqua" w:hAnsi="Book Antiqua"/>
                <w:b/>
                <w:bCs/>
                <w:color w:val="FFFFFF" w:themeColor="background1"/>
                <w:sz w:val="15"/>
                <w:szCs w:val="15"/>
              </w:rPr>
              <w:t xml:space="preserve"> Structural Pathways</w:t>
            </w:r>
          </w:p>
        </w:tc>
      </w:tr>
      <w:tr w:rsidR="000D6C5A" w:rsidRPr="00D23BC4" w14:paraId="15883C47" w14:textId="77777777" w:rsidTr="00D23BC4">
        <w:tc>
          <w:tcPr>
            <w:tcW w:w="2406" w:type="dxa"/>
            <w:tcBorders>
              <w:top w:val="single" w:sz="3" w:space="0" w:color="2E75B6"/>
              <w:left w:val="single" w:sz="3" w:space="0" w:color="2E75B6"/>
              <w:bottom w:val="single" w:sz="3" w:space="0" w:color="2E75B6"/>
              <w:right w:val="single" w:sz="3" w:space="0" w:color="2E75B6"/>
            </w:tcBorders>
            <w:shd w:val="clear" w:color="auto" w:fill="FCE4D6"/>
            <w:tcMar>
              <w:top w:w="80" w:type="dxa"/>
              <w:left w:w="120" w:type="dxa"/>
              <w:bottom w:w="80" w:type="dxa"/>
              <w:right w:w="120" w:type="dxa"/>
            </w:tcMar>
          </w:tcPr>
          <w:p w14:paraId="5FC9161E"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RESOURCES</w:t>
            </w:r>
          </w:p>
          <w:p w14:paraId="406272D6" w14:textId="713CE77C"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  Functional Cues </w:t>
            </w:r>
            <w:r w:rsidR="00723D64" w:rsidRPr="00D23BC4">
              <w:rPr>
                <w:rFonts w:ascii="Book Antiqua" w:hAnsi="Book Antiqua"/>
                <w:sz w:val="15"/>
                <w:szCs w:val="15"/>
              </w:rPr>
              <w:t>and</w:t>
            </w:r>
            <w:r w:rsidRPr="00D23BC4">
              <w:rPr>
                <w:rFonts w:ascii="Book Antiqua" w:hAnsi="Book Antiqua"/>
                <w:sz w:val="15"/>
                <w:szCs w:val="15"/>
              </w:rPr>
              <w:t xml:space="preserve"> Platform Trust</w:t>
            </w:r>
          </w:p>
        </w:tc>
        <w:tc>
          <w:tcPr>
            <w:tcW w:w="2274" w:type="dxa"/>
            <w:tcBorders>
              <w:top w:val="single" w:sz="3" w:space="0" w:color="2E75B6"/>
              <w:left w:val="single" w:sz="3" w:space="0" w:color="2E75B6"/>
              <w:bottom w:val="single" w:sz="3" w:space="0" w:color="2E75B6"/>
              <w:right w:val="single" w:sz="3" w:space="0" w:color="2E75B6"/>
            </w:tcBorders>
            <w:shd w:val="clear" w:color="auto" w:fill="FCE4D6"/>
            <w:tcMar>
              <w:top w:w="80" w:type="dxa"/>
              <w:left w:w="120" w:type="dxa"/>
              <w:bottom w:w="80" w:type="dxa"/>
              <w:right w:w="120" w:type="dxa"/>
            </w:tcMar>
          </w:tcPr>
          <w:p w14:paraId="1BDC51D6"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AGENCY</w:t>
            </w:r>
          </w:p>
          <w:p w14:paraId="6E3C4D44" w14:textId="5A07B73D"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Mechanic, Humanic Cues </w:t>
            </w:r>
            <w:r w:rsidR="00723D64" w:rsidRPr="00D23BC4">
              <w:rPr>
                <w:rFonts w:ascii="Book Antiqua" w:hAnsi="Book Antiqua"/>
                <w:sz w:val="15"/>
                <w:szCs w:val="15"/>
              </w:rPr>
              <w:t>and</w:t>
            </w:r>
            <w:r w:rsidRPr="00D23BC4">
              <w:rPr>
                <w:rFonts w:ascii="Book Antiqua" w:hAnsi="Book Antiqua"/>
                <w:sz w:val="15"/>
                <w:szCs w:val="15"/>
              </w:rPr>
              <w:t xml:space="preserve"> Add-on services</w:t>
            </w:r>
          </w:p>
        </w:tc>
        <w:tc>
          <w:tcPr>
            <w:tcW w:w="2262" w:type="dxa"/>
            <w:tcBorders>
              <w:top w:val="single" w:sz="3" w:space="0" w:color="2E75B6"/>
              <w:left w:val="single" w:sz="3" w:space="0" w:color="2E75B6"/>
              <w:bottom w:val="single" w:sz="3" w:space="0" w:color="2E75B6"/>
              <w:right w:val="single" w:sz="3" w:space="0" w:color="2E75B6"/>
            </w:tcBorders>
            <w:shd w:val="clear" w:color="auto" w:fill="FCE4D6"/>
            <w:tcMar>
              <w:top w:w="80" w:type="dxa"/>
              <w:left w:w="120" w:type="dxa"/>
              <w:bottom w:w="80" w:type="dxa"/>
              <w:right w:w="120" w:type="dxa"/>
            </w:tcMar>
          </w:tcPr>
          <w:p w14:paraId="1A6D1155"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ACHIEVEMENTS</w:t>
            </w:r>
          </w:p>
          <w:p w14:paraId="653EA572" w14:textId="24EFB83F"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 xml:space="preserve">Economic Optimization </w:t>
            </w:r>
            <w:r w:rsidR="00723D64" w:rsidRPr="00D23BC4">
              <w:rPr>
                <w:rFonts w:ascii="Book Antiqua" w:hAnsi="Book Antiqua"/>
                <w:sz w:val="15"/>
                <w:szCs w:val="15"/>
              </w:rPr>
              <w:t>and</w:t>
            </w:r>
            <w:r w:rsidRPr="00D23BC4">
              <w:rPr>
                <w:rFonts w:ascii="Book Antiqua" w:hAnsi="Book Antiqua"/>
                <w:sz w:val="15"/>
                <w:szCs w:val="15"/>
              </w:rPr>
              <w:t xml:space="preserve"> Bargaining Equity</w:t>
            </w:r>
          </w:p>
        </w:tc>
        <w:tc>
          <w:tcPr>
            <w:tcW w:w="2126" w:type="dxa"/>
            <w:tcBorders>
              <w:top w:val="single" w:sz="3" w:space="0" w:color="2E75B6"/>
              <w:left w:val="single" w:sz="3" w:space="0" w:color="2E75B6"/>
              <w:bottom w:val="single" w:sz="3" w:space="0" w:color="2E75B6"/>
              <w:right w:val="single" w:sz="3" w:space="0" w:color="2E75B6"/>
            </w:tcBorders>
            <w:shd w:val="clear" w:color="auto" w:fill="FCE4D6"/>
            <w:tcMar>
              <w:top w:w="80" w:type="dxa"/>
              <w:left w:w="120" w:type="dxa"/>
              <w:bottom w:w="80" w:type="dxa"/>
              <w:right w:w="120" w:type="dxa"/>
            </w:tcMar>
          </w:tcPr>
          <w:p w14:paraId="2F5DEFC4"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FEEDBACK</w:t>
            </w:r>
          </w:p>
          <w:p w14:paraId="41C3F484"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Alternative future Fintech Business Model</w:t>
            </w:r>
          </w:p>
        </w:tc>
      </w:tr>
      <w:tr w:rsidR="000D6C5A" w:rsidRPr="00D23BC4" w14:paraId="2DE0B026"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F5F5F5"/>
            <w:tcMar>
              <w:top w:w="80" w:type="dxa"/>
              <w:left w:w="120" w:type="dxa"/>
              <w:bottom w:w="80" w:type="dxa"/>
              <w:right w:w="120" w:type="dxa"/>
            </w:tcMar>
          </w:tcPr>
          <w:p w14:paraId="267D3ED8" w14:textId="2462C9F3"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cs="Arial"/>
                <w:b/>
                <w:bCs/>
                <w:color w:val="2E75B6"/>
                <w:sz w:val="15"/>
                <w:szCs w:val="15"/>
              </w:rPr>
              <w:t>▼</w:t>
            </w:r>
            <w:r w:rsidRPr="00D23BC4">
              <w:rPr>
                <w:rFonts w:ascii="Book Antiqua" w:hAnsi="Book Antiqua"/>
                <w:b/>
                <w:bCs/>
                <w:color w:val="2E75B6"/>
                <w:sz w:val="15"/>
                <w:szCs w:val="15"/>
              </w:rPr>
              <w:t>Produces</w:t>
            </w:r>
            <w:r w:rsidR="005369BA" w:rsidRPr="00D23BC4">
              <w:rPr>
                <w:rFonts w:ascii="Book Antiqua" w:hAnsi="Book Antiqua"/>
                <w:sz w:val="15"/>
                <w:szCs w:val="15"/>
              </w:rPr>
              <w:t xml:space="preserve"> </w:t>
            </w:r>
            <w:r w:rsidR="005369BA" w:rsidRPr="00D23BC4">
              <w:rPr>
                <w:rFonts w:ascii="Book Antiqua" w:hAnsi="Book Antiqua"/>
                <w:b/>
                <w:bCs/>
                <w:color w:val="2E75B6"/>
                <w:sz w:val="15"/>
                <w:szCs w:val="15"/>
              </w:rPr>
              <w:t xml:space="preserve">Downstream Welfare Changes </w:t>
            </w:r>
            <w:r w:rsidRPr="00D23BC4">
              <w:rPr>
                <w:rFonts w:ascii="Book Antiqua" w:hAnsi="Book Antiqua" w:cs="Arial"/>
                <w:b/>
                <w:bCs/>
                <w:color w:val="2E75B6"/>
                <w:sz w:val="15"/>
                <w:szCs w:val="15"/>
              </w:rPr>
              <w:t>▼</w:t>
            </w:r>
          </w:p>
        </w:tc>
      </w:tr>
      <w:tr w:rsidR="000D6C5A" w:rsidRPr="00D23BC4" w14:paraId="65BF1E90" w14:textId="77777777" w:rsidTr="00D23BC4">
        <w:tc>
          <w:tcPr>
            <w:tcW w:w="9068" w:type="dxa"/>
            <w:gridSpan w:val="4"/>
            <w:tcBorders>
              <w:top w:val="single" w:sz="3" w:space="0" w:color="2E75B6"/>
              <w:left w:val="single" w:sz="3" w:space="0" w:color="2E75B6"/>
              <w:bottom w:val="single" w:sz="3" w:space="0" w:color="2E75B6"/>
              <w:right w:val="single" w:sz="3" w:space="0" w:color="2E75B6"/>
            </w:tcBorders>
            <w:shd w:val="clear" w:color="auto" w:fill="1F3864"/>
            <w:tcMar>
              <w:top w:w="80" w:type="dxa"/>
              <w:left w:w="120" w:type="dxa"/>
              <w:bottom w:w="80" w:type="dxa"/>
              <w:right w:w="120" w:type="dxa"/>
            </w:tcMar>
          </w:tcPr>
          <w:p w14:paraId="1FD266D1"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b/>
                <w:bCs/>
                <w:color w:val="FFFFFF"/>
                <w:sz w:val="15"/>
                <w:szCs w:val="15"/>
              </w:rPr>
              <w:t>OUTCOME (O): Women’s Livelihood Improvements in South Asia</w:t>
            </w:r>
          </w:p>
        </w:tc>
      </w:tr>
      <w:tr w:rsidR="000D6C5A" w:rsidRPr="00D23BC4" w14:paraId="20E2FD43" w14:textId="77777777" w:rsidTr="00D23BC4">
        <w:trPr>
          <w:trHeight w:val="154"/>
        </w:trPr>
        <w:tc>
          <w:tcPr>
            <w:tcW w:w="2406" w:type="dxa"/>
            <w:tcBorders>
              <w:top w:val="single" w:sz="3" w:space="0" w:color="2E75B6"/>
              <w:left w:val="single" w:sz="3" w:space="0" w:color="2E75B6"/>
              <w:bottom w:val="single" w:sz="3" w:space="0" w:color="2E75B6"/>
              <w:right w:val="single" w:sz="3" w:space="0" w:color="2E75B6"/>
            </w:tcBorders>
            <w:shd w:val="clear" w:color="auto" w:fill="FFF2CC"/>
            <w:tcMar>
              <w:top w:w="80" w:type="dxa"/>
              <w:left w:w="120" w:type="dxa"/>
              <w:bottom w:w="80" w:type="dxa"/>
              <w:right w:w="120" w:type="dxa"/>
            </w:tcMar>
          </w:tcPr>
          <w:p w14:paraId="700474D1"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Income generation</w:t>
            </w:r>
          </w:p>
          <w:p w14:paraId="76027573" w14:textId="00FFF145" w:rsidR="000D6C5A" w:rsidRPr="00D23BC4" w:rsidRDefault="00723D64" w:rsidP="00CE11DC">
            <w:pPr>
              <w:spacing w:after="0" w:line="276" w:lineRule="auto"/>
              <w:jc w:val="center"/>
              <w:rPr>
                <w:rFonts w:ascii="Book Antiqua" w:hAnsi="Book Antiqua"/>
                <w:sz w:val="15"/>
                <w:szCs w:val="15"/>
              </w:rPr>
            </w:pPr>
            <w:r w:rsidRPr="00D23BC4">
              <w:rPr>
                <w:rFonts w:ascii="Book Antiqua" w:hAnsi="Book Antiqua"/>
                <w:sz w:val="15"/>
                <w:szCs w:val="15"/>
              </w:rPr>
              <w:t>and</w:t>
            </w:r>
            <w:r w:rsidR="000D6C5A" w:rsidRPr="00D23BC4">
              <w:rPr>
                <w:rFonts w:ascii="Book Antiqua" w:hAnsi="Book Antiqua"/>
                <w:sz w:val="15"/>
                <w:szCs w:val="15"/>
              </w:rPr>
              <w:t xml:space="preserve"> savings</w:t>
            </w:r>
          </w:p>
        </w:tc>
        <w:tc>
          <w:tcPr>
            <w:tcW w:w="2274" w:type="dxa"/>
            <w:tcBorders>
              <w:top w:val="single" w:sz="3" w:space="0" w:color="2E75B6"/>
              <w:left w:val="single" w:sz="3" w:space="0" w:color="2E75B6"/>
              <w:bottom w:val="single" w:sz="3" w:space="0" w:color="2E75B6"/>
              <w:right w:val="single" w:sz="3" w:space="0" w:color="2E75B6"/>
            </w:tcBorders>
            <w:shd w:val="clear" w:color="auto" w:fill="FFF2CC"/>
            <w:tcMar>
              <w:top w:w="80" w:type="dxa"/>
              <w:left w:w="120" w:type="dxa"/>
              <w:bottom w:w="80" w:type="dxa"/>
              <w:right w:w="120" w:type="dxa"/>
            </w:tcMar>
          </w:tcPr>
          <w:p w14:paraId="5760C2F9"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Enterprise activity</w:t>
            </w:r>
          </w:p>
          <w:p w14:paraId="3624B096" w14:textId="68651D9E" w:rsidR="000D6C5A" w:rsidRPr="00D23BC4" w:rsidRDefault="00723D64" w:rsidP="00CE11DC">
            <w:pPr>
              <w:spacing w:after="0" w:line="276" w:lineRule="auto"/>
              <w:jc w:val="center"/>
              <w:rPr>
                <w:rFonts w:ascii="Book Antiqua" w:hAnsi="Book Antiqua"/>
                <w:sz w:val="15"/>
                <w:szCs w:val="15"/>
              </w:rPr>
            </w:pPr>
            <w:r w:rsidRPr="00D23BC4">
              <w:rPr>
                <w:rFonts w:ascii="Book Antiqua" w:hAnsi="Book Antiqua"/>
                <w:sz w:val="15"/>
                <w:szCs w:val="15"/>
              </w:rPr>
              <w:t>and</w:t>
            </w:r>
            <w:r w:rsidR="000D6C5A" w:rsidRPr="00D23BC4">
              <w:rPr>
                <w:rFonts w:ascii="Book Antiqua" w:hAnsi="Book Antiqua"/>
                <w:sz w:val="15"/>
                <w:szCs w:val="15"/>
              </w:rPr>
              <w:t xml:space="preserve"> firm performance</w:t>
            </w:r>
          </w:p>
        </w:tc>
        <w:tc>
          <w:tcPr>
            <w:tcW w:w="2262" w:type="dxa"/>
            <w:tcBorders>
              <w:top w:val="single" w:sz="3" w:space="0" w:color="2E75B6"/>
              <w:left w:val="single" w:sz="3" w:space="0" w:color="2E75B6"/>
              <w:bottom w:val="single" w:sz="3" w:space="0" w:color="2E75B6"/>
              <w:right w:val="single" w:sz="3" w:space="0" w:color="2E75B6"/>
            </w:tcBorders>
            <w:shd w:val="clear" w:color="auto" w:fill="FFF2CC"/>
            <w:tcMar>
              <w:top w:w="80" w:type="dxa"/>
              <w:left w:w="120" w:type="dxa"/>
              <w:bottom w:w="80" w:type="dxa"/>
              <w:right w:w="120" w:type="dxa"/>
            </w:tcMar>
          </w:tcPr>
          <w:p w14:paraId="38973413"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Household Decision-Making Power</w:t>
            </w:r>
          </w:p>
        </w:tc>
        <w:tc>
          <w:tcPr>
            <w:tcW w:w="2126" w:type="dxa"/>
            <w:tcBorders>
              <w:top w:val="single" w:sz="3" w:space="0" w:color="2E75B6"/>
              <w:left w:val="single" w:sz="3" w:space="0" w:color="2E75B6"/>
              <w:bottom w:val="single" w:sz="3" w:space="0" w:color="2E75B6"/>
              <w:right w:val="single" w:sz="3" w:space="0" w:color="2E75B6"/>
            </w:tcBorders>
            <w:shd w:val="clear" w:color="auto" w:fill="FFF2CC"/>
            <w:tcMar>
              <w:top w:w="80" w:type="dxa"/>
              <w:left w:w="120" w:type="dxa"/>
              <w:bottom w:w="80" w:type="dxa"/>
              <w:right w:w="120" w:type="dxa"/>
            </w:tcMar>
          </w:tcPr>
          <w:p w14:paraId="1BB57E9E"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sz w:val="15"/>
                <w:szCs w:val="15"/>
              </w:rPr>
              <w:t>Reduced vulnerability</w:t>
            </w:r>
          </w:p>
          <w:p w14:paraId="1CC73257" w14:textId="297E88CB" w:rsidR="000D6C5A" w:rsidRPr="00D23BC4" w:rsidRDefault="00723D64" w:rsidP="00CE11DC">
            <w:pPr>
              <w:spacing w:after="0" w:line="276" w:lineRule="auto"/>
              <w:jc w:val="center"/>
              <w:rPr>
                <w:rFonts w:ascii="Book Antiqua" w:hAnsi="Book Antiqua"/>
                <w:sz w:val="15"/>
                <w:szCs w:val="15"/>
              </w:rPr>
            </w:pPr>
            <w:r w:rsidRPr="00D23BC4">
              <w:rPr>
                <w:rFonts w:ascii="Book Antiqua" w:hAnsi="Book Antiqua"/>
                <w:sz w:val="15"/>
                <w:szCs w:val="15"/>
              </w:rPr>
              <w:t>and</w:t>
            </w:r>
            <w:r w:rsidR="000D6C5A" w:rsidRPr="00D23BC4">
              <w:rPr>
                <w:rFonts w:ascii="Book Antiqua" w:hAnsi="Book Antiqua"/>
                <w:sz w:val="15"/>
                <w:szCs w:val="15"/>
              </w:rPr>
              <w:t xml:space="preserve"> financial resilience</w:t>
            </w:r>
          </w:p>
        </w:tc>
      </w:tr>
      <w:tr w:rsidR="000D6C5A" w:rsidRPr="00D23BC4" w14:paraId="01AFE309" w14:textId="77777777" w:rsidTr="00D23BC4">
        <w:trPr>
          <w:trHeight w:val="23"/>
        </w:trPr>
        <w:tc>
          <w:tcPr>
            <w:tcW w:w="9068" w:type="dxa"/>
            <w:gridSpan w:val="4"/>
            <w:tcBorders>
              <w:top w:val="single" w:sz="3" w:space="0" w:color="2E75B6"/>
              <w:left w:val="single" w:sz="3" w:space="0" w:color="2E75B6"/>
              <w:bottom w:val="single" w:sz="3" w:space="0" w:color="2E75B6"/>
              <w:right w:val="single" w:sz="3" w:space="0" w:color="2E75B6"/>
            </w:tcBorders>
            <w:shd w:val="clear" w:color="auto" w:fill="F5F5F5"/>
            <w:tcMar>
              <w:top w:w="80" w:type="dxa"/>
              <w:left w:w="120" w:type="dxa"/>
              <w:bottom w:w="80" w:type="dxa"/>
              <w:right w:w="120" w:type="dxa"/>
            </w:tcMar>
          </w:tcPr>
          <w:p w14:paraId="3F1ABC05" w14:textId="77777777" w:rsidR="000D6C5A" w:rsidRPr="00D23BC4" w:rsidRDefault="000D6C5A" w:rsidP="00CE11DC">
            <w:pPr>
              <w:spacing w:after="0" w:line="276" w:lineRule="auto"/>
              <w:jc w:val="center"/>
              <w:rPr>
                <w:rFonts w:ascii="Book Antiqua" w:hAnsi="Book Antiqua"/>
                <w:i/>
                <w:iCs/>
                <w:color w:val="595959"/>
                <w:sz w:val="15"/>
                <w:szCs w:val="15"/>
              </w:rPr>
            </w:pPr>
            <w:r w:rsidRPr="00D23BC4">
              <w:rPr>
                <w:rFonts w:ascii="Book Antiqua" w:hAnsi="Book Antiqua"/>
                <w:i/>
                <w:iCs/>
                <w:color w:val="595959"/>
                <w:sz w:val="15"/>
                <w:szCs w:val="15"/>
              </w:rPr>
              <w:t xml:space="preserve">Theoretical basis: </w:t>
            </w:r>
          </w:p>
          <w:p w14:paraId="7FABECFF" w14:textId="77777777" w:rsidR="000D6C5A" w:rsidRPr="00D23BC4" w:rsidRDefault="000D6C5A" w:rsidP="00CE11DC">
            <w:pPr>
              <w:spacing w:after="0" w:line="276" w:lineRule="auto"/>
              <w:jc w:val="center"/>
              <w:rPr>
                <w:rFonts w:ascii="Book Antiqua" w:hAnsi="Book Antiqua"/>
                <w:sz w:val="15"/>
                <w:szCs w:val="15"/>
              </w:rPr>
            </w:pPr>
            <w:r w:rsidRPr="00D23BC4">
              <w:rPr>
                <w:rFonts w:ascii="Book Antiqua" w:hAnsi="Book Antiqua"/>
                <w:i/>
                <w:iCs/>
                <w:color w:val="595959"/>
                <w:sz w:val="15"/>
                <w:szCs w:val="15"/>
              </w:rPr>
              <w:t>Davis (1989) [TAM] | Venkatesh et al. (2003) [UTAUT] | Kabeer (1999, 2020) [RAA] | Denyer et al. (2008) [CIMO]</w:t>
            </w:r>
          </w:p>
        </w:tc>
      </w:tr>
    </w:tbl>
    <w:p w14:paraId="44BB1DAD" w14:textId="77777777" w:rsidR="001D1F50" w:rsidRDefault="001D1F50" w:rsidP="00A038BF">
      <w:pPr>
        <w:jc w:val="both"/>
        <w:rPr>
          <w:rFonts w:ascii="Book Antiqua" w:hAnsi="Book Antiqua" w:cs="Times New Roman"/>
          <w:sz w:val="16"/>
          <w:szCs w:val="16"/>
        </w:rPr>
      </w:pPr>
    </w:p>
    <w:p w14:paraId="3149880A" w14:textId="606B4B0B" w:rsidR="008A5F18" w:rsidRPr="00B26D99" w:rsidRDefault="00242205" w:rsidP="004C6581">
      <w:pPr>
        <w:pStyle w:val="ListParagraph"/>
        <w:numPr>
          <w:ilvl w:val="0"/>
          <w:numId w:val="19"/>
        </w:numPr>
        <w:jc w:val="both"/>
        <w:rPr>
          <w:rFonts w:ascii="Book Antiqua" w:hAnsi="Book Antiqua" w:cs="Times New Roman"/>
          <w:color w:val="0070C0"/>
          <w:sz w:val="18"/>
          <w:szCs w:val="18"/>
        </w:rPr>
      </w:pPr>
      <w:r w:rsidRPr="00B26D99">
        <w:rPr>
          <w:rFonts w:ascii="Book Antiqua" w:hAnsi="Book Antiqua" w:cs="Times New Roman"/>
          <w:b/>
          <w:bCs/>
          <w:color w:val="0070C0"/>
          <w:sz w:val="18"/>
          <w:szCs w:val="18"/>
        </w:rPr>
        <w:t>Research Methodology</w:t>
      </w:r>
    </w:p>
    <w:p w14:paraId="662A0CEE" w14:textId="011ADC0B" w:rsidR="00EE7511" w:rsidRDefault="003021A9" w:rsidP="00F4272B">
      <w:pPr>
        <w:jc w:val="both"/>
        <w:rPr>
          <w:rFonts w:ascii="Book Antiqua" w:hAnsi="Book Antiqua" w:cs="Times New Roman"/>
          <w:b/>
          <w:bCs/>
          <w:sz w:val="16"/>
          <w:szCs w:val="16"/>
        </w:rPr>
      </w:pPr>
      <w:r>
        <w:rPr>
          <w:rFonts w:ascii="Book Antiqua" w:hAnsi="Book Antiqua" w:cs="Times New Roman"/>
          <w:b/>
          <w:bCs/>
          <w:sz w:val="16"/>
          <w:szCs w:val="16"/>
        </w:rPr>
        <w:t xml:space="preserve">4.1 </w:t>
      </w:r>
      <w:r w:rsidR="00EE7511" w:rsidRPr="00EE7511">
        <w:rPr>
          <w:rFonts w:ascii="Book Antiqua" w:hAnsi="Book Antiqua" w:cs="Times New Roman"/>
          <w:b/>
          <w:bCs/>
          <w:sz w:val="16"/>
          <w:szCs w:val="16"/>
        </w:rPr>
        <w:t>Methodological Foundation: Research Philosophy</w:t>
      </w:r>
    </w:p>
    <w:p w14:paraId="16DFD321" w14:textId="7CF48D8D" w:rsidR="00C84932" w:rsidRDefault="00F82B9B" w:rsidP="00F4272B">
      <w:pPr>
        <w:jc w:val="both"/>
        <w:rPr>
          <w:rFonts w:ascii="Book Antiqua" w:hAnsi="Book Antiqua" w:cs="Times New Roman"/>
          <w:sz w:val="16"/>
          <w:szCs w:val="16"/>
        </w:rPr>
      </w:pPr>
      <w:r w:rsidRPr="00F82B9B">
        <w:rPr>
          <w:rFonts w:ascii="Book Antiqua" w:hAnsi="Book Antiqua" w:cs="Times New Roman"/>
          <w:sz w:val="16"/>
          <w:szCs w:val="16"/>
        </w:rPr>
        <w:t>Grounded in a pragmatist research paradigm, this systematic review</w:t>
      </w:r>
      <w:r w:rsidR="00F95D3A" w:rsidRPr="00F95D3A">
        <w:rPr>
          <w:rFonts w:ascii="Book Antiqua" w:hAnsi="Book Antiqua" w:cs="Times New Roman"/>
          <w:sz w:val="16"/>
          <w:szCs w:val="16"/>
        </w:rPr>
        <w:t xml:space="preserve"> evaluates knowledge based on its practical utility for problem-solving (</w:t>
      </w:r>
      <w:r w:rsidR="00F95D3A" w:rsidRPr="005C54D8">
        <w:rPr>
          <w:rFonts w:ascii="Book Antiqua" w:hAnsi="Book Antiqua" w:cs="Times New Roman"/>
          <w:color w:val="0070C0"/>
          <w:sz w:val="16"/>
          <w:szCs w:val="16"/>
        </w:rPr>
        <w:t>Pluye and Hong, 2014</w:t>
      </w:r>
      <w:r w:rsidR="00F95D3A" w:rsidRPr="00F95D3A">
        <w:rPr>
          <w:rFonts w:ascii="Book Antiqua" w:hAnsi="Book Antiqua" w:cs="Times New Roman"/>
          <w:sz w:val="16"/>
          <w:szCs w:val="16"/>
        </w:rPr>
        <w:t xml:space="preserve">). </w:t>
      </w:r>
      <w:r w:rsidR="007D428D">
        <w:rPr>
          <w:rFonts w:ascii="Book Antiqua" w:hAnsi="Book Antiqua" w:cs="Times New Roman"/>
          <w:sz w:val="16"/>
          <w:szCs w:val="16"/>
        </w:rPr>
        <w:t>T</w:t>
      </w:r>
      <w:r w:rsidR="00E14B4B" w:rsidRPr="002D6278">
        <w:rPr>
          <w:rFonts w:ascii="Book Antiqua" w:hAnsi="Book Antiqua" w:cs="Times New Roman"/>
          <w:sz w:val="16"/>
          <w:szCs w:val="16"/>
        </w:rPr>
        <w:t xml:space="preserve">he core task of this systematic review is to integrate the divergent findings without distorting their underlying claims. </w:t>
      </w:r>
      <w:r w:rsidR="00907D09" w:rsidRPr="002D6278">
        <w:rPr>
          <w:rFonts w:ascii="Book Antiqua" w:hAnsi="Book Antiqua" w:cs="Times New Roman"/>
          <w:sz w:val="16"/>
          <w:szCs w:val="16"/>
        </w:rPr>
        <w:t>A purely positivist stance would risk treating socio-cultural context as a control variable to be removed, while a purely interpretivist stance would make it difficult to draw the generalisable, business-relevant conclusions</w:t>
      </w:r>
      <w:r w:rsidR="003B24E3" w:rsidRPr="002D6278">
        <w:rPr>
          <w:rFonts w:ascii="Book Antiqua" w:hAnsi="Book Antiqua" w:cs="Times New Roman"/>
          <w:sz w:val="16"/>
          <w:szCs w:val="16"/>
        </w:rPr>
        <w:t xml:space="preserve"> to a domain like FinTech and development</w:t>
      </w:r>
      <w:r w:rsidR="00A2426E" w:rsidRPr="002D6278">
        <w:rPr>
          <w:rFonts w:ascii="Book Antiqua" w:hAnsi="Book Antiqua" w:cs="Times New Roman"/>
          <w:sz w:val="16"/>
          <w:szCs w:val="16"/>
        </w:rPr>
        <w:t>.</w:t>
      </w:r>
      <w:r w:rsidR="00E64E12" w:rsidRPr="002D6278">
        <w:rPr>
          <w:rFonts w:ascii="Book Antiqua" w:hAnsi="Book Antiqua" w:cs="Times New Roman"/>
          <w:sz w:val="16"/>
          <w:szCs w:val="16"/>
        </w:rPr>
        <w:t xml:space="preserve"> </w:t>
      </w:r>
      <w:r w:rsidR="001A212F" w:rsidRPr="002D6278">
        <w:rPr>
          <w:rFonts w:ascii="Book Antiqua" w:hAnsi="Book Antiqua" w:cs="Times New Roman"/>
          <w:sz w:val="16"/>
          <w:szCs w:val="16"/>
        </w:rPr>
        <w:t>P</w:t>
      </w:r>
      <w:r w:rsidR="00907D09" w:rsidRPr="002D6278">
        <w:rPr>
          <w:rFonts w:ascii="Book Antiqua" w:hAnsi="Book Antiqua" w:cs="Times New Roman"/>
          <w:sz w:val="16"/>
          <w:szCs w:val="16"/>
        </w:rPr>
        <w:t>ragmatism allows the synthesis to</w:t>
      </w:r>
      <w:r w:rsidR="00293F59" w:rsidRPr="002D6278">
        <w:rPr>
          <w:rFonts w:ascii="Book Antiqua" w:hAnsi="Book Antiqua" w:cs="Times New Roman"/>
          <w:sz w:val="16"/>
          <w:szCs w:val="16"/>
        </w:rPr>
        <w:t xml:space="preserve"> leverage both forms of evidence based on the specific research qu</w:t>
      </w:r>
      <w:r w:rsidR="000C4F42">
        <w:rPr>
          <w:rFonts w:ascii="Book Antiqua" w:hAnsi="Book Antiqua" w:cs="Times New Roman"/>
          <w:sz w:val="16"/>
          <w:szCs w:val="16"/>
        </w:rPr>
        <w:t>eries</w:t>
      </w:r>
      <w:r w:rsidR="00293F59" w:rsidRPr="002D6278">
        <w:rPr>
          <w:rFonts w:ascii="Book Antiqua" w:hAnsi="Book Antiqua" w:cs="Times New Roman"/>
          <w:sz w:val="16"/>
          <w:szCs w:val="16"/>
        </w:rPr>
        <w:t xml:space="preserve">. </w:t>
      </w:r>
    </w:p>
    <w:p w14:paraId="5B68ACA8" w14:textId="377A8AF7" w:rsidR="00D62572" w:rsidRPr="002D6278" w:rsidRDefault="00CC417D" w:rsidP="00781670">
      <w:pPr>
        <w:jc w:val="both"/>
        <w:rPr>
          <w:rFonts w:ascii="Book Antiqua" w:hAnsi="Book Antiqua" w:cs="Times New Roman"/>
          <w:b/>
          <w:bCs/>
          <w:sz w:val="16"/>
          <w:szCs w:val="16"/>
        </w:rPr>
      </w:pPr>
      <w:r w:rsidRPr="002D6278">
        <w:rPr>
          <w:rFonts w:ascii="Book Antiqua" w:hAnsi="Book Antiqua" w:cs="Times New Roman"/>
          <w:b/>
          <w:bCs/>
          <w:sz w:val="16"/>
          <w:szCs w:val="16"/>
        </w:rPr>
        <w:t xml:space="preserve">4.2 </w:t>
      </w:r>
      <w:r w:rsidR="003021A9" w:rsidRPr="003021A9">
        <w:rPr>
          <w:rFonts w:ascii="Book Antiqua" w:hAnsi="Book Antiqua" w:cs="Times New Roman"/>
          <w:b/>
          <w:bCs/>
          <w:sz w:val="16"/>
          <w:szCs w:val="16"/>
        </w:rPr>
        <w:t xml:space="preserve">Methodological </w:t>
      </w:r>
      <w:r w:rsidR="003021A9">
        <w:rPr>
          <w:rFonts w:ascii="Book Antiqua" w:hAnsi="Book Antiqua" w:cs="Times New Roman"/>
          <w:b/>
          <w:bCs/>
          <w:sz w:val="16"/>
          <w:szCs w:val="16"/>
        </w:rPr>
        <w:t xml:space="preserve">Framework: </w:t>
      </w:r>
      <w:r w:rsidR="00D62572" w:rsidRPr="002D6278">
        <w:rPr>
          <w:rFonts w:ascii="Book Antiqua" w:hAnsi="Book Antiqua" w:cs="Times New Roman"/>
          <w:b/>
          <w:bCs/>
          <w:sz w:val="16"/>
          <w:szCs w:val="16"/>
        </w:rPr>
        <w:t xml:space="preserve">Research </w:t>
      </w:r>
      <w:r w:rsidR="00060C54" w:rsidRPr="002D6278">
        <w:rPr>
          <w:rFonts w:ascii="Book Antiqua" w:hAnsi="Book Antiqua" w:cs="Times New Roman"/>
          <w:b/>
          <w:bCs/>
          <w:sz w:val="16"/>
          <w:szCs w:val="16"/>
        </w:rPr>
        <w:t>Design</w:t>
      </w:r>
    </w:p>
    <w:p w14:paraId="31A4ACD2" w14:textId="1517A229" w:rsidR="002273CE" w:rsidRDefault="002273CE" w:rsidP="00CC417D">
      <w:pPr>
        <w:jc w:val="both"/>
        <w:rPr>
          <w:rFonts w:ascii="Book Antiqua" w:hAnsi="Book Antiqua" w:cs="Times New Roman"/>
          <w:b/>
          <w:bCs/>
          <w:sz w:val="16"/>
          <w:szCs w:val="16"/>
        </w:rPr>
      </w:pPr>
      <w:r w:rsidRPr="002273CE">
        <w:rPr>
          <w:rFonts w:ascii="Book Antiqua" w:hAnsi="Book Antiqua" w:cs="Times New Roman"/>
          <w:sz w:val="16"/>
          <w:szCs w:val="16"/>
        </w:rPr>
        <w:t>To ensure maximum transparency and replicability,</w:t>
      </w:r>
      <w:r w:rsidR="006F2688">
        <w:rPr>
          <w:rFonts w:ascii="Book Antiqua" w:hAnsi="Book Antiqua" w:cs="Times New Roman"/>
          <w:sz w:val="16"/>
          <w:szCs w:val="16"/>
        </w:rPr>
        <w:t xml:space="preserve"> the</w:t>
      </w:r>
      <w:r w:rsidRPr="002273CE">
        <w:rPr>
          <w:rFonts w:ascii="Book Antiqua" w:hAnsi="Book Antiqua" w:cs="Times New Roman"/>
          <w:sz w:val="16"/>
          <w:szCs w:val="16"/>
        </w:rPr>
        <w:t xml:space="preserve"> research utilizes a </w:t>
      </w:r>
      <w:r w:rsidR="000B307A">
        <w:rPr>
          <w:rFonts w:ascii="Book Antiqua" w:hAnsi="Book Antiqua" w:cs="Times New Roman"/>
          <w:sz w:val="16"/>
          <w:szCs w:val="16"/>
        </w:rPr>
        <w:t>S</w:t>
      </w:r>
      <w:r w:rsidRPr="002273CE">
        <w:rPr>
          <w:rFonts w:ascii="Book Antiqua" w:hAnsi="Book Antiqua" w:cs="Times New Roman"/>
          <w:sz w:val="16"/>
          <w:szCs w:val="16"/>
        </w:rPr>
        <w:t xml:space="preserve">ystematic </w:t>
      </w:r>
      <w:r w:rsidR="000B307A">
        <w:rPr>
          <w:rFonts w:ascii="Book Antiqua" w:hAnsi="Book Antiqua" w:cs="Times New Roman"/>
          <w:sz w:val="16"/>
          <w:szCs w:val="16"/>
        </w:rPr>
        <w:t>L</w:t>
      </w:r>
      <w:r w:rsidRPr="002273CE">
        <w:rPr>
          <w:rFonts w:ascii="Book Antiqua" w:hAnsi="Book Antiqua" w:cs="Times New Roman"/>
          <w:sz w:val="16"/>
          <w:szCs w:val="16"/>
        </w:rPr>
        <w:t xml:space="preserve">iterature </w:t>
      </w:r>
      <w:r w:rsidR="000B307A">
        <w:rPr>
          <w:rFonts w:ascii="Book Antiqua" w:hAnsi="Book Antiqua" w:cs="Times New Roman"/>
          <w:sz w:val="16"/>
          <w:szCs w:val="16"/>
        </w:rPr>
        <w:t>R</w:t>
      </w:r>
      <w:r w:rsidRPr="002273CE">
        <w:rPr>
          <w:rFonts w:ascii="Book Antiqua" w:hAnsi="Book Antiqua" w:cs="Times New Roman"/>
          <w:sz w:val="16"/>
          <w:szCs w:val="16"/>
        </w:rPr>
        <w:t>eview (SLR) framed around PRISMA 2020 standards</w:t>
      </w:r>
      <w:r w:rsidR="00637D4F">
        <w:rPr>
          <w:rFonts w:ascii="Book Antiqua" w:hAnsi="Book Antiqua" w:cs="Times New Roman"/>
          <w:sz w:val="16"/>
          <w:szCs w:val="16"/>
        </w:rPr>
        <w:t xml:space="preserve">, </w:t>
      </w:r>
      <w:r w:rsidR="00637D4F" w:rsidRPr="00637D4F">
        <w:rPr>
          <w:rFonts w:ascii="Book Antiqua" w:hAnsi="Book Antiqua" w:cs="Times New Roman"/>
          <w:sz w:val="16"/>
          <w:szCs w:val="16"/>
        </w:rPr>
        <w:t xml:space="preserve">following the evidence-informed management review methodology established by </w:t>
      </w:r>
      <w:r w:rsidR="00637D4F" w:rsidRPr="00637D4F">
        <w:rPr>
          <w:rFonts w:ascii="Book Antiqua" w:hAnsi="Book Antiqua" w:cs="Times New Roman"/>
          <w:color w:val="0070C0"/>
          <w:sz w:val="16"/>
          <w:szCs w:val="16"/>
        </w:rPr>
        <w:t>Tranfield et al. (2003)</w:t>
      </w:r>
      <w:r w:rsidR="00637D4F" w:rsidRPr="00637D4F">
        <w:rPr>
          <w:rFonts w:ascii="Book Antiqua" w:hAnsi="Book Antiqua" w:cs="Times New Roman"/>
          <w:sz w:val="16"/>
          <w:szCs w:val="16"/>
        </w:rPr>
        <w:t xml:space="preserve">. </w:t>
      </w:r>
      <w:r w:rsidRPr="002273CE">
        <w:rPr>
          <w:rFonts w:ascii="Book Antiqua" w:hAnsi="Book Antiqua" w:cs="Times New Roman"/>
          <w:sz w:val="16"/>
          <w:szCs w:val="16"/>
        </w:rPr>
        <w:t xml:space="preserve"> An SLR framework is essential for comprehensively mapping, critically evaluating, and synthesizing current scholarly work on South Asian digital financial inclusion. To maintain auditability, the </w:t>
      </w:r>
      <w:r w:rsidR="009751F4" w:rsidRPr="002273CE">
        <w:rPr>
          <w:rFonts w:ascii="Book Antiqua" w:hAnsi="Book Antiqua" w:cs="Times New Roman"/>
          <w:sz w:val="16"/>
          <w:szCs w:val="16"/>
        </w:rPr>
        <w:t>complete</w:t>
      </w:r>
      <w:r w:rsidRPr="002273CE">
        <w:rPr>
          <w:rFonts w:ascii="Book Antiqua" w:hAnsi="Book Antiqua" w:cs="Times New Roman"/>
          <w:sz w:val="16"/>
          <w:szCs w:val="16"/>
        </w:rPr>
        <w:t xml:space="preserve"> s</w:t>
      </w:r>
      <w:r w:rsidR="00D541EF">
        <w:rPr>
          <w:rFonts w:ascii="Book Antiqua" w:hAnsi="Book Antiqua" w:cs="Times New Roman"/>
          <w:sz w:val="16"/>
          <w:szCs w:val="16"/>
        </w:rPr>
        <w:t>creening</w:t>
      </w:r>
      <w:r w:rsidRPr="002273CE">
        <w:rPr>
          <w:rFonts w:ascii="Book Antiqua" w:hAnsi="Book Antiqua" w:cs="Times New Roman"/>
          <w:sz w:val="16"/>
          <w:szCs w:val="16"/>
        </w:rPr>
        <w:t xml:space="preserve"> process</w:t>
      </w:r>
      <w:r>
        <w:rPr>
          <w:rFonts w:ascii="Book Antiqua" w:hAnsi="Book Antiqua" w:cs="Times New Roman"/>
          <w:sz w:val="16"/>
          <w:szCs w:val="16"/>
        </w:rPr>
        <w:t xml:space="preserve"> </w:t>
      </w:r>
      <w:r w:rsidRPr="002273CE">
        <w:rPr>
          <w:rFonts w:ascii="Book Antiqua" w:hAnsi="Book Antiqua" w:cs="Times New Roman"/>
          <w:sz w:val="16"/>
          <w:szCs w:val="16"/>
        </w:rPr>
        <w:t>is systematically out</w:t>
      </w:r>
      <w:r w:rsidR="001A2183">
        <w:rPr>
          <w:rFonts w:ascii="Book Antiqua" w:hAnsi="Book Antiqua" w:cs="Times New Roman"/>
          <w:sz w:val="16"/>
          <w:szCs w:val="16"/>
        </w:rPr>
        <w:t>lined</w:t>
      </w:r>
      <w:r w:rsidRPr="002273CE">
        <w:rPr>
          <w:rFonts w:ascii="Book Antiqua" w:hAnsi="Book Antiqua" w:cs="Times New Roman"/>
          <w:sz w:val="16"/>
          <w:szCs w:val="16"/>
        </w:rPr>
        <w:t xml:space="preserve"> using the PRISMA 2020 flow </w:t>
      </w:r>
      <w:r w:rsidR="001349B2">
        <w:rPr>
          <w:rFonts w:ascii="Book Antiqua" w:hAnsi="Book Antiqua" w:cs="Times New Roman"/>
          <w:sz w:val="16"/>
          <w:szCs w:val="16"/>
        </w:rPr>
        <w:t>chart</w:t>
      </w:r>
      <w:r w:rsidRPr="002273CE">
        <w:rPr>
          <w:rFonts w:ascii="Book Antiqua" w:hAnsi="Book Antiqua" w:cs="Times New Roman"/>
          <w:sz w:val="16"/>
          <w:szCs w:val="16"/>
        </w:rPr>
        <w:t>.</w:t>
      </w:r>
      <w:r w:rsidRPr="002273CE">
        <w:rPr>
          <w:rFonts w:ascii="Book Antiqua" w:hAnsi="Book Antiqua" w:cs="Times New Roman"/>
          <w:b/>
          <w:bCs/>
          <w:sz w:val="16"/>
          <w:szCs w:val="16"/>
        </w:rPr>
        <w:t xml:space="preserve"> </w:t>
      </w:r>
    </w:p>
    <w:p w14:paraId="5CD6195A" w14:textId="73A8E6A1" w:rsidR="0005729D" w:rsidRPr="002D6278" w:rsidRDefault="00CC417D" w:rsidP="00CC417D">
      <w:pPr>
        <w:jc w:val="both"/>
        <w:rPr>
          <w:rFonts w:ascii="Book Antiqua" w:hAnsi="Book Antiqua" w:cs="Times New Roman"/>
          <w:b/>
          <w:bCs/>
          <w:sz w:val="16"/>
          <w:szCs w:val="16"/>
        </w:rPr>
      </w:pPr>
      <w:r w:rsidRPr="002D6278">
        <w:rPr>
          <w:rFonts w:ascii="Book Antiqua" w:hAnsi="Book Antiqua" w:cs="Times New Roman"/>
          <w:b/>
          <w:bCs/>
          <w:sz w:val="16"/>
          <w:szCs w:val="16"/>
        </w:rPr>
        <w:t xml:space="preserve">4.3 </w:t>
      </w:r>
      <w:r w:rsidR="004C4FF5" w:rsidRPr="002D6278">
        <w:rPr>
          <w:rFonts w:ascii="Book Antiqua" w:hAnsi="Book Antiqua" w:cs="Times New Roman"/>
          <w:b/>
          <w:bCs/>
          <w:sz w:val="16"/>
          <w:szCs w:val="16"/>
        </w:rPr>
        <w:t>Search Strategy and Database Selection</w:t>
      </w:r>
    </w:p>
    <w:p w14:paraId="6FD73F25" w14:textId="1E3ACCF5" w:rsidR="00A7699F" w:rsidRPr="002D6278" w:rsidRDefault="00C00821" w:rsidP="00F4272B">
      <w:pPr>
        <w:jc w:val="both"/>
        <w:rPr>
          <w:rFonts w:ascii="Book Antiqua" w:hAnsi="Book Antiqua" w:cs="Times New Roman"/>
          <w:sz w:val="16"/>
          <w:szCs w:val="16"/>
        </w:rPr>
      </w:pPr>
      <w:r w:rsidRPr="00C00821">
        <w:rPr>
          <w:rFonts w:ascii="Book Antiqua" w:hAnsi="Book Antiqua" w:cs="Times New Roman"/>
          <w:sz w:val="16"/>
          <w:szCs w:val="16"/>
        </w:rPr>
        <w:t xml:space="preserve">Following PRISMA protocols, </w:t>
      </w:r>
      <w:r w:rsidR="00B80CB5">
        <w:rPr>
          <w:rFonts w:ascii="Book Antiqua" w:hAnsi="Book Antiqua" w:cs="Times New Roman"/>
          <w:sz w:val="16"/>
          <w:szCs w:val="16"/>
        </w:rPr>
        <w:t>Scopus</w:t>
      </w:r>
      <w:r w:rsidR="00611CCD">
        <w:rPr>
          <w:rFonts w:ascii="Book Antiqua" w:hAnsi="Book Antiqua" w:cs="Times New Roman"/>
          <w:sz w:val="16"/>
          <w:szCs w:val="16"/>
        </w:rPr>
        <w:t xml:space="preserve"> and </w:t>
      </w:r>
      <w:r w:rsidR="00611CCD" w:rsidRPr="00C00821">
        <w:rPr>
          <w:rFonts w:ascii="Book Antiqua" w:hAnsi="Book Antiqua" w:cs="Times New Roman"/>
          <w:sz w:val="16"/>
          <w:szCs w:val="16"/>
        </w:rPr>
        <w:t>Web of Science</w:t>
      </w:r>
      <w:r w:rsidR="00B80CB5">
        <w:rPr>
          <w:rFonts w:ascii="Book Antiqua" w:hAnsi="Book Antiqua" w:cs="Times New Roman"/>
          <w:sz w:val="16"/>
          <w:szCs w:val="16"/>
        </w:rPr>
        <w:t xml:space="preserve"> </w:t>
      </w:r>
      <w:r w:rsidRPr="00C00821">
        <w:rPr>
          <w:rFonts w:ascii="Book Antiqua" w:hAnsi="Book Antiqua" w:cs="Times New Roman"/>
          <w:sz w:val="16"/>
          <w:szCs w:val="16"/>
        </w:rPr>
        <w:t xml:space="preserve">served as the </w:t>
      </w:r>
      <w:r w:rsidR="004A710D" w:rsidRPr="00C00821">
        <w:rPr>
          <w:rFonts w:ascii="Book Antiqua" w:hAnsi="Book Antiqua" w:cs="Times New Roman"/>
          <w:sz w:val="16"/>
          <w:szCs w:val="16"/>
        </w:rPr>
        <w:t>essential</w:t>
      </w:r>
      <w:r w:rsidRPr="00C00821">
        <w:rPr>
          <w:rFonts w:ascii="Book Antiqua" w:hAnsi="Book Antiqua" w:cs="Times New Roman"/>
          <w:sz w:val="16"/>
          <w:szCs w:val="16"/>
        </w:rPr>
        <w:t xml:space="preserve"> databases for literature retrieval. </w:t>
      </w:r>
      <w:r w:rsidR="00962EC1" w:rsidRPr="002D6278">
        <w:rPr>
          <w:rFonts w:ascii="Book Antiqua" w:hAnsi="Book Antiqua" w:cs="Times New Roman"/>
          <w:sz w:val="16"/>
          <w:szCs w:val="16"/>
        </w:rPr>
        <w:t xml:space="preserve">These engines comprehensively index top-tier, ABS-ranked journals across development economics, management information systems, and gender studies. </w:t>
      </w:r>
      <w:r w:rsidR="006452C2" w:rsidRPr="002D6278">
        <w:rPr>
          <w:rFonts w:ascii="Book Antiqua" w:hAnsi="Book Antiqua" w:cs="Times New Roman"/>
          <w:sz w:val="16"/>
          <w:szCs w:val="16"/>
        </w:rPr>
        <w:t>To eliminate selection bias,</w:t>
      </w:r>
      <w:r w:rsidR="00EE2336" w:rsidRPr="002D6278">
        <w:rPr>
          <w:rFonts w:ascii="Book Antiqua" w:hAnsi="Book Antiqua" w:cs="Times New Roman"/>
          <w:sz w:val="16"/>
          <w:szCs w:val="16"/>
        </w:rPr>
        <w:t xml:space="preserve"> a comprehensive four-block Boolean search string was constructed.</w:t>
      </w:r>
      <w:r w:rsidR="000B6F8F" w:rsidRPr="002D6278">
        <w:rPr>
          <w:rFonts w:ascii="Book Antiqua" w:hAnsi="Book Antiqua" w:cs="Times New Roman"/>
          <w:sz w:val="16"/>
          <w:szCs w:val="16"/>
        </w:rPr>
        <w:t xml:space="preserve"> </w:t>
      </w:r>
      <w:r w:rsidR="003D0971" w:rsidRPr="002D6278">
        <w:rPr>
          <w:rFonts w:ascii="Book Antiqua" w:hAnsi="Book Antiqua" w:cs="Times New Roman"/>
          <w:sz w:val="16"/>
          <w:szCs w:val="16"/>
        </w:rPr>
        <w:t>Search string</w:t>
      </w:r>
      <w:r w:rsidR="008711E8" w:rsidRPr="002D6278">
        <w:rPr>
          <w:rFonts w:ascii="Book Antiqua" w:hAnsi="Book Antiqua" w:cs="Times New Roman"/>
          <w:sz w:val="16"/>
          <w:szCs w:val="16"/>
        </w:rPr>
        <w:t xml:space="preserve"> parameters were carefully tailored to the specific syntax rules of each database while maintaining absolute conceptual consistency</w:t>
      </w:r>
      <w:r w:rsidR="003D0971" w:rsidRPr="002D6278">
        <w:rPr>
          <w:rFonts w:ascii="Book Antiqua" w:hAnsi="Book Antiqua" w:cs="Times New Roman"/>
          <w:sz w:val="16"/>
          <w:szCs w:val="16"/>
        </w:rPr>
        <w:t>.</w:t>
      </w:r>
    </w:p>
    <w:p w14:paraId="5D102A09" w14:textId="46BEAB2E" w:rsidR="004770B7" w:rsidRPr="002D6278" w:rsidRDefault="004770B7" w:rsidP="00815BF4">
      <w:pPr>
        <w:pStyle w:val="ListParagraph"/>
        <w:numPr>
          <w:ilvl w:val="0"/>
          <w:numId w:val="37"/>
        </w:numPr>
        <w:spacing w:after="0"/>
        <w:ind w:left="426" w:hanging="284"/>
        <w:rPr>
          <w:rFonts w:ascii="Book Antiqua" w:hAnsi="Book Antiqua" w:cs="Times New Roman"/>
          <w:sz w:val="16"/>
          <w:szCs w:val="16"/>
        </w:rPr>
      </w:pPr>
      <w:r w:rsidRPr="002D6278">
        <w:rPr>
          <w:rFonts w:ascii="Book Antiqua" w:hAnsi="Book Antiqua" w:cs="Times New Roman"/>
          <w:b/>
          <w:bCs/>
          <w:sz w:val="16"/>
          <w:szCs w:val="16"/>
        </w:rPr>
        <w:t>Block A (FinTech):</w:t>
      </w:r>
      <w:r w:rsidRPr="002D6278">
        <w:rPr>
          <w:rFonts w:ascii="Book Antiqua" w:hAnsi="Book Antiqua" w:cs="Times New Roman"/>
          <w:sz w:val="16"/>
          <w:szCs w:val="16"/>
        </w:rPr>
        <w:t xml:space="preserve"> "FinTech" OR</w:t>
      </w:r>
      <w:r w:rsidR="0013297E">
        <w:rPr>
          <w:rFonts w:ascii="Book Antiqua" w:hAnsi="Book Antiqua" w:cs="Times New Roman"/>
          <w:sz w:val="16"/>
          <w:szCs w:val="16"/>
        </w:rPr>
        <w:t xml:space="preserve"> </w:t>
      </w:r>
      <w:r w:rsidR="0013297E" w:rsidRPr="002D6278">
        <w:rPr>
          <w:rFonts w:ascii="Book Antiqua" w:hAnsi="Book Antiqua" w:cs="Times New Roman"/>
          <w:sz w:val="16"/>
          <w:szCs w:val="16"/>
        </w:rPr>
        <w:t xml:space="preserve">"digital banking" </w:t>
      </w:r>
      <w:r w:rsidR="00C43199" w:rsidRPr="002D6278">
        <w:rPr>
          <w:rFonts w:ascii="Book Antiqua" w:hAnsi="Book Antiqua" w:cs="Times New Roman"/>
          <w:sz w:val="16"/>
          <w:szCs w:val="16"/>
        </w:rPr>
        <w:t xml:space="preserve">OR "mobile money" </w:t>
      </w:r>
      <w:r w:rsidRPr="002D6278">
        <w:rPr>
          <w:rFonts w:ascii="Book Antiqua" w:hAnsi="Book Antiqua" w:cs="Times New Roman"/>
          <w:sz w:val="16"/>
          <w:szCs w:val="16"/>
        </w:rPr>
        <w:t>OR "mobile banking"</w:t>
      </w:r>
      <w:r w:rsidR="00382B7B">
        <w:rPr>
          <w:rFonts w:ascii="Book Antiqua" w:hAnsi="Book Antiqua" w:cs="Times New Roman"/>
          <w:sz w:val="16"/>
          <w:szCs w:val="16"/>
        </w:rPr>
        <w:t xml:space="preserve"> OR</w:t>
      </w:r>
      <w:r w:rsidR="00382B7B" w:rsidRPr="002D6278">
        <w:rPr>
          <w:rFonts w:ascii="Book Antiqua" w:hAnsi="Book Antiqua" w:cs="Times New Roman"/>
          <w:sz w:val="16"/>
          <w:szCs w:val="16"/>
        </w:rPr>
        <w:t xml:space="preserve"> "financial technology"</w:t>
      </w:r>
      <w:r w:rsidR="00382B7B">
        <w:rPr>
          <w:rFonts w:ascii="Book Antiqua" w:hAnsi="Book Antiqua" w:cs="Times New Roman"/>
          <w:sz w:val="16"/>
          <w:szCs w:val="16"/>
        </w:rPr>
        <w:t>.</w:t>
      </w:r>
    </w:p>
    <w:p w14:paraId="25D67E96" w14:textId="33C0816F" w:rsidR="006C4BA5" w:rsidRPr="002D6278" w:rsidRDefault="008961FE" w:rsidP="00815BF4">
      <w:pPr>
        <w:pStyle w:val="ListParagraph"/>
        <w:numPr>
          <w:ilvl w:val="0"/>
          <w:numId w:val="37"/>
        </w:numPr>
        <w:spacing w:after="0"/>
        <w:ind w:left="426" w:hanging="284"/>
        <w:rPr>
          <w:rFonts w:ascii="Book Antiqua" w:hAnsi="Book Antiqua" w:cs="Times New Roman"/>
          <w:sz w:val="16"/>
          <w:szCs w:val="16"/>
        </w:rPr>
      </w:pPr>
      <w:r w:rsidRPr="002D6278">
        <w:rPr>
          <w:rFonts w:ascii="Book Antiqua" w:hAnsi="Book Antiqua" w:cs="Times New Roman"/>
          <w:b/>
          <w:bCs/>
          <w:sz w:val="16"/>
          <w:szCs w:val="16"/>
        </w:rPr>
        <w:t>Block B (Gender):</w:t>
      </w:r>
      <w:r w:rsidRPr="002D6278">
        <w:rPr>
          <w:rFonts w:ascii="Book Antiqua" w:hAnsi="Book Antiqua" w:cs="Times New Roman"/>
          <w:sz w:val="16"/>
          <w:szCs w:val="16"/>
        </w:rPr>
        <w:t xml:space="preserve"> </w:t>
      </w:r>
      <w:r w:rsidR="003E5BE0" w:rsidRPr="002D6278">
        <w:rPr>
          <w:rFonts w:ascii="Book Antiqua" w:hAnsi="Book Antiqua" w:cs="Times New Roman"/>
          <w:sz w:val="16"/>
          <w:szCs w:val="16"/>
        </w:rPr>
        <w:t>"female"</w:t>
      </w:r>
      <w:r w:rsidR="00E71073">
        <w:rPr>
          <w:rFonts w:ascii="Book Antiqua" w:hAnsi="Book Antiqua" w:cs="Times New Roman"/>
          <w:sz w:val="16"/>
          <w:szCs w:val="16"/>
        </w:rPr>
        <w:t xml:space="preserve"> OR</w:t>
      </w:r>
      <w:r w:rsidR="003E5BE0" w:rsidRPr="002D6278">
        <w:rPr>
          <w:rFonts w:ascii="Book Antiqua" w:hAnsi="Book Antiqua" w:cs="Times New Roman"/>
          <w:sz w:val="16"/>
          <w:szCs w:val="16"/>
        </w:rPr>
        <w:t xml:space="preserve"> </w:t>
      </w:r>
      <w:r w:rsidRPr="002D6278">
        <w:rPr>
          <w:rFonts w:ascii="Book Antiqua" w:hAnsi="Book Antiqua" w:cs="Times New Roman"/>
          <w:sz w:val="16"/>
          <w:szCs w:val="16"/>
        </w:rPr>
        <w:t>"women" OR "</w:t>
      </w:r>
      <w:r w:rsidR="00E5159C" w:rsidRPr="00E5159C">
        <w:rPr>
          <w:rFonts w:ascii="Book Antiqua" w:hAnsi="Book Antiqua" w:cs="Times New Roman"/>
          <w:sz w:val="16"/>
          <w:szCs w:val="16"/>
        </w:rPr>
        <w:t xml:space="preserve"> </w:t>
      </w:r>
      <w:r w:rsidR="00E5159C" w:rsidRPr="002D6278">
        <w:rPr>
          <w:rFonts w:ascii="Book Antiqua" w:hAnsi="Book Antiqua" w:cs="Times New Roman"/>
          <w:sz w:val="16"/>
          <w:szCs w:val="16"/>
        </w:rPr>
        <w:t xml:space="preserve">empowerment </w:t>
      </w:r>
      <w:r w:rsidR="00E5159C">
        <w:rPr>
          <w:rFonts w:ascii="Book Antiqua" w:hAnsi="Book Antiqua" w:cs="Times New Roman"/>
          <w:sz w:val="16"/>
          <w:szCs w:val="16"/>
        </w:rPr>
        <w:t xml:space="preserve">of </w:t>
      </w:r>
      <w:r w:rsidRPr="002D6278">
        <w:rPr>
          <w:rFonts w:ascii="Book Antiqua" w:hAnsi="Book Antiqua" w:cs="Times New Roman"/>
          <w:sz w:val="16"/>
          <w:szCs w:val="16"/>
        </w:rPr>
        <w:t xml:space="preserve">women" </w:t>
      </w:r>
      <w:r w:rsidR="00E71073" w:rsidRPr="002D6278">
        <w:rPr>
          <w:rFonts w:ascii="Book Antiqua" w:hAnsi="Book Antiqua" w:cs="Times New Roman"/>
          <w:sz w:val="16"/>
          <w:szCs w:val="16"/>
        </w:rPr>
        <w:t xml:space="preserve">OR "gender" </w:t>
      </w:r>
      <w:r w:rsidRPr="002D6278">
        <w:rPr>
          <w:rFonts w:ascii="Book Antiqua" w:hAnsi="Book Antiqua" w:cs="Times New Roman"/>
          <w:sz w:val="16"/>
          <w:szCs w:val="16"/>
        </w:rPr>
        <w:t>OR "gender gap"</w:t>
      </w:r>
      <w:r w:rsidR="006F614C" w:rsidRPr="002D6278">
        <w:rPr>
          <w:rFonts w:ascii="Book Antiqua" w:hAnsi="Book Antiqua" w:cs="Times New Roman"/>
          <w:sz w:val="16"/>
          <w:szCs w:val="16"/>
        </w:rPr>
        <w:t>.</w:t>
      </w:r>
    </w:p>
    <w:p w14:paraId="47F0E765" w14:textId="76384751" w:rsidR="006F614C" w:rsidRPr="002D6278" w:rsidRDefault="006F614C" w:rsidP="00815BF4">
      <w:pPr>
        <w:pStyle w:val="ListParagraph"/>
        <w:numPr>
          <w:ilvl w:val="0"/>
          <w:numId w:val="37"/>
        </w:numPr>
        <w:spacing w:after="0"/>
        <w:ind w:left="426" w:hanging="284"/>
        <w:rPr>
          <w:rFonts w:ascii="Book Antiqua" w:hAnsi="Book Antiqua" w:cs="Times New Roman"/>
          <w:sz w:val="16"/>
          <w:szCs w:val="16"/>
        </w:rPr>
      </w:pPr>
      <w:r w:rsidRPr="002D6278">
        <w:rPr>
          <w:rFonts w:ascii="Book Antiqua" w:hAnsi="Book Antiqua" w:cs="Times New Roman"/>
          <w:b/>
          <w:bCs/>
          <w:sz w:val="16"/>
          <w:szCs w:val="16"/>
        </w:rPr>
        <w:t>Block C (Socio-cultural):</w:t>
      </w:r>
      <w:r w:rsidRPr="002D6278">
        <w:rPr>
          <w:rFonts w:ascii="Book Antiqua" w:hAnsi="Book Antiqua" w:cs="Times New Roman"/>
          <w:sz w:val="16"/>
          <w:szCs w:val="16"/>
        </w:rPr>
        <w:t xml:space="preserve"> "socio-cultural" OR "cultural norm*" OR "patriarchal" OR "digital literacy" OR "household decision-making"</w:t>
      </w:r>
      <w:r w:rsidR="006C417C" w:rsidRPr="002D6278">
        <w:rPr>
          <w:rFonts w:ascii="Book Antiqua" w:hAnsi="Book Antiqua" w:cs="Times New Roman"/>
          <w:sz w:val="16"/>
          <w:szCs w:val="16"/>
        </w:rPr>
        <w:t>.</w:t>
      </w:r>
    </w:p>
    <w:p w14:paraId="06EDDE69" w14:textId="388D9B53" w:rsidR="006C417C" w:rsidRPr="002D6278" w:rsidRDefault="006C417C" w:rsidP="00815BF4">
      <w:pPr>
        <w:pStyle w:val="ListParagraph"/>
        <w:numPr>
          <w:ilvl w:val="0"/>
          <w:numId w:val="37"/>
        </w:numPr>
        <w:spacing w:after="0"/>
        <w:ind w:left="426" w:hanging="284"/>
        <w:rPr>
          <w:rFonts w:ascii="Book Antiqua" w:hAnsi="Book Antiqua" w:cs="Times New Roman"/>
          <w:sz w:val="16"/>
          <w:szCs w:val="16"/>
        </w:rPr>
      </w:pPr>
      <w:r w:rsidRPr="002D6278">
        <w:rPr>
          <w:rFonts w:ascii="Book Antiqua" w:hAnsi="Book Antiqua" w:cs="Times New Roman"/>
          <w:b/>
          <w:bCs/>
          <w:sz w:val="16"/>
          <w:szCs w:val="16"/>
        </w:rPr>
        <w:t>Block D (Geography):</w:t>
      </w:r>
      <w:r w:rsidRPr="002D6278">
        <w:rPr>
          <w:rFonts w:ascii="Book Antiqua" w:hAnsi="Book Antiqua" w:cs="Times New Roman"/>
          <w:sz w:val="16"/>
          <w:szCs w:val="16"/>
        </w:rPr>
        <w:t xml:space="preserve"> </w:t>
      </w:r>
      <w:r w:rsidR="00BA074D" w:rsidRPr="002D6278">
        <w:rPr>
          <w:rFonts w:ascii="Book Antiqua" w:hAnsi="Book Antiqua" w:cs="Times New Roman"/>
          <w:sz w:val="16"/>
          <w:szCs w:val="16"/>
        </w:rPr>
        <w:t xml:space="preserve">"Bangladesh" </w:t>
      </w:r>
      <w:r w:rsidRPr="002D6278">
        <w:rPr>
          <w:rFonts w:ascii="Book Antiqua" w:hAnsi="Book Antiqua" w:cs="Times New Roman"/>
          <w:sz w:val="16"/>
          <w:szCs w:val="16"/>
        </w:rPr>
        <w:t xml:space="preserve">OR "India" OR "Pakistan" </w:t>
      </w:r>
      <w:r w:rsidR="007B25B1" w:rsidRPr="002D6278">
        <w:rPr>
          <w:rFonts w:ascii="Book Antiqua" w:hAnsi="Book Antiqua" w:cs="Times New Roman"/>
          <w:sz w:val="16"/>
          <w:szCs w:val="16"/>
        </w:rPr>
        <w:t xml:space="preserve">OR </w:t>
      </w:r>
      <w:r w:rsidRPr="002D6278">
        <w:rPr>
          <w:rFonts w:ascii="Book Antiqua" w:hAnsi="Book Antiqua" w:cs="Times New Roman"/>
          <w:sz w:val="16"/>
          <w:szCs w:val="16"/>
        </w:rPr>
        <w:t>"Nepal" OR "Sri Lanka"</w:t>
      </w:r>
      <w:r w:rsidR="00FD43E1">
        <w:rPr>
          <w:rFonts w:ascii="Book Antiqua" w:hAnsi="Book Antiqua" w:cs="Times New Roman"/>
          <w:sz w:val="16"/>
          <w:szCs w:val="16"/>
        </w:rPr>
        <w:t xml:space="preserve"> OR </w:t>
      </w:r>
      <w:r w:rsidR="00FD43E1" w:rsidRPr="002D6278">
        <w:rPr>
          <w:rFonts w:ascii="Book Antiqua" w:hAnsi="Book Antiqua" w:cs="Times New Roman"/>
          <w:sz w:val="16"/>
          <w:szCs w:val="16"/>
        </w:rPr>
        <w:t>"South Asia"</w:t>
      </w:r>
      <w:r w:rsidRPr="002D6278">
        <w:rPr>
          <w:rFonts w:ascii="Book Antiqua" w:hAnsi="Book Antiqua" w:cs="Times New Roman"/>
          <w:sz w:val="16"/>
          <w:szCs w:val="16"/>
        </w:rPr>
        <w:t>.</w:t>
      </w:r>
    </w:p>
    <w:p w14:paraId="3171C7C3" w14:textId="77777777" w:rsidR="00815BF4" w:rsidRPr="002D6278" w:rsidRDefault="00815BF4" w:rsidP="00815BF4">
      <w:pPr>
        <w:spacing w:after="0"/>
        <w:rPr>
          <w:rFonts w:ascii="Book Antiqua" w:hAnsi="Book Antiqua" w:cs="Times New Roman"/>
          <w:sz w:val="16"/>
          <w:szCs w:val="16"/>
        </w:rPr>
      </w:pPr>
    </w:p>
    <w:p w14:paraId="402166F2" w14:textId="7C05A0FE" w:rsidR="00722EB5" w:rsidRPr="00722EB5" w:rsidRDefault="0056522E" w:rsidP="00722EB5">
      <w:pPr>
        <w:spacing w:after="0" w:line="240" w:lineRule="auto"/>
        <w:jc w:val="both"/>
        <w:rPr>
          <w:rFonts w:ascii="Book Antiqua" w:hAnsi="Book Antiqua" w:cs="Times New Roman"/>
          <w:sz w:val="16"/>
          <w:szCs w:val="16"/>
        </w:rPr>
      </w:pPr>
      <w:r w:rsidRPr="002D6278">
        <w:rPr>
          <w:rFonts w:ascii="Book Antiqua" w:hAnsi="Book Antiqua" w:cs="Times New Roman"/>
          <w:sz w:val="16"/>
          <w:szCs w:val="16"/>
        </w:rPr>
        <w:t>Database selection was restricted to</w:t>
      </w:r>
      <w:r w:rsidR="00FD43E1">
        <w:rPr>
          <w:rFonts w:ascii="Book Antiqua" w:hAnsi="Book Antiqua" w:cs="Times New Roman"/>
          <w:sz w:val="16"/>
          <w:szCs w:val="16"/>
        </w:rPr>
        <w:t xml:space="preserve"> </w:t>
      </w:r>
      <w:r w:rsidRPr="002D6278">
        <w:rPr>
          <w:rFonts w:ascii="Book Antiqua" w:hAnsi="Book Antiqua" w:cs="Times New Roman"/>
          <w:sz w:val="16"/>
          <w:szCs w:val="16"/>
        </w:rPr>
        <w:t>Web of Science</w:t>
      </w:r>
      <w:r w:rsidR="00FD43E1">
        <w:rPr>
          <w:rFonts w:ascii="Book Antiqua" w:hAnsi="Book Antiqua" w:cs="Times New Roman"/>
          <w:sz w:val="16"/>
          <w:szCs w:val="16"/>
        </w:rPr>
        <w:t xml:space="preserve"> and </w:t>
      </w:r>
      <w:r w:rsidR="00FD43E1" w:rsidRPr="002D6278">
        <w:rPr>
          <w:rFonts w:ascii="Book Antiqua" w:hAnsi="Book Antiqua" w:cs="Times New Roman"/>
          <w:sz w:val="16"/>
          <w:szCs w:val="16"/>
        </w:rPr>
        <w:t>Scopus</w:t>
      </w:r>
      <w:r w:rsidRPr="002D6278">
        <w:rPr>
          <w:rFonts w:ascii="Book Antiqua" w:hAnsi="Book Antiqua" w:cs="Times New Roman"/>
          <w:sz w:val="16"/>
          <w:szCs w:val="16"/>
        </w:rPr>
        <w:t xml:space="preserve"> to ensure the exclusion of predatory, unverified open-access publications, thereby safeguarding the integrity of the data pool. Publication bias was actively managed by searching all available open-access indexing across both platforms, ensuring that non-significant</w:t>
      </w:r>
      <w:r w:rsidR="00614680" w:rsidRPr="002D6278">
        <w:rPr>
          <w:rFonts w:ascii="Book Antiqua" w:hAnsi="Book Antiqua" w:cs="Times New Roman"/>
          <w:sz w:val="16"/>
          <w:szCs w:val="16"/>
        </w:rPr>
        <w:t xml:space="preserve"> </w:t>
      </w:r>
      <w:r w:rsidRPr="002D6278">
        <w:rPr>
          <w:rFonts w:ascii="Book Antiqua" w:hAnsi="Book Antiqua" w:cs="Times New Roman"/>
          <w:sz w:val="16"/>
          <w:szCs w:val="16"/>
        </w:rPr>
        <w:t xml:space="preserve">findings were captured. Language restrictions limiting </w:t>
      </w:r>
      <w:r w:rsidRPr="002D6278">
        <w:rPr>
          <w:rFonts w:ascii="Book Antiqua" w:hAnsi="Book Antiqua" w:cs="Times New Roman"/>
          <w:sz w:val="16"/>
          <w:szCs w:val="16"/>
        </w:rPr>
        <w:lastRenderedPageBreak/>
        <w:t xml:space="preserve">the search to English-language texts are justified by the inclusion of extensive cross-sectional regional data sets from South Asian institutions </w:t>
      </w:r>
      <w:r w:rsidR="0090411F">
        <w:rPr>
          <w:rFonts w:ascii="Book Antiqua" w:hAnsi="Book Antiqua" w:cs="Times New Roman"/>
          <w:sz w:val="16"/>
          <w:szCs w:val="16"/>
        </w:rPr>
        <w:t xml:space="preserve">to </w:t>
      </w:r>
      <w:r w:rsidRPr="002D6278">
        <w:rPr>
          <w:rFonts w:ascii="Book Antiqua" w:hAnsi="Book Antiqua" w:cs="Times New Roman"/>
          <w:sz w:val="16"/>
          <w:szCs w:val="16"/>
        </w:rPr>
        <w:t xml:space="preserve">minimize localized linguistic omission. </w:t>
      </w:r>
      <w:r w:rsidR="00722EB5" w:rsidRPr="00722EB5">
        <w:rPr>
          <w:rFonts w:ascii="Book Antiqua" w:hAnsi="Book Antiqua" w:cs="Times New Roman"/>
          <w:sz w:val="16"/>
          <w:szCs w:val="16"/>
        </w:rPr>
        <w:t>Executed from May to July 2026, the literature search identified a combined total of 137 records</w:t>
      </w:r>
      <w:r w:rsidR="00722EB5">
        <w:rPr>
          <w:rFonts w:ascii="Book Antiqua" w:hAnsi="Book Antiqua" w:cs="Times New Roman"/>
          <w:sz w:val="16"/>
          <w:szCs w:val="16"/>
        </w:rPr>
        <w:t xml:space="preserve"> (N=137) </w:t>
      </w:r>
      <w:r w:rsidR="00722EB5" w:rsidRPr="00722EB5">
        <w:rPr>
          <w:rFonts w:ascii="Book Antiqua" w:hAnsi="Book Antiqua" w:cs="Times New Roman"/>
          <w:sz w:val="16"/>
          <w:szCs w:val="16"/>
        </w:rPr>
        <w:t xml:space="preserve">across Web of Science </w:t>
      </w:r>
      <w:r w:rsidR="00722EB5">
        <w:rPr>
          <w:rFonts w:ascii="Book Antiqua" w:hAnsi="Book Antiqua" w:cs="Times New Roman"/>
          <w:sz w:val="16"/>
          <w:szCs w:val="16"/>
        </w:rPr>
        <w:t>(n</w:t>
      </w:r>
      <w:r w:rsidR="00AF390F">
        <w:rPr>
          <w:rFonts w:ascii="Book Antiqua" w:hAnsi="Book Antiqua" w:cs="Times New Roman"/>
          <w:sz w:val="16"/>
          <w:szCs w:val="16"/>
        </w:rPr>
        <w:t>=86)</w:t>
      </w:r>
      <w:r w:rsidR="00722EB5" w:rsidRPr="00722EB5">
        <w:rPr>
          <w:rFonts w:ascii="Book Antiqua" w:hAnsi="Book Antiqua" w:cs="Times New Roman"/>
          <w:sz w:val="16"/>
          <w:szCs w:val="16"/>
        </w:rPr>
        <w:t xml:space="preserve"> and Scopus </w:t>
      </w:r>
      <w:r w:rsidR="00AF390F">
        <w:rPr>
          <w:rFonts w:ascii="Book Antiqua" w:hAnsi="Book Antiqua" w:cs="Times New Roman"/>
          <w:sz w:val="16"/>
          <w:szCs w:val="16"/>
        </w:rPr>
        <w:t>(n=51)</w:t>
      </w:r>
      <w:r w:rsidR="00722EB5" w:rsidRPr="00722EB5">
        <w:rPr>
          <w:rFonts w:ascii="Book Antiqua" w:hAnsi="Book Antiqua" w:cs="Times New Roman"/>
          <w:sz w:val="16"/>
          <w:szCs w:val="16"/>
        </w:rPr>
        <w:t>.</w:t>
      </w:r>
    </w:p>
    <w:p w14:paraId="3D459865" w14:textId="5C773604" w:rsidR="00E453D6" w:rsidRPr="002D6278" w:rsidRDefault="00E453D6" w:rsidP="00722EB5">
      <w:pPr>
        <w:spacing w:after="0" w:line="240" w:lineRule="auto"/>
        <w:jc w:val="both"/>
        <w:rPr>
          <w:rFonts w:ascii="Book Antiqua" w:hAnsi="Book Antiqua" w:cs="Times New Roman"/>
          <w:b/>
          <w:bCs/>
          <w:sz w:val="16"/>
          <w:szCs w:val="16"/>
        </w:rPr>
      </w:pPr>
    </w:p>
    <w:p w14:paraId="7244C402" w14:textId="77A0936E" w:rsidR="007A6622" w:rsidRPr="002D6278" w:rsidRDefault="00E453D6" w:rsidP="00E453D6">
      <w:pPr>
        <w:jc w:val="both"/>
        <w:rPr>
          <w:rFonts w:ascii="Book Antiqua" w:hAnsi="Book Antiqua" w:cs="Times New Roman"/>
          <w:b/>
          <w:bCs/>
          <w:sz w:val="16"/>
          <w:szCs w:val="16"/>
        </w:rPr>
      </w:pPr>
      <w:r w:rsidRPr="002D6278">
        <w:rPr>
          <w:rFonts w:ascii="Book Antiqua" w:hAnsi="Book Antiqua" w:cs="Times New Roman"/>
          <w:b/>
          <w:bCs/>
          <w:sz w:val="16"/>
          <w:szCs w:val="16"/>
        </w:rPr>
        <w:t xml:space="preserve">4.4 </w:t>
      </w:r>
      <w:r w:rsidR="00F51B13" w:rsidRPr="002D6278">
        <w:rPr>
          <w:rFonts w:ascii="Book Antiqua" w:hAnsi="Book Antiqua" w:cs="Times New Roman"/>
          <w:b/>
          <w:bCs/>
          <w:sz w:val="16"/>
          <w:szCs w:val="16"/>
        </w:rPr>
        <w:t>Selection</w:t>
      </w:r>
      <w:r w:rsidR="007A6622" w:rsidRPr="002D6278">
        <w:rPr>
          <w:rFonts w:ascii="Book Antiqua" w:hAnsi="Book Antiqua" w:cs="Times New Roman"/>
          <w:b/>
          <w:bCs/>
          <w:sz w:val="16"/>
          <w:szCs w:val="16"/>
        </w:rPr>
        <w:t xml:space="preserve"> Criteria</w:t>
      </w:r>
      <w:r w:rsidR="002C5914" w:rsidRPr="002D6278">
        <w:rPr>
          <w:rFonts w:ascii="Book Antiqua" w:hAnsi="Book Antiqua" w:cs="Times New Roman"/>
          <w:b/>
          <w:bCs/>
          <w:sz w:val="16"/>
          <w:szCs w:val="16"/>
        </w:rPr>
        <w:t xml:space="preserve"> and Screening Process</w:t>
      </w:r>
    </w:p>
    <w:p w14:paraId="224AA4A8" w14:textId="559CF5DC" w:rsidR="00F94C7E" w:rsidRPr="002D6278" w:rsidRDefault="00F94C7E" w:rsidP="00F4272B">
      <w:pPr>
        <w:jc w:val="both"/>
        <w:rPr>
          <w:rFonts w:ascii="Book Antiqua" w:hAnsi="Book Antiqua" w:cs="Times New Roman"/>
          <w:sz w:val="16"/>
          <w:szCs w:val="16"/>
        </w:rPr>
      </w:pPr>
      <w:r w:rsidRPr="002D6278">
        <w:rPr>
          <w:rFonts w:ascii="Book Antiqua" w:hAnsi="Book Antiqua" w:cs="Times New Roman"/>
          <w:sz w:val="16"/>
          <w:szCs w:val="16"/>
        </w:rPr>
        <w:t>The 137 articles were subjected to a rigorous screening pipeline. First, 54 duplicate entries were algorithmically removed, leaving 83 unique records for</w:t>
      </w:r>
      <w:r w:rsidR="000A534B">
        <w:rPr>
          <w:rFonts w:ascii="Book Antiqua" w:hAnsi="Book Antiqua" w:cs="Times New Roman"/>
          <w:sz w:val="16"/>
          <w:szCs w:val="16"/>
        </w:rPr>
        <w:t xml:space="preserve"> screening</w:t>
      </w:r>
      <w:r w:rsidRPr="002D6278">
        <w:rPr>
          <w:rFonts w:ascii="Book Antiqua" w:hAnsi="Book Antiqua" w:cs="Times New Roman"/>
          <w:sz w:val="16"/>
          <w:szCs w:val="16"/>
        </w:rPr>
        <w:t xml:space="preserve"> title</w:t>
      </w:r>
      <w:r w:rsidR="000A534B">
        <w:rPr>
          <w:rFonts w:ascii="Book Antiqua" w:hAnsi="Book Antiqua" w:cs="Times New Roman"/>
          <w:sz w:val="16"/>
          <w:szCs w:val="16"/>
        </w:rPr>
        <w:t>s</w:t>
      </w:r>
      <w:r w:rsidRPr="002D6278">
        <w:rPr>
          <w:rFonts w:ascii="Book Antiqua" w:hAnsi="Book Antiqua" w:cs="Times New Roman"/>
          <w:sz w:val="16"/>
          <w:szCs w:val="16"/>
        </w:rPr>
        <w:t xml:space="preserve"> and abstract</w:t>
      </w:r>
      <w:r w:rsidR="000A534B">
        <w:rPr>
          <w:rFonts w:ascii="Book Antiqua" w:hAnsi="Book Antiqua" w:cs="Times New Roman"/>
          <w:sz w:val="16"/>
          <w:szCs w:val="16"/>
        </w:rPr>
        <w:t>s</w:t>
      </w:r>
      <w:r w:rsidRPr="002D6278">
        <w:rPr>
          <w:rFonts w:ascii="Book Antiqua" w:hAnsi="Book Antiqua" w:cs="Times New Roman"/>
          <w:sz w:val="16"/>
          <w:szCs w:val="16"/>
        </w:rPr>
        <w:t xml:space="preserve">. </w:t>
      </w:r>
      <w:r w:rsidR="00467364" w:rsidRPr="00467364">
        <w:rPr>
          <w:rFonts w:ascii="Book Antiqua" w:hAnsi="Book Antiqua" w:cs="Times New Roman"/>
          <w:sz w:val="16"/>
          <w:szCs w:val="16"/>
        </w:rPr>
        <w:t>During this phase, 22 studies were omitted as they fell entirely beyond the defined geographic scope</w:t>
      </w:r>
      <w:r w:rsidRPr="002D6278">
        <w:rPr>
          <w:rFonts w:ascii="Book Antiqua" w:hAnsi="Book Antiqua" w:cs="Times New Roman"/>
          <w:sz w:val="16"/>
          <w:szCs w:val="16"/>
        </w:rPr>
        <w:t>, lacked a distinct digital financial component, or gender-disaggregated data. This left 61 full-text documents for formal eligibility assessment against the strict inclusion and exclusion parameters detailed below.</w:t>
      </w:r>
    </w:p>
    <w:p w14:paraId="25401EC7" w14:textId="6B4709ED" w:rsidR="000C41FF" w:rsidRPr="002D6278" w:rsidRDefault="00F662A5" w:rsidP="000C41FF">
      <w:pPr>
        <w:jc w:val="both"/>
        <w:rPr>
          <w:rFonts w:ascii="Book Antiqua" w:hAnsi="Book Antiqua" w:cs="Times New Roman"/>
          <w:b/>
          <w:bCs/>
          <w:sz w:val="16"/>
          <w:szCs w:val="16"/>
        </w:rPr>
      </w:pPr>
      <w:r w:rsidRPr="002D6278">
        <w:rPr>
          <w:rFonts w:ascii="Book Antiqua" w:hAnsi="Book Antiqua" w:cs="Times New Roman"/>
          <w:b/>
          <w:bCs/>
          <w:sz w:val="16"/>
          <w:szCs w:val="16"/>
        </w:rPr>
        <w:t xml:space="preserve">Figure </w:t>
      </w:r>
      <w:r w:rsidR="00B82534" w:rsidRPr="002D6278">
        <w:rPr>
          <w:rFonts w:ascii="Book Antiqua" w:hAnsi="Book Antiqua" w:cs="Times New Roman"/>
          <w:b/>
          <w:bCs/>
          <w:sz w:val="16"/>
          <w:szCs w:val="16"/>
        </w:rPr>
        <w:t>2</w:t>
      </w:r>
      <w:r w:rsidR="00AC5664" w:rsidRPr="002D6278">
        <w:rPr>
          <w:rFonts w:ascii="Book Antiqua" w:hAnsi="Book Antiqua" w:cs="Times New Roman"/>
          <w:b/>
          <w:bCs/>
          <w:sz w:val="16"/>
          <w:szCs w:val="16"/>
        </w:rPr>
        <w:t xml:space="preserve">: </w:t>
      </w:r>
      <w:r w:rsidR="00383A86" w:rsidRPr="002D6278">
        <w:rPr>
          <w:rFonts w:ascii="Book Antiqua" w:hAnsi="Book Antiqua" w:cs="Times New Roman"/>
          <w:b/>
          <w:bCs/>
          <w:sz w:val="16"/>
          <w:szCs w:val="16"/>
        </w:rPr>
        <w:t xml:space="preserve">PRISMA 2020 </w:t>
      </w:r>
      <w:r w:rsidR="00B721B9" w:rsidRPr="002D6278">
        <w:rPr>
          <w:rFonts w:ascii="Book Antiqua" w:hAnsi="Book Antiqua" w:cs="Times New Roman"/>
          <w:b/>
          <w:bCs/>
          <w:sz w:val="16"/>
          <w:szCs w:val="16"/>
        </w:rPr>
        <w:t>Flow Diagram</w:t>
      </w:r>
    </w:p>
    <w:p w14:paraId="110B2967" w14:textId="7E013E97" w:rsidR="00F924C4" w:rsidRPr="002D6278" w:rsidRDefault="00FB1F8B" w:rsidP="000C41FF">
      <w:pPr>
        <w:jc w:val="both"/>
        <w:rPr>
          <w:rFonts w:ascii="Book Antiqua" w:hAnsi="Book Antiqua"/>
          <w:sz w:val="16"/>
          <w:szCs w:val="16"/>
        </w:rPr>
      </w:pPr>
      <w:r>
        <w:rPr>
          <w:rFonts w:ascii="Book Antiqua" w:hAnsi="Book Antiqua"/>
          <w:noProof/>
          <w:sz w:val="16"/>
          <w:szCs w:val="16"/>
        </w:rPr>
        <w:drawing>
          <wp:inline distT="0" distB="0" distL="0" distR="0" wp14:anchorId="32BEB7C4" wp14:editId="7E1E3C87">
            <wp:extent cx="5862174" cy="3060700"/>
            <wp:effectExtent l="0" t="0" r="5715" b="6350"/>
            <wp:docPr id="17969612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69929" cy="3116960"/>
                    </a:xfrm>
                    <a:prstGeom prst="rect">
                      <a:avLst/>
                    </a:prstGeom>
                    <a:noFill/>
                  </pic:spPr>
                </pic:pic>
              </a:graphicData>
            </a:graphic>
          </wp:inline>
        </w:drawing>
      </w:r>
    </w:p>
    <w:p w14:paraId="27D5CB65" w14:textId="08EDEA54" w:rsidR="00AF2978" w:rsidRPr="002D6278" w:rsidRDefault="00AF2978" w:rsidP="00AF2978">
      <w:pPr>
        <w:jc w:val="both"/>
        <w:rPr>
          <w:rFonts w:ascii="Book Antiqua" w:hAnsi="Book Antiqua" w:cs="Times New Roman"/>
          <w:b/>
          <w:bCs/>
          <w:sz w:val="16"/>
          <w:szCs w:val="16"/>
        </w:rPr>
      </w:pPr>
      <w:r w:rsidRPr="002D6278">
        <w:rPr>
          <w:rFonts w:ascii="Book Antiqua" w:hAnsi="Book Antiqua" w:cs="Times New Roman"/>
          <w:b/>
          <w:bCs/>
          <w:sz w:val="16"/>
          <w:szCs w:val="16"/>
        </w:rPr>
        <w:t>4.</w:t>
      </w:r>
      <w:r>
        <w:rPr>
          <w:rFonts w:ascii="Book Antiqua" w:hAnsi="Book Antiqua" w:cs="Times New Roman"/>
          <w:b/>
          <w:bCs/>
          <w:sz w:val="16"/>
          <w:szCs w:val="16"/>
        </w:rPr>
        <w:t>5</w:t>
      </w:r>
      <w:r w:rsidRPr="002D6278">
        <w:rPr>
          <w:rFonts w:ascii="Book Antiqua" w:hAnsi="Book Antiqua" w:cs="Times New Roman"/>
          <w:b/>
          <w:bCs/>
          <w:sz w:val="16"/>
          <w:szCs w:val="16"/>
        </w:rPr>
        <w:t xml:space="preserve"> </w:t>
      </w:r>
      <w:r w:rsidR="00791D77" w:rsidRPr="00791D77">
        <w:rPr>
          <w:rFonts w:ascii="Book Antiqua" w:hAnsi="Book Antiqua" w:cs="Times New Roman"/>
          <w:b/>
          <w:bCs/>
          <w:sz w:val="16"/>
          <w:szCs w:val="16"/>
        </w:rPr>
        <w:t xml:space="preserve">Eligibility Criteria: </w:t>
      </w:r>
      <w:r w:rsidRPr="002D6278">
        <w:rPr>
          <w:rFonts w:ascii="Book Antiqua" w:hAnsi="Book Antiqua" w:cs="Times New Roman"/>
          <w:b/>
          <w:bCs/>
          <w:sz w:val="16"/>
          <w:szCs w:val="16"/>
        </w:rPr>
        <w:t xml:space="preserve">Inclusion/Exclusion </w:t>
      </w:r>
      <w:r w:rsidR="00462E4D">
        <w:rPr>
          <w:rFonts w:ascii="Book Antiqua" w:hAnsi="Book Antiqua" w:cs="Times New Roman"/>
          <w:b/>
          <w:bCs/>
          <w:sz w:val="16"/>
          <w:szCs w:val="16"/>
        </w:rPr>
        <w:t>Parameters</w:t>
      </w:r>
    </w:p>
    <w:p w14:paraId="53962851" w14:textId="703B875A" w:rsidR="003474CA" w:rsidRPr="002D6278" w:rsidRDefault="000C41FF" w:rsidP="00AA2C64">
      <w:pPr>
        <w:ind w:right="-188"/>
        <w:jc w:val="both"/>
        <w:rPr>
          <w:rFonts w:ascii="Book Antiqua" w:hAnsi="Book Antiqua" w:cs="Times New Roman"/>
          <w:sz w:val="16"/>
          <w:szCs w:val="16"/>
        </w:rPr>
      </w:pPr>
      <w:r w:rsidRPr="002D6278">
        <w:rPr>
          <w:rFonts w:ascii="Book Antiqua" w:hAnsi="Book Antiqua"/>
          <w:noProof/>
          <w:sz w:val="16"/>
          <w:szCs w:val="16"/>
        </w:rPr>
        <mc:AlternateContent>
          <mc:Choice Requires="wps">
            <w:drawing>
              <wp:anchor distT="0" distB="0" distL="114300" distR="114300" simplePos="0" relativeHeight="251955712" behindDoc="0" locked="0" layoutInCell="1" allowOverlap="1" wp14:anchorId="043ED471" wp14:editId="255A38B2">
                <wp:simplePos x="0" y="0"/>
                <wp:positionH relativeFrom="column">
                  <wp:posOffset>7258050</wp:posOffset>
                </wp:positionH>
                <wp:positionV relativeFrom="paragraph">
                  <wp:posOffset>3927475</wp:posOffset>
                </wp:positionV>
                <wp:extent cx="2943225" cy="430530"/>
                <wp:effectExtent l="0" t="0" r="9525" b="8890"/>
                <wp:wrapNone/>
                <wp:docPr id="322" name="Google Shape;322;p20"/>
                <wp:cNvGraphicFramePr/>
                <a:graphic xmlns:a="http://schemas.openxmlformats.org/drawingml/2006/main">
                  <a:graphicData uri="http://schemas.microsoft.com/office/word/2010/wordprocessingShape">
                    <wps:wsp>
                      <wps:cNvSpPr txBox="1"/>
                      <wps:spPr>
                        <a:xfrm>
                          <a:off x="0" y="0"/>
                          <a:ext cx="2943225" cy="430530"/>
                        </a:xfrm>
                        <a:prstGeom prst="rect">
                          <a:avLst/>
                        </a:prstGeom>
                        <a:noFill/>
                        <a:ln>
                          <a:noFill/>
                        </a:ln>
                      </wps:spPr>
                      <wps:txbx>
                        <w:txbxContent>
                          <w:p w14:paraId="687C3CE8"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18 excluded (quality scores below 75% threshold)</w:t>
                            </w:r>
                          </w:p>
                        </w:txbxContent>
                      </wps:txbx>
                      <wps:bodyPr spcFirstLastPara="1" wrap="square" lIns="0" tIns="0" rIns="0" bIns="0" anchor="t" anchorCtr="0">
                        <a:spAutoFit/>
                      </wps:bodyPr>
                    </wps:wsp>
                  </a:graphicData>
                </a:graphic>
              </wp:anchor>
            </w:drawing>
          </mc:Choice>
          <mc:Fallback>
            <w:pict>
              <v:shapetype w14:anchorId="043ED471" id="_x0000_t202" coordsize="21600,21600" o:spt="202" path="m,l,21600r21600,l21600,xe">
                <v:stroke joinstyle="miter"/>
                <v:path gradientshapeok="t" o:connecttype="rect"/>
              </v:shapetype>
              <v:shape id="Google Shape;322;p20" o:spid="_x0000_s1026" type="#_x0000_t202" style="position:absolute;left:0;text-align:left;margin-left:571.5pt;margin-top:309.25pt;width:231.75pt;height:33.9pt;z-index:25195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" filled="f" stroked="f">
                <v:textbox style="mso-fit-shape-to-text:t" inset="0,0,0,0">
                  <w:txbxContent>
                    <w:p w14:paraId="687C3CE8"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18 excluded (quality scores below 75% threshold)</w:t>
                      </w:r>
                    </w:p>
                  </w:txbxContent>
                </v:textbox>
              </v:shape>
            </w:pict>
          </mc:Fallback>
        </mc:AlternateContent>
      </w:r>
      <w:r w:rsidRPr="002D6278">
        <w:rPr>
          <w:rFonts w:ascii="Book Antiqua" w:hAnsi="Book Antiqua"/>
          <w:noProof/>
          <w:sz w:val="16"/>
          <w:szCs w:val="16"/>
        </w:rPr>
        <mc:AlternateContent>
          <mc:Choice Requires="wps">
            <w:drawing>
              <wp:anchor distT="0" distB="0" distL="114300" distR="114300" simplePos="0" relativeHeight="251954688" behindDoc="0" locked="0" layoutInCell="1" allowOverlap="1" wp14:anchorId="416FBC32" wp14:editId="113DDE0F">
                <wp:simplePos x="0" y="0"/>
                <wp:positionH relativeFrom="column">
                  <wp:posOffset>7258050</wp:posOffset>
                </wp:positionH>
                <wp:positionV relativeFrom="paragraph">
                  <wp:posOffset>3679825</wp:posOffset>
                </wp:positionV>
                <wp:extent cx="3089910" cy="153670"/>
                <wp:effectExtent l="0" t="0" r="15240" b="13970"/>
                <wp:wrapNone/>
                <wp:docPr id="321" name="Google Shape;321;p20"/>
                <wp:cNvGraphicFramePr/>
                <a:graphic xmlns:a="http://schemas.openxmlformats.org/drawingml/2006/main">
                  <a:graphicData uri="http://schemas.microsoft.com/office/word/2010/wordprocessingShape">
                    <wps:wsp>
                      <wps:cNvSpPr txBox="1"/>
                      <wps:spPr>
                        <a:xfrm>
                          <a:off x="0" y="0"/>
                          <a:ext cx="3089910" cy="153670"/>
                        </a:xfrm>
                        <a:prstGeom prst="rect">
                          <a:avLst/>
                        </a:prstGeom>
                        <a:noFill/>
                        <a:ln>
                          <a:noFill/>
                        </a:ln>
                      </wps:spPr>
                      <wps:txbx>
                        <w:txbxContent>
                          <w:p w14:paraId="149D226F"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Rigorous Appraisal Exclusions</w:t>
                            </w:r>
                          </w:p>
                        </w:txbxContent>
                      </wps:txbx>
                      <wps:bodyPr spcFirstLastPara="1" wrap="square" lIns="0" tIns="0" rIns="0" bIns="0" anchor="t" anchorCtr="0">
                        <a:spAutoFit/>
                      </wps:bodyPr>
                    </wps:wsp>
                  </a:graphicData>
                </a:graphic>
              </wp:anchor>
            </w:drawing>
          </mc:Choice>
          <mc:Fallback>
            <w:pict>
              <v:shape w14:anchorId="416FBC32" id="Google Shape;321;p20" o:spid="_x0000_s1027" type="#_x0000_t202" style="position:absolute;left:0;text-align:left;margin-left:571.5pt;margin-top:289.75pt;width:243.3pt;height:12.1pt;z-index:25195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" filled="f" stroked="f">
                <v:textbox style="mso-fit-shape-to-text:t" inset="0,0,0,0">
                  <w:txbxContent>
                    <w:p w14:paraId="149D226F"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Rigorous Appraisal Exclusions</w:t>
                      </w:r>
                    </w:p>
                  </w:txbxContent>
                </v:textbox>
              </v:shape>
            </w:pict>
          </mc:Fallback>
        </mc:AlternateContent>
      </w:r>
      <w:r w:rsidRPr="002D6278">
        <w:rPr>
          <w:rFonts w:ascii="Book Antiqua" w:hAnsi="Book Antiqua"/>
          <w:noProof/>
          <w:sz w:val="16"/>
          <w:szCs w:val="16"/>
        </w:rPr>
        <mc:AlternateContent>
          <mc:Choice Requires="wps">
            <w:drawing>
              <wp:anchor distT="0" distB="0" distL="114300" distR="114300" simplePos="0" relativeHeight="251953664" behindDoc="0" locked="0" layoutInCell="1" allowOverlap="1" wp14:anchorId="16F6A3D5" wp14:editId="0D7C8D51">
                <wp:simplePos x="0" y="0"/>
                <wp:positionH relativeFrom="column">
                  <wp:posOffset>7258050</wp:posOffset>
                </wp:positionH>
                <wp:positionV relativeFrom="paragraph">
                  <wp:posOffset>2941955</wp:posOffset>
                </wp:positionV>
                <wp:extent cx="2943225" cy="430530"/>
                <wp:effectExtent l="0" t="0" r="9525" b="8890"/>
                <wp:wrapNone/>
                <wp:docPr id="318" name="Google Shape;318;p20"/>
                <wp:cNvGraphicFramePr/>
                <a:graphic xmlns:a="http://schemas.openxmlformats.org/drawingml/2006/main">
                  <a:graphicData uri="http://schemas.microsoft.com/office/word/2010/wordprocessingShape">
                    <wps:wsp>
                      <wps:cNvSpPr txBox="1"/>
                      <wps:spPr>
                        <a:xfrm>
                          <a:off x="0" y="0"/>
                          <a:ext cx="2943225" cy="430530"/>
                        </a:xfrm>
                        <a:prstGeom prst="rect">
                          <a:avLst/>
                        </a:prstGeom>
                        <a:noFill/>
                        <a:ln>
                          <a:noFill/>
                        </a:ln>
                      </wps:spPr>
                      <wps:txbx>
                        <w:txbxContent>
                          <w:p w14:paraId="60A014FD"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22 excluded (outside geography/no FinTech focus)</w:t>
                            </w:r>
                          </w:p>
                        </w:txbxContent>
                      </wps:txbx>
                      <wps:bodyPr spcFirstLastPara="1" wrap="square" lIns="0" tIns="0" rIns="0" bIns="0" anchor="t" anchorCtr="0">
                        <a:spAutoFit/>
                      </wps:bodyPr>
                    </wps:wsp>
                  </a:graphicData>
                </a:graphic>
              </wp:anchor>
            </w:drawing>
          </mc:Choice>
          <mc:Fallback>
            <w:pict>
              <v:shape w14:anchorId="16F6A3D5" id="Google Shape;318;p20" o:spid="_x0000_s1028" type="#_x0000_t202" style="position:absolute;left:0;text-align:left;margin-left:571.5pt;margin-top:231.65pt;width:231.75pt;height:33.9pt;z-index:25195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" filled="f" stroked="f">
                <v:textbox style="mso-fit-shape-to-text:t" inset="0,0,0,0">
                  <w:txbxContent>
                    <w:p w14:paraId="60A014FD"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22 excluded (outside geography/no FinTech focus)</w:t>
                      </w:r>
                    </w:p>
                  </w:txbxContent>
                </v:textbox>
              </v:shape>
            </w:pict>
          </mc:Fallback>
        </mc:AlternateContent>
      </w:r>
      <w:r w:rsidRPr="002D6278">
        <w:rPr>
          <w:rFonts w:ascii="Book Antiqua" w:hAnsi="Book Antiqua"/>
          <w:noProof/>
          <w:sz w:val="16"/>
          <w:szCs w:val="16"/>
        </w:rPr>
        <mc:AlternateContent>
          <mc:Choice Requires="wps">
            <w:drawing>
              <wp:anchor distT="0" distB="0" distL="114300" distR="114300" simplePos="0" relativeHeight="251952640" behindDoc="0" locked="0" layoutInCell="1" allowOverlap="1" wp14:anchorId="592F520D" wp14:editId="7E4601D0">
                <wp:simplePos x="0" y="0"/>
                <wp:positionH relativeFrom="column">
                  <wp:posOffset>7258050</wp:posOffset>
                </wp:positionH>
                <wp:positionV relativeFrom="paragraph">
                  <wp:posOffset>2694305</wp:posOffset>
                </wp:positionV>
                <wp:extent cx="3089910" cy="153670"/>
                <wp:effectExtent l="0" t="0" r="15240" b="13970"/>
                <wp:wrapNone/>
                <wp:docPr id="317" name="Google Shape;317;p20"/>
                <wp:cNvGraphicFramePr/>
                <a:graphic xmlns:a="http://schemas.openxmlformats.org/drawingml/2006/main">
                  <a:graphicData uri="http://schemas.microsoft.com/office/word/2010/wordprocessingShape">
                    <wps:wsp>
                      <wps:cNvSpPr txBox="1"/>
                      <wps:spPr>
                        <a:xfrm>
                          <a:off x="0" y="0"/>
                          <a:ext cx="3089910" cy="153670"/>
                        </a:xfrm>
                        <a:prstGeom prst="rect">
                          <a:avLst/>
                        </a:prstGeom>
                        <a:noFill/>
                        <a:ln>
                          <a:noFill/>
                        </a:ln>
                      </wps:spPr>
                      <wps:txbx>
                        <w:txbxContent>
                          <w:p w14:paraId="7E3F5F93"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Excluded Records</w:t>
                            </w:r>
                          </w:p>
                        </w:txbxContent>
                      </wps:txbx>
                      <wps:bodyPr spcFirstLastPara="1" wrap="square" lIns="0" tIns="0" rIns="0" bIns="0" anchor="t" anchorCtr="0">
                        <a:spAutoFit/>
                      </wps:bodyPr>
                    </wps:wsp>
                  </a:graphicData>
                </a:graphic>
              </wp:anchor>
            </w:drawing>
          </mc:Choice>
          <mc:Fallback>
            <w:pict>
              <v:shape w14:anchorId="592F520D" id="Google Shape;317;p20" o:spid="_x0000_s1029" type="#_x0000_t202" style="position:absolute;left:0;text-align:left;margin-left:571.5pt;margin-top:212.15pt;width:243.3pt;height:12.1pt;z-index:25195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" filled="f" stroked="f">
                <v:textbox style="mso-fit-shape-to-text:t" inset="0,0,0,0">
                  <w:txbxContent>
                    <w:p w14:paraId="7E3F5F93"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Excluded Records</w:t>
                      </w:r>
                    </w:p>
                  </w:txbxContent>
                </v:textbox>
              </v:shape>
            </w:pict>
          </mc:Fallback>
        </mc:AlternateContent>
      </w:r>
      <w:r w:rsidRPr="002D6278">
        <w:rPr>
          <w:rFonts w:ascii="Book Antiqua" w:hAnsi="Book Antiqua"/>
          <w:noProof/>
          <w:sz w:val="16"/>
          <w:szCs w:val="16"/>
        </w:rPr>
        <mc:AlternateContent>
          <mc:Choice Requires="wps">
            <w:drawing>
              <wp:anchor distT="0" distB="0" distL="114300" distR="114300" simplePos="0" relativeHeight="251951616" behindDoc="0" locked="0" layoutInCell="1" allowOverlap="1" wp14:anchorId="47420F8D" wp14:editId="5EC07AE7">
                <wp:simplePos x="0" y="0"/>
                <wp:positionH relativeFrom="column">
                  <wp:posOffset>7258050</wp:posOffset>
                </wp:positionH>
                <wp:positionV relativeFrom="paragraph">
                  <wp:posOffset>1955800</wp:posOffset>
                </wp:positionV>
                <wp:extent cx="2943225" cy="215265"/>
                <wp:effectExtent l="0" t="0" r="9525" b="1270"/>
                <wp:wrapNone/>
                <wp:docPr id="314" name="Google Shape;314;p20"/>
                <wp:cNvGraphicFramePr/>
                <a:graphic xmlns:a="http://schemas.openxmlformats.org/drawingml/2006/main">
                  <a:graphicData uri="http://schemas.microsoft.com/office/word/2010/wordprocessingShape">
                    <wps:wsp>
                      <wps:cNvSpPr txBox="1"/>
                      <wps:spPr>
                        <a:xfrm>
                          <a:off x="0" y="0"/>
                          <a:ext cx="2943225" cy="215265"/>
                        </a:xfrm>
                        <a:prstGeom prst="rect">
                          <a:avLst/>
                        </a:prstGeom>
                        <a:noFill/>
                        <a:ln>
                          <a:noFill/>
                        </a:ln>
                      </wps:spPr>
                      <wps:txbx>
                        <w:txbxContent>
                          <w:p w14:paraId="71A446E2"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54 records excluded automatically</w:t>
                            </w:r>
                          </w:p>
                        </w:txbxContent>
                      </wps:txbx>
                      <wps:bodyPr spcFirstLastPara="1" wrap="square" lIns="0" tIns="0" rIns="0" bIns="0" anchor="t" anchorCtr="0">
                        <a:spAutoFit/>
                      </wps:bodyPr>
                    </wps:wsp>
                  </a:graphicData>
                </a:graphic>
              </wp:anchor>
            </w:drawing>
          </mc:Choice>
          <mc:Fallback>
            <w:pict>
              <v:shape w14:anchorId="47420F8D" id="Google Shape;314;p20" o:spid="_x0000_s1030" type="#_x0000_t202" style="position:absolute;left:0;text-align:left;margin-left:571.5pt;margin-top:154pt;width:231.75pt;height:16.95pt;z-index:25195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" filled="f" stroked="f">
                <v:textbox style="mso-fit-shape-to-text:t" inset="0,0,0,0">
                  <w:txbxContent>
                    <w:p w14:paraId="71A446E2" w14:textId="77777777" w:rsidR="000C41FF" w:rsidRDefault="000C41FF" w:rsidP="000C41FF">
                      <w:pPr>
                        <w:spacing w:line="336" w:lineRule="auto"/>
                        <w:rPr>
                          <w:rFonts w:ascii="Book Antiqua" w:eastAsia="Lato" w:hAnsi="Book Antiqua" w:cs="Lato"/>
                          <w:color w:val="64748B"/>
                          <w:kern w:val="0"/>
                          <w:sz w:val="20"/>
                          <w:szCs w:val="20"/>
                          <w:lang w:val="en-US"/>
                          <w14:ligatures w14:val="none"/>
                        </w:rPr>
                      </w:pPr>
                      <w:r>
                        <w:rPr>
                          <w:rFonts w:ascii="Book Antiqua" w:eastAsia="Lato" w:hAnsi="Book Antiqua" w:cs="Lato"/>
                          <w:color w:val="64748B"/>
                          <w:sz w:val="20"/>
                          <w:szCs w:val="20"/>
                          <w:lang w:val="en-US"/>
                        </w:rPr>
                        <w:t>n = 54 records excluded automatically</w:t>
                      </w:r>
                    </w:p>
                  </w:txbxContent>
                </v:textbox>
              </v:shape>
            </w:pict>
          </mc:Fallback>
        </mc:AlternateContent>
      </w:r>
      <w:r w:rsidRPr="002D6278">
        <w:rPr>
          <w:rFonts w:ascii="Book Antiqua" w:hAnsi="Book Antiqua"/>
          <w:noProof/>
          <w:sz w:val="16"/>
          <w:szCs w:val="16"/>
        </w:rPr>
        <mc:AlternateContent>
          <mc:Choice Requires="wps">
            <w:drawing>
              <wp:anchor distT="0" distB="0" distL="114300" distR="114300" simplePos="0" relativeHeight="251950592" behindDoc="0" locked="0" layoutInCell="1" allowOverlap="1" wp14:anchorId="6AB12C73" wp14:editId="1937D0F4">
                <wp:simplePos x="0" y="0"/>
                <wp:positionH relativeFrom="column">
                  <wp:posOffset>7258050</wp:posOffset>
                </wp:positionH>
                <wp:positionV relativeFrom="paragraph">
                  <wp:posOffset>1708150</wp:posOffset>
                </wp:positionV>
                <wp:extent cx="3089910" cy="153670"/>
                <wp:effectExtent l="0" t="0" r="15240" b="13970"/>
                <wp:wrapNone/>
                <wp:docPr id="313" name="Google Shape;313;p20"/>
                <wp:cNvGraphicFramePr/>
                <a:graphic xmlns:a="http://schemas.openxmlformats.org/drawingml/2006/main">
                  <a:graphicData uri="http://schemas.microsoft.com/office/word/2010/wordprocessingShape">
                    <wps:wsp>
                      <wps:cNvSpPr txBox="1"/>
                      <wps:spPr>
                        <a:xfrm>
                          <a:off x="0" y="0"/>
                          <a:ext cx="3089910" cy="153670"/>
                        </a:xfrm>
                        <a:prstGeom prst="rect">
                          <a:avLst/>
                        </a:prstGeom>
                        <a:noFill/>
                        <a:ln>
                          <a:noFill/>
                        </a:ln>
                      </wps:spPr>
                      <wps:txbx>
                        <w:txbxContent>
                          <w:p w14:paraId="2A8E4BBD"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Removed Duplicates</w:t>
                            </w:r>
                          </w:p>
                        </w:txbxContent>
                      </wps:txbx>
                      <wps:bodyPr spcFirstLastPara="1" wrap="square" lIns="0" tIns="0" rIns="0" bIns="0" anchor="t" anchorCtr="0">
                        <a:spAutoFit/>
                      </wps:bodyPr>
                    </wps:wsp>
                  </a:graphicData>
                </a:graphic>
              </wp:anchor>
            </w:drawing>
          </mc:Choice>
          <mc:Fallback>
            <w:pict>
              <v:shape w14:anchorId="6AB12C73" id="Google Shape;313;p20" o:spid="_x0000_s1031" type="#_x0000_t202" style="position:absolute;left:0;text-align:left;margin-left:571.5pt;margin-top:134.5pt;width:243.3pt;height:12.1pt;z-index:25195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" filled="f" stroked="f">
                <v:textbox style="mso-fit-shape-to-text:t" inset="0,0,0,0">
                  <w:txbxContent>
                    <w:p w14:paraId="2A8E4BBD" w14:textId="77777777" w:rsidR="000C41FF" w:rsidRDefault="000C41FF" w:rsidP="000C41FF">
                      <w:pPr>
                        <w:rPr>
                          <w:rFonts w:ascii="Book Antiqua" w:eastAsia="Poppins SemiBold" w:hAnsi="Book Antiqua" w:cs="Poppins SemiBold"/>
                          <w:color w:val="0F172A"/>
                          <w:kern w:val="0"/>
                          <w:sz w:val="20"/>
                          <w:szCs w:val="20"/>
                          <w:lang w:val="en-US"/>
                          <w14:ligatures w14:val="none"/>
                        </w:rPr>
                      </w:pPr>
                      <w:r>
                        <w:rPr>
                          <w:rFonts w:ascii="Book Antiqua" w:eastAsia="Poppins SemiBold" w:hAnsi="Book Antiqua" w:cs="Poppins SemiBold"/>
                          <w:color w:val="0F172A"/>
                          <w:sz w:val="20"/>
                          <w:szCs w:val="20"/>
                          <w:lang w:val="en-US"/>
                        </w:rPr>
                        <w:t>Removed Duplicates</w:t>
                      </w:r>
                    </w:p>
                  </w:txbxContent>
                </v:textbox>
              </v:shape>
            </w:pict>
          </mc:Fallback>
        </mc:AlternateContent>
      </w:r>
      <w:r w:rsidRPr="002D6278">
        <w:rPr>
          <w:rFonts w:ascii="Book Antiqua" w:hAnsi="Book Antiqua"/>
          <w:noProof/>
          <w:sz w:val="16"/>
          <w:szCs w:val="16"/>
        </w:rPr>
        <w:drawing>
          <wp:anchor distT="0" distB="0" distL="114300" distR="114300" simplePos="0" relativeHeight="251949568" behindDoc="0" locked="0" layoutInCell="1" allowOverlap="1" wp14:anchorId="53856389" wp14:editId="0D57DCBD">
            <wp:simplePos x="0" y="0"/>
            <wp:positionH relativeFrom="column">
              <wp:posOffset>6805295</wp:posOffset>
            </wp:positionH>
            <wp:positionV relativeFrom="paragraph">
              <wp:posOffset>4313555</wp:posOffset>
            </wp:positionV>
            <wp:extent cx="104775" cy="133350"/>
            <wp:effectExtent l="0" t="0" r="9525" b="0"/>
            <wp:wrapNone/>
            <wp:docPr id="310" name="Google Shape;310;p20" descr="image.png"/>
            <wp:cNvGraphicFramePr/>
            <a:graphic xmlns:a="http://schemas.openxmlformats.org/drawingml/2006/main">
              <a:graphicData uri="http://schemas.openxmlformats.org/drawingml/2006/picture">
                <pic:pic xmlns:pic="http://schemas.openxmlformats.org/drawingml/2006/picture">
                  <pic:nvPicPr>
                    <pic:cNvPr id="310" name="Google Shape;310;p20" descr="image.png"/>
                    <pic:cNvPicPr preferRelativeResize="0"/>
                  </pic:nvPicPr>
                  <pic:blipFill rotWithShape="1">
                    <a:blip r:embed="rId8">
                      <a:alphaModFix/>
                    </a:blip>
                    <a:srcRect/>
                    <a:stretch/>
                  </pic:blipFill>
                  <pic:spPr>
                    <a:xfrm>
                      <a:off x="0" y="0"/>
                      <a:ext cx="104775" cy="133350"/>
                    </a:xfrm>
                    <a:prstGeom prst="rect">
                      <a:avLst/>
                    </a:prstGeom>
                    <a:noFill/>
                    <a:ln>
                      <a:noFill/>
                    </a:ln>
                  </pic:spPr>
                </pic:pic>
              </a:graphicData>
            </a:graphic>
          </wp:anchor>
        </w:drawing>
      </w:r>
      <w:r w:rsidRPr="002D6278">
        <w:rPr>
          <w:rFonts w:ascii="Book Antiqua" w:hAnsi="Book Antiqua"/>
          <w:noProof/>
          <w:sz w:val="16"/>
          <w:szCs w:val="16"/>
        </w:rPr>
        <w:drawing>
          <wp:anchor distT="0" distB="0" distL="114300" distR="114300" simplePos="0" relativeHeight="251948544" behindDoc="0" locked="0" layoutInCell="1" allowOverlap="1" wp14:anchorId="54E6B111" wp14:editId="7EBBE5B2">
            <wp:simplePos x="0" y="0"/>
            <wp:positionH relativeFrom="column">
              <wp:posOffset>6805295</wp:posOffset>
            </wp:positionH>
            <wp:positionV relativeFrom="paragraph">
              <wp:posOffset>3327400</wp:posOffset>
            </wp:positionV>
            <wp:extent cx="104775" cy="133350"/>
            <wp:effectExtent l="0" t="0" r="9525" b="0"/>
            <wp:wrapNone/>
            <wp:docPr id="309" name="Google Shape;309;p20" descr="image.png"/>
            <wp:cNvGraphicFramePr/>
            <a:graphic xmlns:a="http://schemas.openxmlformats.org/drawingml/2006/main">
              <a:graphicData uri="http://schemas.openxmlformats.org/drawingml/2006/picture">
                <pic:pic xmlns:pic="http://schemas.openxmlformats.org/drawingml/2006/picture">
                  <pic:nvPicPr>
                    <pic:cNvPr id="309" name="Google Shape;309;p20" descr="image.png"/>
                    <pic:cNvPicPr preferRelativeResize="0"/>
                  </pic:nvPicPr>
                  <pic:blipFill rotWithShape="1">
                    <a:blip r:embed="rId9">
                      <a:alphaModFix/>
                    </a:blip>
                    <a:srcRect/>
                    <a:stretch/>
                  </pic:blipFill>
                  <pic:spPr>
                    <a:xfrm>
                      <a:off x="0" y="0"/>
                      <a:ext cx="104775" cy="133350"/>
                    </a:xfrm>
                    <a:prstGeom prst="rect">
                      <a:avLst/>
                    </a:prstGeom>
                    <a:noFill/>
                    <a:ln>
                      <a:noFill/>
                    </a:ln>
                  </pic:spPr>
                </pic:pic>
              </a:graphicData>
            </a:graphic>
          </wp:anchor>
        </w:drawing>
      </w:r>
      <w:r w:rsidRPr="002D6278">
        <w:rPr>
          <w:rFonts w:ascii="Book Antiqua" w:hAnsi="Book Antiqua"/>
          <w:noProof/>
          <w:sz w:val="16"/>
          <w:szCs w:val="16"/>
        </w:rPr>
        <w:drawing>
          <wp:anchor distT="0" distB="0" distL="114300" distR="114300" simplePos="0" relativeHeight="251947520" behindDoc="0" locked="0" layoutInCell="1" allowOverlap="1" wp14:anchorId="44E48C1A" wp14:editId="0967CFDC">
            <wp:simplePos x="0" y="0"/>
            <wp:positionH relativeFrom="column">
              <wp:posOffset>6805295</wp:posOffset>
            </wp:positionH>
            <wp:positionV relativeFrom="paragraph">
              <wp:posOffset>2341880</wp:posOffset>
            </wp:positionV>
            <wp:extent cx="104775" cy="133350"/>
            <wp:effectExtent l="0" t="0" r="9525" b="0"/>
            <wp:wrapNone/>
            <wp:docPr id="308" name="Google Shape;308;p20" descr="image.png"/>
            <wp:cNvGraphicFramePr/>
            <a:graphic xmlns:a="http://schemas.openxmlformats.org/drawingml/2006/main">
              <a:graphicData uri="http://schemas.openxmlformats.org/drawingml/2006/picture">
                <pic:pic xmlns:pic="http://schemas.openxmlformats.org/drawingml/2006/picture">
                  <pic:nvPicPr>
                    <pic:cNvPr id="308" name="Google Shape;308;p20" descr="image.png"/>
                    <pic:cNvPicPr preferRelativeResize="0"/>
                  </pic:nvPicPr>
                  <pic:blipFill rotWithShape="1">
                    <a:blip r:embed="rId8">
                      <a:alphaModFix/>
                    </a:blip>
                    <a:srcRect/>
                    <a:stretch/>
                  </pic:blipFill>
                  <pic:spPr>
                    <a:xfrm>
                      <a:off x="0" y="0"/>
                      <a:ext cx="104775" cy="133350"/>
                    </a:xfrm>
                    <a:prstGeom prst="rect">
                      <a:avLst/>
                    </a:prstGeom>
                    <a:noFill/>
                    <a:ln>
                      <a:noFill/>
                    </a:ln>
                  </pic:spPr>
                </pic:pic>
              </a:graphicData>
            </a:graphic>
          </wp:anchor>
        </w:drawing>
      </w:r>
      <w:r w:rsidRPr="002D6278">
        <w:rPr>
          <w:rFonts w:ascii="Book Antiqua" w:hAnsi="Book Antiqua"/>
          <w:noProof/>
          <w:sz w:val="16"/>
          <w:szCs w:val="16"/>
        </w:rPr>
        <w:drawing>
          <wp:anchor distT="0" distB="0" distL="114300" distR="114300" simplePos="0" relativeHeight="251946496" behindDoc="0" locked="0" layoutInCell="1" allowOverlap="1" wp14:anchorId="35AAF64B" wp14:editId="6E9DD780">
            <wp:simplePos x="0" y="0"/>
            <wp:positionH relativeFrom="column">
              <wp:posOffset>7048500</wp:posOffset>
            </wp:positionH>
            <wp:positionV relativeFrom="paragraph">
              <wp:posOffset>3556000</wp:posOffset>
            </wp:positionV>
            <wp:extent cx="3333750" cy="661670"/>
            <wp:effectExtent l="0" t="0" r="0" b="5080"/>
            <wp:wrapNone/>
            <wp:docPr id="303" name="Google Shape;303;p20" descr="image.png"/>
            <wp:cNvGraphicFramePr/>
            <a:graphic xmlns:a="http://schemas.openxmlformats.org/drawingml/2006/main">
              <a:graphicData uri="http://schemas.openxmlformats.org/drawingml/2006/picture">
                <pic:pic xmlns:pic="http://schemas.openxmlformats.org/drawingml/2006/picture">
                  <pic:nvPicPr>
                    <pic:cNvPr id="303" name="Google Shape;303;p20" descr="image.png"/>
                    <pic:cNvPicPr preferRelativeResize="0"/>
                  </pic:nvPicPr>
                  <pic:blipFill rotWithShape="1">
                    <a:blip r:embed="rId10">
                      <a:alphaModFix/>
                    </a:blip>
                    <a:srcRect/>
                    <a:stretch/>
                  </pic:blipFill>
                  <pic:spPr>
                    <a:xfrm>
                      <a:off x="0" y="0"/>
                      <a:ext cx="3333750" cy="661670"/>
                    </a:xfrm>
                    <a:prstGeom prst="rect">
                      <a:avLst/>
                    </a:prstGeom>
                    <a:noFill/>
                    <a:ln>
                      <a:noFill/>
                    </a:ln>
                  </pic:spPr>
                </pic:pic>
              </a:graphicData>
            </a:graphic>
          </wp:anchor>
        </w:drawing>
      </w:r>
      <w:r w:rsidRPr="002D6278">
        <w:rPr>
          <w:rFonts w:ascii="Book Antiqua" w:hAnsi="Book Antiqua"/>
          <w:noProof/>
          <w:sz w:val="16"/>
          <w:szCs w:val="16"/>
        </w:rPr>
        <w:drawing>
          <wp:anchor distT="0" distB="0" distL="114300" distR="114300" simplePos="0" relativeHeight="251945472" behindDoc="0" locked="0" layoutInCell="1" allowOverlap="1" wp14:anchorId="69087633" wp14:editId="38614CA0">
            <wp:simplePos x="0" y="0"/>
            <wp:positionH relativeFrom="column">
              <wp:posOffset>7048500</wp:posOffset>
            </wp:positionH>
            <wp:positionV relativeFrom="paragraph">
              <wp:posOffset>2570480</wp:posOffset>
            </wp:positionV>
            <wp:extent cx="3333750" cy="661670"/>
            <wp:effectExtent l="0" t="0" r="0" b="5080"/>
            <wp:wrapNone/>
            <wp:docPr id="301" name="Google Shape;301;p20" descr="image.png"/>
            <wp:cNvGraphicFramePr/>
            <a:graphic xmlns:a="http://schemas.openxmlformats.org/drawingml/2006/main">
              <a:graphicData uri="http://schemas.openxmlformats.org/drawingml/2006/picture">
                <pic:pic xmlns:pic="http://schemas.openxmlformats.org/drawingml/2006/picture">
                  <pic:nvPicPr>
                    <pic:cNvPr id="301" name="Google Shape;301;p20" descr="image.png"/>
                    <pic:cNvPicPr preferRelativeResize="0"/>
                  </pic:nvPicPr>
                  <pic:blipFill rotWithShape="1">
                    <a:blip r:embed="rId11">
                      <a:alphaModFix/>
                    </a:blip>
                    <a:srcRect/>
                    <a:stretch/>
                  </pic:blipFill>
                  <pic:spPr>
                    <a:xfrm>
                      <a:off x="0" y="0"/>
                      <a:ext cx="3333750" cy="661670"/>
                    </a:xfrm>
                    <a:prstGeom prst="rect">
                      <a:avLst/>
                    </a:prstGeom>
                    <a:noFill/>
                    <a:ln>
                      <a:noFill/>
                    </a:ln>
                  </pic:spPr>
                </pic:pic>
              </a:graphicData>
            </a:graphic>
          </wp:anchor>
        </w:drawing>
      </w:r>
      <w:r w:rsidRPr="002D6278">
        <w:rPr>
          <w:rFonts w:ascii="Book Antiqua" w:hAnsi="Book Antiqua"/>
          <w:noProof/>
          <w:sz w:val="16"/>
          <w:szCs w:val="16"/>
        </w:rPr>
        <w:drawing>
          <wp:anchor distT="0" distB="0" distL="114300" distR="114300" simplePos="0" relativeHeight="251944448" behindDoc="0" locked="0" layoutInCell="1" allowOverlap="1" wp14:anchorId="401CB020" wp14:editId="07C56B2C">
            <wp:simplePos x="0" y="0"/>
            <wp:positionH relativeFrom="column">
              <wp:posOffset>7048500</wp:posOffset>
            </wp:positionH>
            <wp:positionV relativeFrom="paragraph">
              <wp:posOffset>1584325</wp:posOffset>
            </wp:positionV>
            <wp:extent cx="3333750" cy="661670"/>
            <wp:effectExtent l="0" t="0" r="0" b="5080"/>
            <wp:wrapNone/>
            <wp:docPr id="299" name="Google Shape;299;p20" descr="image.png"/>
            <wp:cNvGraphicFramePr/>
            <a:graphic xmlns:a="http://schemas.openxmlformats.org/drawingml/2006/main">
              <a:graphicData uri="http://schemas.openxmlformats.org/drawingml/2006/picture">
                <pic:pic xmlns:pic="http://schemas.openxmlformats.org/drawingml/2006/picture">
                  <pic:nvPicPr>
                    <pic:cNvPr id="299" name="Google Shape;299;p20" descr="image.png"/>
                    <pic:cNvPicPr preferRelativeResize="0"/>
                  </pic:nvPicPr>
                  <pic:blipFill rotWithShape="1">
                    <a:blip r:embed="rId10">
                      <a:alphaModFix/>
                    </a:blip>
                    <a:srcRect/>
                    <a:stretch/>
                  </pic:blipFill>
                  <pic:spPr>
                    <a:xfrm>
                      <a:off x="0" y="0"/>
                      <a:ext cx="3333750" cy="661670"/>
                    </a:xfrm>
                    <a:prstGeom prst="rect">
                      <a:avLst/>
                    </a:prstGeom>
                    <a:noFill/>
                    <a:ln>
                      <a:noFill/>
                    </a:ln>
                  </pic:spPr>
                </pic:pic>
              </a:graphicData>
            </a:graphic>
          </wp:anchor>
        </w:drawing>
      </w:r>
      <w:r w:rsidR="003474CA" w:rsidRPr="002D6278">
        <w:rPr>
          <w:rFonts w:ascii="Book Antiqua" w:hAnsi="Book Antiqua" w:cs="Times New Roman"/>
          <w:sz w:val="16"/>
          <w:szCs w:val="16"/>
        </w:rPr>
        <w:t>Financial inclusion driven by FinTech platforms gained importance in South Asia around 2010; this period is widely recognized as the post-mobile money era. Consequently, any study published prior to 2010 was strictly excluded from the review sample.</w:t>
      </w:r>
    </w:p>
    <w:p w14:paraId="6FAE4048" w14:textId="57CD3CF7" w:rsidR="00957511" w:rsidRDefault="00957511" w:rsidP="0095168B">
      <w:pPr>
        <w:spacing w:before="160"/>
        <w:ind w:right="567"/>
        <w:jc w:val="both"/>
        <w:rPr>
          <w:rFonts w:ascii="Book Antiqua" w:hAnsi="Book Antiqua" w:cs="Times New Roman"/>
          <w:b/>
          <w:bCs/>
          <w:sz w:val="16"/>
          <w:szCs w:val="16"/>
        </w:rPr>
      </w:pPr>
      <w:r w:rsidRPr="002D6278">
        <w:rPr>
          <w:rFonts w:ascii="Book Antiqua" w:hAnsi="Book Antiqua" w:cs="Times New Roman"/>
          <w:b/>
          <w:bCs/>
          <w:sz w:val="16"/>
          <w:szCs w:val="16"/>
        </w:rPr>
        <w:t xml:space="preserve">Table </w:t>
      </w:r>
      <w:r w:rsidR="00E227A6">
        <w:rPr>
          <w:rFonts w:ascii="Book Antiqua" w:hAnsi="Book Antiqua" w:cs="Times New Roman"/>
          <w:b/>
          <w:bCs/>
          <w:sz w:val="16"/>
          <w:szCs w:val="16"/>
        </w:rPr>
        <w:t>3</w:t>
      </w:r>
      <w:r w:rsidRPr="002D6278">
        <w:rPr>
          <w:rFonts w:ascii="Book Antiqua" w:hAnsi="Book Antiqua" w:cs="Times New Roman"/>
          <w:b/>
          <w:bCs/>
          <w:sz w:val="16"/>
          <w:szCs w:val="16"/>
        </w:rPr>
        <w:t xml:space="preserve">: </w:t>
      </w:r>
      <w:r w:rsidR="00791D77" w:rsidRPr="00791D77">
        <w:rPr>
          <w:rFonts w:ascii="Book Antiqua" w:hAnsi="Book Antiqua" w:cs="Times New Roman"/>
          <w:b/>
          <w:bCs/>
          <w:sz w:val="16"/>
          <w:szCs w:val="16"/>
        </w:rPr>
        <w:t>Inclusion and Exclusion Parameters</w:t>
      </w:r>
    </w:p>
    <w:tbl>
      <w:tblPr>
        <w:tblW w:w="93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3969"/>
        <w:gridCol w:w="3796"/>
      </w:tblGrid>
      <w:tr w:rsidR="0001024D" w:rsidRPr="0001024D" w14:paraId="41F3BE62" w14:textId="77777777" w:rsidTr="00ED38B4">
        <w:trPr>
          <w:trHeight w:val="300"/>
        </w:trPr>
        <w:tc>
          <w:tcPr>
            <w:tcW w:w="1555" w:type="dxa"/>
            <w:shd w:val="clear" w:color="000000" w:fill="1F3864"/>
            <w:vAlign w:val="center"/>
            <w:hideMark/>
          </w:tcPr>
          <w:p w14:paraId="4BEAF8F2" w14:textId="77777777" w:rsidR="0001024D" w:rsidRPr="0001024D" w:rsidRDefault="0001024D" w:rsidP="0001024D">
            <w:pPr>
              <w:spacing w:after="0" w:line="240" w:lineRule="auto"/>
              <w:ind w:firstLineChars="100" w:firstLine="161"/>
              <w:rPr>
                <w:rFonts w:ascii="Book Antiqua" w:eastAsia="Times New Roman" w:hAnsi="Book Antiqua" w:cs="Times New Roman"/>
                <w:b/>
                <w:bCs/>
                <w:color w:val="FFFFFF"/>
                <w:kern w:val="0"/>
                <w:sz w:val="16"/>
                <w:szCs w:val="16"/>
                <w:lang w:eastAsia="en-GB"/>
                <w14:ligatures w14:val="none"/>
              </w:rPr>
            </w:pPr>
            <w:r w:rsidRPr="0001024D">
              <w:rPr>
                <w:rFonts w:ascii="Book Antiqua" w:eastAsia="Times New Roman" w:hAnsi="Book Antiqua" w:cs="Times New Roman"/>
                <w:b/>
                <w:bCs/>
                <w:color w:val="FFFFFF"/>
                <w:kern w:val="0"/>
                <w:sz w:val="16"/>
                <w:szCs w:val="16"/>
                <w:lang w:eastAsia="en-GB"/>
                <w14:ligatures w14:val="none"/>
              </w:rPr>
              <w:t>Parameters</w:t>
            </w:r>
          </w:p>
        </w:tc>
        <w:tc>
          <w:tcPr>
            <w:tcW w:w="3969" w:type="dxa"/>
            <w:shd w:val="clear" w:color="000000" w:fill="1F3864"/>
            <w:vAlign w:val="center"/>
            <w:hideMark/>
          </w:tcPr>
          <w:p w14:paraId="105D3E00" w14:textId="77777777" w:rsidR="0001024D" w:rsidRPr="0001024D" w:rsidRDefault="0001024D" w:rsidP="0001024D">
            <w:pPr>
              <w:spacing w:after="0" w:line="240" w:lineRule="auto"/>
              <w:ind w:firstLineChars="100" w:firstLine="161"/>
              <w:rPr>
                <w:rFonts w:ascii="Book Antiqua" w:eastAsia="Times New Roman" w:hAnsi="Book Antiqua" w:cs="Times New Roman"/>
                <w:b/>
                <w:bCs/>
                <w:color w:val="FFFFFF"/>
                <w:kern w:val="0"/>
                <w:sz w:val="16"/>
                <w:szCs w:val="16"/>
                <w:lang w:eastAsia="en-GB"/>
                <w14:ligatures w14:val="none"/>
              </w:rPr>
            </w:pPr>
            <w:r w:rsidRPr="0001024D">
              <w:rPr>
                <w:rFonts w:ascii="Book Antiqua" w:eastAsia="Times New Roman" w:hAnsi="Book Antiqua" w:cs="Times New Roman"/>
                <w:b/>
                <w:bCs/>
                <w:color w:val="FFFFFF"/>
                <w:kern w:val="0"/>
                <w:sz w:val="16"/>
                <w:szCs w:val="16"/>
                <w:lang w:eastAsia="en-GB"/>
                <w14:ligatures w14:val="none"/>
              </w:rPr>
              <w:t>Inclusion Areas</w:t>
            </w:r>
          </w:p>
        </w:tc>
        <w:tc>
          <w:tcPr>
            <w:tcW w:w="3796" w:type="dxa"/>
            <w:shd w:val="clear" w:color="000000" w:fill="1F3864"/>
            <w:vAlign w:val="center"/>
            <w:hideMark/>
          </w:tcPr>
          <w:p w14:paraId="6420308F" w14:textId="77777777" w:rsidR="0001024D" w:rsidRPr="0001024D" w:rsidRDefault="0001024D" w:rsidP="0001024D">
            <w:pPr>
              <w:spacing w:after="0" w:line="240" w:lineRule="auto"/>
              <w:ind w:firstLineChars="100" w:firstLine="161"/>
              <w:rPr>
                <w:rFonts w:ascii="Book Antiqua" w:eastAsia="Times New Roman" w:hAnsi="Book Antiqua" w:cs="Times New Roman"/>
                <w:b/>
                <w:bCs/>
                <w:color w:val="FFFFFF"/>
                <w:kern w:val="0"/>
                <w:sz w:val="16"/>
                <w:szCs w:val="16"/>
                <w:lang w:eastAsia="en-GB"/>
                <w14:ligatures w14:val="none"/>
              </w:rPr>
            </w:pPr>
            <w:r w:rsidRPr="0001024D">
              <w:rPr>
                <w:rFonts w:ascii="Book Antiqua" w:eastAsia="Times New Roman" w:hAnsi="Book Antiqua" w:cs="Times New Roman"/>
                <w:b/>
                <w:bCs/>
                <w:color w:val="FFFFFF"/>
                <w:kern w:val="0"/>
                <w:sz w:val="16"/>
                <w:szCs w:val="16"/>
                <w:lang w:eastAsia="en-GB"/>
                <w14:ligatures w14:val="none"/>
              </w:rPr>
              <w:t>Exclusion Areas</w:t>
            </w:r>
          </w:p>
        </w:tc>
      </w:tr>
      <w:tr w:rsidR="0001024D" w:rsidRPr="0001024D" w14:paraId="1CC9A916" w14:textId="77777777" w:rsidTr="00ED38B4">
        <w:trPr>
          <w:trHeight w:val="430"/>
        </w:trPr>
        <w:tc>
          <w:tcPr>
            <w:tcW w:w="1555" w:type="dxa"/>
            <w:shd w:val="clear" w:color="000000" w:fill="F5F5F5"/>
            <w:vAlign w:val="center"/>
            <w:hideMark/>
          </w:tcPr>
          <w:p w14:paraId="3EDB86AD"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Publication type</w:t>
            </w:r>
          </w:p>
        </w:tc>
        <w:tc>
          <w:tcPr>
            <w:tcW w:w="3969" w:type="dxa"/>
            <w:shd w:val="clear" w:color="000000" w:fill="F5F5F5"/>
            <w:vAlign w:val="center"/>
            <w:hideMark/>
          </w:tcPr>
          <w:p w14:paraId="06CA62DC" w14:textId="77777777" w:rsidR="0001024D" w:rsidRPr="0001024D" w:rsidRDefault="0001024D" w:rsidP="00EB2553">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Peer-reviewed articles (2010–2025)</w:t>
            </w:r>
          </w:p>
        </w:tc>
        <w:tc>
          <w:tcPr>
            <w:tcW w:w="3796" w:type="dxa"/>
            <w:shd w:val="clear" w:color="000000" w:fill="F5F5F5"/>
            <w:vAlign w:val="center"/>
            <w:hideMark/>
          </w:tcPr>
          <w:p w14:paraId="1D3F3464"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Dissertations, working papers, editorials, or grey literatures</w:t>
            </w:r>
          </w:p>
        </w:tc>
      </w:tr>
      <w:tr w:rsidR="0001024D" w:rsidRPr="0001024D" w14:paraId="468FA88B" w14:textId="77777777" w:rsidTr="00ED38B4">
        <w:trPr>
          <w:trHeight w:val="300"/>
        </w:trPr>
        <w:tc>
          <w:tcPr>
            <w:tcW w:w="1555" w:type="dxa"/>
            <w:shd w:val="clear" w:color="000000" w:fill="FFFFFF"/>
            <w:vAlign w:val="center"/>
            <w:hideMark/>
          </w:tcPr>
          <w:p w14:paraId="7F6872C7"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Publication date</w:t>
            </w:r>
          </w:p>
        </w:tc>
        <w:tc>
          <w:tcPr>
            <w:tcW w:w="3969" w:type="dxa"/>
            <w:shd w:val="clear" w:color="000000" w:fill="FFFFFF"/>
            <w:vAlign w:val="center"/>
            <w:hideMark/>
          </w:tcPr>
          <w:p w14:paraId="65082890" w14:textId="77777777" w:rsidR="0001024D" w:rsidRPr="0001024D" w:rsidRDefault="0001024D" w:rsidP="00EB2553">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2010–2025 (post-mobile money era in South Asia)</w:t>
            </w:r>
          </w:p>
        </w:tc>
        <w:tc>
          <w:tcPr>
            <w:tcW w:w="3796" w:type="dxa"/>
            <w:shd w:val="clear" w:color="000000" w:fill="FFFFFF"/>
            <w:vAlign w:val="center"/>
            <w:hideMark/>
          </w:tcPr>
          <w:p w14:paraId="0509084A"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 xml:space="preserve">Studies published before 2010 </w:t>
            </w:r>
          </w:p>
        </w:tc>
      </w:tr>
      <w:tr w:rsidR="0001024D" w:rsidRPr="0001024D" w14:paraId="4199BA78" w14:textId="77777777" w:rsidTr="00ED38B4">
        <w:trPr>
          <w:trHeight w:val="580"/>
        </w:trPr>
        <w:tc>
          <w:tcPr>
            <w:tcW w:w="1555" w:type="dxa"/>
            <w:shd w:val="clear" w:color="000000" w:fill="F5F5F5"/>
            <w:vAlign w:val="center"/>
            <w:hideMark/>
          </w:tcPr>
          <w:p w14:paraId="1041B60A"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Geography</w:t>
            </w:r>
          </w:p>
        </w:tc>
        <w:tc>
          <w:tcPr>
            <w:tcW w:w="3969" w:type="dxa"/>
            <w:shd w:val="clear" w:color="000000" w:fill="F5F5F5"/>
            <w:vAlign w:val="center"/>
            <w:hideMark/>
          </w:tcPr>
          <w:p w14:paraId="3EBE9E2D" w14:textId="77777777" w:rsidR="00EB2553" w:rsidRDefault="0001024D" w:rsidP="00EB2553">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South Asi</w:t>
            </w:r>
            <w:r w:rsidR="00EB2553">
              <w:rPr>
                <w:rFonts w:ascii="Book Antiqua" w:eastAsia="Times New Roman" w:hAnsi="Book Antiqua" w:cs="Times New Roman"/>
                <w:color w:val="000000"/>
                <w:kern w:val="0"/>
                <w:sz w:val="16"/>
                <w:szCs w:val="16"/>
                <w:lang w:eastAsia="en-GB"/>
                <w14:ligatures w14:val="none"/>
              </w:rPr>
              <w:t>a</w:t>
            </w:r>
          </w:p>
          <w:p w14:paraId="43F1536E" w14:textId="6EFDB099" w:rsidR="0001024D" w:rsidRPr="0001024D" w:rsidRDefault="0001024D" w:rsidP="00EB2553">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(Bangladesh, Pakistan, India, Sri Lanka</w:t>
            </w:r>
            <w:r w:rsidR="00CC26D9">
              <w:rPr>
                <w:rFonts w:ascii="Book Antiqua" w:eastAsia="Times New Roman" w:hAnsi="Book Antiqua" w:cs="Times New Roman"/>
                <w:color w:val="000000"/>
                <w:kern w:val="0"/>
                <w:sz w:val="16"/>
                <w:szCs w:val="16"/>
                <w:lang w:eastAsia="en-GB"/>
                <w14:ligatures w14:val="none"/>
              </w:rPr>
              <w:t xml:space="preserve">, </w:t>
            </w:r>
            <w:r w:rsidR="00B34B32">
              <w:rPr>
                <w:rFonts w:ascii="Book Antiqua" w:eastAsia="Times New Roman" w:hAnsi="Book Antiqua" w:cs="Times New Roman"/>
                <w:color w:val="000000"/>
                <w:kern w:val="0"/>
                <w:sz w:val="16"/>
                <w:szCs w:val="16"/>
                <w:lang w:eastAsia="en-GB"/>
                <w14:ligatures w14:val="none"/>
              </w:rPr>
              <w:t>Nepal</w:t>
            </w:r>
            <w:r w:rsidRPr="0001024D">
              <w:rPr>
                <w:rFonts w:ascii="Book Antiqua" w:eastAsia="Times New Roman" w:hAnsi="Book Antiqua" w:cs="Times New Roman"/>
                <w:color w:val="000000"/>
                <w:kern w:val="0"/>
                <w:sz w:val="16"/>
                <w:szCs w:val="16"/>
                <w:lang w:eastAsia="en-GB"/>
                <w14:ligatures w14:val="none"/>
              </w:rPr>
              <w:t>)</w:t>
            </w:r>
          </w:p>
        </w:tc>
        <w:tc>
          <w:tcPr>
            <w:tcW w:w="3796" w:type="dxa"/>
            <w:shd w:val="clear" w:color="000000" w:fill="F5F5F5"/>
            <w:vAlign w:val="center"/>
            <w:hideMark/>
          </w:tcPr>
          <w:p w14:paraId="1C1A8CD6"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Studies outside of South Asia with no substantive South Asian component</w:t>
            </w:r>
          </w:p>
        </w:tc>
      </w:tr>
      <w:tr w:rsidR="0001024D" w:rsidRPr="0001024D" w14:paraId="3B59F8C5" w14:textId="77777777" w:rsidTr="00ED38B4">
        <w:trPr>
          <w:trHeight w:val="300"/>
        </w:trPr>
        <w:tc>
          <w:tcPr>
            <w:tcW w:w="1555" w:type="dxa"/>
            <w:shd w:val="clear" w:color="000000" w:fill="FFFFFF"/>
            <w:vAlign w:val="center"/>
            <w:hideMark/>
          </w:tcPr>
          <w:p w14:paraId="4193676F"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Population</w:t>
            </w:r>
          </w:p>
        </w:tc>
        <w:tc>
          <w:tcPr>
            <w:tcW w:w="3969" w:type="dxa"/>
            <w:shd w:val="clear" w:color="000000" w:fill="FFFFFF"/>
            <w:vAlign w:val="center"/>
            <w:hideMark/>
          </w:tcPr>
          <w:p w14:paraId="4EF3DEFF"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 xml:space="preserve">Women or gender-disaggregated data </w:t>
            </w:r>
          </w:p>
        </w:tc>
        <w:tc>
          <w:tcPr>
            <w:tcW w:w="3796" w:type="dxa"/>
            <w:shd w:val="clear" w:color="000000" w:fill="FFFFFF"/>
            <w:vAlign w:val="center"/>
            <w:hideMark/>
          </w:tcPr>
          <w:p w14:paraId="7CBEB606"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 xml:space="preserve">Studies with no gender dimension </w:t>
            </w:r>
          </w:p>
        </w:tc>
      </w:tr>
      <w:tr w:rsidR="0001024D" w:rsidRPr="0001024D" w14:paraId="3672EA83" w14:textId="77777777" w:rsidTr="00ED38B4">
        <w:trPr>
          <w:trHeight w:val="430"/>
        </w:trPr>
        <w:tc>
          <w:tcPr>
            <w:tcW w:w="1555" w:type="dxa"/>
            <w:shd w:val="clear" w:color="000000" w:fill="F5F5F5"/>
            <w:vAlign w:val="center"/>
            <w:hideMark/>
          </w:tcPr>
          <w:p w14:paraId="05A96953"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Phenomenon</w:t>
            </w:r>
          </w:p>
        </w:tc>
        <w:tc>
          <w:tcPr>
            <w:tcW w:w="3969" w:type="dxa"/>
            <w:shd w:val="clear" w:color="000000" w:fill="F5F5F5"/>
            <w:vAlign w:val="center"/>
            <w:hideMark/>
          </w:tcPr>
          <w:p w14:paraId="4F3A3AC4"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FinTech, mobile money, digital financial services, digital payment adoption</w:t>
            </w:r>
          </w:p>
        </w:tc>
        <w:tc>
          <w:tcPr>
            <w:tcW w:w="3796" w:type="dxa"/>
            <w:shd w:val="clear" w:color="000000" w:fill="F5F5F5"/>
            <w:vAlign w:val="center"/>
            <w:hideMark/>
          </w:tcPr>
          <w:p w14:paraId="07ED5217"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Traditional microfinance or conventional banking without FinTech element</w:t>
            </w:r>
          </w:p>
        </w:tc>
      </w:tr>
      <w:tr w:rsidR="0001024D" w:rsidRPr="0001024D" w14:paraId="5932D335" w14:textId="77777777" w:rsidTr="00ED38B4">
        <w:trPr>
          <w:trHeight w:val="430"/>
        </w:trPr>
        <w:tc>
          <w:tcPr>
            <w:tcW w:w="1555" w:type="dxa"/>
            <w:shd w:val="clear" w:color="000000" w:fill="FFFFFF"/>
            <w:vAlign w:val="center"/>
            <w:hideMark/>
          </w:tcPr>
          <w:p w14:paraId="719B793B"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Outcome</w:t>
            </w:r>
          </w:p>
        </w:tc>
        <w:tc>
          <w:tcPr>
            <w:tcW w:w="3969" w:type="dxa"/>
            <w:shd w:val="clear" w:color="000000" w:fill="FFFFFF"/>
            <w:vAlign w:val="center"/>
            <w:hideMark/>
          </w:tcPr>
          <w:p w14:paraId="7486BDDF" w14:textId="77777777" w:rsidR="0001024D" w:rsidRPr="0001024D" w:rsidRDefault="0001024D" w:rsidP="00EB2553">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 xml:space="preserve">Socio-cultural determinants and/or livelihood outcomes </w:t>
            </w:r>
          </w:p>
        </w:tc>
        <w:tc>
          <w:tcPr>
            <w:tcW w:w="3796" w:type="dxa"/>
            <w:shd w:val="clear" w:color="000000" w:fill="FFFFFF"/>
            <w:vAlign w:val="center"/>
            <w:hideMark/>
          </w:tcPr>
          <w:p w14:paraId="702F1483"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 xml:space="preserve">Studies exclusively on male-headed households </w:t>
            </w:r>
          </w:p>
        </w:tc>
      </w:tr>
      <w:tr w:rsidR="0001024D" w:rsidRPr="0001024D" w14:paraId="2BB2431F" w14:textId="77777777" w:rsidTr="00ED38B4">
        <w:trPr>
          <w:trHeight w:val="430"/>
        </w:trPr>
        <w:tc>
          <w:tcPr>
            <w:tcW w:w="1555" w:type="dxa"/>
            <w:shd w:val="clear" w:color="000000" w:fill="F5F5F5"/>
            <w:vAlign w:val="center"/>
            <w:hideMark/>
          </w:tcPr>
          <w:p w14:paraId="0DDD8E92" w14:textId="77777777" w:rsidR="0001024D" w:rsidRPr="00E61840" w:rsidRDefault="0001024D" w:rsidP="0001024D">
            <w:pPr>
              <w:spacing w:after="0" w:line="240" w:lineRule="auto"/>
              <w:ind w:firstLineChars="100" w:firstLine="160"/>
              <w:rPr>
                <w:rFonts w:ascii="Book Antiqua" w:eastAsia="Times New Roman" w:hAnsi="Book Antiqua" w:cs="Times New Roman"/>
                <w:color w:val="0A2F41" w:themeColor="accent1" w:themeShade="80"/>
                <w:kern w:val="0"/>
                <w:sz w:val="16"/>
                <w:szCs w:val="16"/>
                <w:lang w:eastAsia="en-GB"/>
                <w14:ligatures w14:val="none"/>
              </w:rPr>
            </w:pPr>
            <w:r w:rsidRPr="00E61840">
              <w:rPr>
                <w:rFonts w:ascii="Book Antiqua" w:eastAsia="Times New Roman" w:hAnsi="Book Antiqua" w:cs="Times New Roman"/>
                <w:color w:val="0A2F41" w:themeColor="accent1" w:themeShade="80"/>
                <w:kern w:val="0"/>
                <w:sz w:val="16"/>
                <w:szCs w:val="16"/>
                <w:lang w:eastAsia="en-GB"/>
                <w14:ligatures w14:val="none"/>
              </w:rPr>
              <w:t>Language</w:t>
            </w:r>
          </w:p>
        </w:tc>
        <w:tc>
          <w:tcPr>
            <w:tcW w:w="3969" w:type="dxa"/>
            <w:shd w:val="clear" w:color="000000" w:fill="F5F5F5"/>
            <w:vAlign w:val="center"/>
            <w:hideMark/>
          </w:tcPr>
          <w:p w14:paraId="07B32340"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English full text</w:t>
            </w:r>
          </w:p>
        </w:tc>
        <w:tc>
          <w:tcPr>
            <w:tcW w:w="3796" w:type="dxa"/>
            <w:shd w:val="clear" w:color="000000" w:fill="F5F5F5"/>
            <w:vAlign w:val="center"/>
            <w:hideMark/>
          </w:tcPr>
          <w:p w14:paraId="7E5C082B" w14:textId="77777777" w:rsidR="0001024D" w:rsidRPr="0001024D" w:rsidRDefault="0001024D" w:rsidP="00DD7FC6">
            <w:pPr>
              <w:spacing w:after="0" w:line="240" w:lineRule="auto"/>
              <w:rPr>
                <w:rFonts w:ascii="Book Antiqua" w:eastAsia="Times New Roman" w:hAnsi="Book Antiqua" w:cs="Times New Roman"/>
                <w:color w:val="000000"/>
                <w:kern w:val="0"/>
                <w:sz w:val="16"/>
                <w:szCs w:val="16"/>
                <w:lang w:eastAsia="en-GB"/>
                <w14:ligatures w14:val="none"/>
              </w:rPr>
            </w:pPr>
            <w:r w:rsidRPr="0001024D">
              <w:rPr>
                <w:rFonts w:ascii="Book Antiqua" w:eastAsia="Times New Roman" w:hAnsi="Book Antiqua" w:cs="Times New Roman"/>
                <w:color w:val="000000"/>
                <w:kern w:val="0"/>
                <w:sz w:val="16"/>
                <w:szCs w:val="16"/>
                <w:lang w:eastAsia="en-GB"/>
                <w14:ligatures w14:val="none"/>
              </w:rPr>
              <w:t>Non-English full text only without translation</w:t>
            </w:r>
          </w:p>
        </w:tc>
      </w:tr>
    </w:tbl>
    <w:p w14:paraId="7E64F528" w14:textId="6DF2ECBD" w:rsidR="00CC26D9" w:rsidRDefault="009D026C" w:rsidP="00473E34">
      <w:pPr>
        <w:spacing w:before="40" w:after="120" w:line="276" w:lineRule="auto"/>
        <w:rPr>
          <w:rFonts w:ascii="Book Antiqua" w:hAnsi="Book Antiqua" w:cs="Times New Roman"/>
          <w:b/>
          <w:bCs/>
          <w:sz w:val="16"/>
          <w:szCs w:val="16"/>
        </w:rPr>
      </w:pPr>
      <w:r w:rsidRPr="002D6278">
        <w:rPr>
          <w:rFonts w:ascii="Book Antiqua" w:hAnsi="Book Antiqua"/>
          <w:i/>
          <w:iCs/>
          <w:sz w:val="16"/>
          <w:szCs w:val="16"/>
        </w:rPr>
        <w:t>Source: The author</w:t>
      </w:r>
      <w:r w:rsidR="00D63431" w:rsidRPr="002D6278">
        <w:rPr>
          <w:rFonts w:ascii="Book Antiqua" w:hAnsi="Book Antiqua"/>
          <w:i/>
          <w:iCs/>
          <w:sz w:val="16"/>
          <w:szCs w:val="16"/>
        </w:rPr>
        <w:t>.</w:t>
      </w:r>
    </w:p>
    <w:p w14:paraId="56658EFE" w14:textId="488A5829" w:rsidR="003F06CF" w:rsidRPr="002D6278" w:rsidRDefault="00187F45" w:rsidP="00C527C9">
      <w:pPr>
        <w:jc w:val="both"/>
        <w:rPr>
          <w:rFonts w:ascii="Book Antiqua" w:hAnsi="Book Antiqua" w:cs="Times New Roman"/>
          <w:b/>
          <w:bCs/>
          <w:sz w:val="16"/>
          <w:szCs w:val="16"/>
        </w:rPr>
      </w:pPr>
      <w:r w:rsidRPr="002D6278">
        <w:rPr>
          <w:rFonts w:ascii="Book Antiqua" w:hAnsi="Book Antiqua" w:cs="Times New Roman"/>
          <w:b/>
          <w:bCs/>
          <w:sz w:val="16"/>
          <w:szCs w:val="16"/>
        </w:rPr>
        <w:t xml:space="preserve">4.6 </w:t>
      </w:r>
      <w:r w:rsidR="000A5394" w:rsidRPr="002D6278">
        <w:rPr>
          <w:rFonts w:ascii="Book Antiqua" w:hAnsi="Book Antiqua" w:cs="Times New Roman"/>
          <w:b/>
          <w:bCs/>
          <w:sz w:val="16"/>
          <w:szCs w:val="16"/>
        </w:rPr>
        <w:t>Quality Assessment</w:t>
      </w:r>
    </w:p>
    <w:p w14:paraId="254BC8BA" w14:textId="777D53E6" w:rsidR="00B60819" w:rsidRPr="002D6278" w:rsidRDefault="007A52CC" w:rsidP="00B60819">
      <w:pPr>
        <w:jc w:val="both"/>
        <w:rPr>
          <w:rFonts w:ascii="Book Antiqua" w:hAnsi="Book Antiqua" w:cs="Times New Roman"/>
          <w:sz w:val="16"/>
          <w:szCs w:val="16"/>
        </w:rPr>
      </w:pPr>
      <w:r w:rsidRPr="002D6278">
        <w:rPr>
          <w:rFonts w:ascii="Book Antiqua" w:hAnsi="Book Antiqua" w:cs="Times New Roman"/>
          <w:sz w:val="16"/>
          <w:szCs w:val="16"/>
        </w:rPr>
        <w:t>Rather than assuming the validity of peer-reviewed articles, the 61 eligible full-text documents were subjected to a double-framework quality appraisal.</w:t>
      </w:r>
      <w:r w:rsidR="00B42D6E" w:rsidRPr="002D6278">
        <w:rPr>
          <w:rFonts w:ascii="Book Antiqua" w:hAnsi="Book Antiqua" w:cs="Times New Roman"/>
          <w:sz w:val="16"/>
          <w:szCs w:val="16"/>
        </w:rPr>
        <w:t xml:space="preserve"> </w:t>
      </w:r>
      <w:r w:rsidR="00DB2931" w:rsidRPr="002D6278">
        <w:rPr>
          <w:rFonts w:ascii="Book Antiqua" w:hAnsi="Book Antiqua" w:cs="Times New Roman"/>
          <w:sz w:val="16"/>
          <w:szCs w:val="16"/>
        </w:rPr>
        <w:t xml:space="preserve">Qualitative tracks </w:t>
      </w:r>
      <w:r w:rsidR="005C463D">
        <w:rPr>
          <w:rFonts w:ascii="Book Antiqua" w:hAnsi="Book Antiqua" w:cs="Times New Roman"/>
          <w:sz w:val="16"/>
          <w:szCs w:val="16"/>
        </w:rPr>
        <w:t>have been</w:t>
      </w:r>
      <w:r w:rsidR="00DB2931" w:rsidRPr="002D6278">
        <w:rPr>
          <w:rFonts w:ascii="Book Antiqua" w:hAnsi="Book Antiqua" w:cs="Times New Roman"/>
          <w:sz w:val="16"/>
          <w:szCs w:val="16"/>
        </w:rPr>
        <w:t xml:space="preserve"> evaluated via the Critical Appraisal Skills Programme (CASP), </w:t>
      </w:r>
      <w:r w:rsidR="007036DA">
        <w:rPr>
          <w:rFonts w:ascii="Book Antiqua" w:hAnsi="Book Antiqua" w:cs="Times New Roman"/>
          <w:sz w:val="16"/>
          <w:szCs w:val="16"/>
        </w:rPr>
        <w:t>while q</w:t>
      </w:r>
      <w:r w:rsidR="00DB2931" w:rsidRPr="002D6278">
        <w:rPr>
          <w:rFonts w:ascii="Book Antiqua" w:hAnsi="Book Antiqua" w:cs="Times New Roman"/>
          <w:sz w:val="16"/>
          <w:szCs w:val="16"/>
        </w:rPr>
        <w:t xml:space="preserve">uantitative and cross-sectional econometric surveys </w:t>
      </w:r>
      <w:r w:rsidR="005C463D">
        <w:rPr>
          <w:rFonts w:ascii="Book Antiqua" w:hAnsi="Book Antiqua" w:cs="Times New Roman"/>
          <w:sz w:val="16"/>
          <w:szCs w:val="16"/>
        </w:rPr>
        <w:t>have been</w:t>
      </w:r>
      <w:r w:rsidR="00DB2931" w:rsidRPr="002D6278">
        <w:rPr>
          <w:rFonts w:ascii="Book Antiqua" w:hAnsi="Book Antiqua" w:cs="Times New Roman"/>
          <w:sz w:val="16"/>
          <w:szCs w:val="16"/>
        </w:rPr>
        <w:t xml:space="preserve"> </w:t>
      </w:r>
      <w:r w:rsidR="00FB48D2" w:rsidRPr="002D6278">
        <w:rPr>
          <w:rFonts w:ascii="Book Antiqua" w:hAnsi="Book Antiqua" w:cs="Times New Roman"/>
          <w:sz w:val="16"/>
          <w:szCs w:val="16"/>
        </w:rPr>
        <w:t>assessed</w:t>
      </w:r>
      <w:r w:rsidR="00DB2931" w:rsidRPr="002D6278">
        <w:rPr>
          <w:rFonts w:ascii="Book Antiqua" w:hAnsi="Book Antiqua" w:cs="Times New Roman"/>
          <w:sz w:val="16"/>
          <w:szCs w:val="16"/>
        </w:rPr>
        <w:t xml:space="preserve"> via the Mixed Methods Appraisal Tool (MMAT)</w:t>
      </w:r>
      <w:r w:rsidR="007036DA">
        <w:rPr>
          <w:rFonts w:ascii="Book Antiqua" w:hAnsi="Book Antiqua" w:cs="Times New Roman"/>
          <w:sz w:val="16"/>
          <w:szCs w:val="16"/>
        </w:rPr>
        <w:t xml:space="preserve">. </w:t>
      </w:r>
      <w:r w:rsidR="00B60819" w:rsidRPr="002D6278">
        <w:rPr>
          <w:rFonts w:ascii="Book Antiqua" w:hAnsi="Book Antiqua" w:cs="Times New Roman"/>
          <w:sz w:val="16"/>
          <w:szCs w:val="16"/>
        </w:rPr>
        <w:t xml:space="preserve">Studies </w:t>
      </w:r>
      <w:r w:rsidR="004C11E7" w:rsidRPr="002D6278">
        <w:rPr>
          <w:rFonts w:ascii="Book Antiqua" w:hAnsi="Book Antiqua" w:cs="Times New Roman"/>
          <w:sz w:val="16"/>
          <w:szCs w:val="16"/>
        </w:rPr>
        <w:t>recording</w:t>
      </w:r>
      <w:r w:rsidR="00B60819" w:rsidRPr="002D6278">
        <w:rPr>
          <w:rFonts w:ascii="Book Antiqua" w:hAnsi="Book Antiqua" w:cs="Times New Roman"/>
          <w:sz w:val="16"/>
          <w:szCs w:val="16"/>
        </w:rPr>
        <w:t xml:space="preserve"> below 75% compliance threshold on the MMAT/CASP rubric (n=</w:t>
      </w:r>
      <w:r w:rsidR="00E525CC" w:rsidRPr="002D6278">
        <w:rPr>
          <w:rFonts w:ascii="Book Antiqua" w:hAnsi="Book Antiqua" w:cs="Times New Roman"/>
          <w:sz w:val="16"/>
          <w:szCs w:val="16"/>
        </w:rPr>
        <w:t xml:space="preserve">18) </w:t>
      </w:r>
      <w:r w:rsidR="00B60819" w:rsidRPr="002D6278">
        <w:rPr>
          <w:rFonts w:ascii="Book Antiqua" w:hAnsi="Book Antiqua" w:cs="Times New Roman"/>
          <w:sz w:val="16"/>
          <w:szCs w:val="16"/>
        </w:rPr>
        <w:t xml:space="preserve">were systematically excluded due to </w:t>
      </w:r>
      <w:r w:rsidR="00E525CC" w:rsidRPr="002D6278">
        <w:rPr>
          <w:rFonts w:ascii="Book Antiqua" w:hAnsi="Book Antiqua" w:cs="Times New Roman"/>
          <w:sz w:val="16"/>
          <w:szCs w:val="16"/>
        </w:rPr>
        <w:lastRenderedPageBreak/>
        <w:t>unverified data sources or severe confounding biases</w:t>
      </w:r>
      <w:r w:rsidR="00B60819" w:rsidRPr="002D6278">
        <w:rPr>
          <w:rFonts w:ascii="Book Antiqua" w:hAnsi="Book Antiqua" w:cs="Times New Roman"/>
          <w:sz w:val="16"/>
          <w:szCs w:val="16"/>
        </w:rPr>
        <w:t>. The remaining 43 papers met all specified quality thresholds and were retained for analytical synthesis.</w:t>
      </w:r>
    </w:p>
    <w:p w14:paraId="3AEC7FBA" w14:textId="303F8BF5" w:rsidR="008E4C50" w:rsidRPr="002D6278" w:rsidRDefault="001D55E2" w:rsidP="001D55E2">
      <w:pPr>
        <w:jc w:val="both"/>
        <w:rPr>
          <w:rFonts w:ascii="Book Antiqua" w:hAnsi="Book Antiqua" w:cs="Times New Roman"/>
          <w:b/>
          <w:bCs/>
          <w:sz w:val="16"/>
          <w:szCs w:val="16"/>
        </w:rPr>
      </w:pPr>
      <w:r w:rsidRPr="002D6278">
        <w:rPr>
          <w:rFonts w:ascii="Book Antiqua" w:hAnsi="Book Antiqua" w:cs="Times New Roman"/>
          <w:b/>
          <w:bCs/>
          <w:sz w:val="16"/>
          <w:szCs w:val="16"/>
        </w:rPr>
        <w:t xml:space="preserve">4.7 </w:t>
      </w:r>
      <w:r w:rsidR="00BA61E7" w:rsidRPr="002D6278">
        <w:rPr>
          <w:rFonts w:ascii="Book Antiqua" w:hAnsi="Book Antiqua" w:cs="Times New Roman"/>
          <w:b/>
          <w:bCs/>
          <w:sz w:val="16"/>
          <w:szCs w:val="16"/>
        </w:rPr>
        <w:t>Extraction</w:t>
      </w:r>
      <w:r w:rsidR="00D361E9">
        <w:rPr>
          <w:rFonts w:ascii="Book Antiqua" w:hAnsi="Book Antiqua" w:cs="Times New Roman"/>
          <w:b/>
          <w:bCs/>
          <w:sz w:val="16"/>
          <w:szCs w:val="16"/>
        </w:rPr>
        <w:t xml:space="preserve"> of Data </w:t>
      </w:r>
      <w:r w:rsidR="00BA61E7" w:rsidRPr="002D6278">
        <w:rPr>
          <w:rFonts w:ascii="Book Antiqua" w:hAnsi="Book Antiqua" w:cs="Times New Roman"/>
          <w:b/>
          <w:bCs/>
          <w:sz w:val="16"/>
          <w:szCs w:val="16"/>
        </w:rPr>
        <w:t>and Analytical Approach</w:t>
      </w:r>
    </w:p>
    <w:p w14:paraId="5FC461B4" w14:textId="0DD68BD9" w:rsidR="00562FC3" w:rsidRDefault="001F1D65" w:rsidP="00F4272B">
      <w:pPr>
        <w:jc w:val="both"/>
        <w:rPr>
          <w:rFonts w:ascii="Book Antiqua" w:eastAsia="Times New Roman" w:hAnsi="Book Antiqua" w:cs="Times New Roman"/>
          <w:sz w:val="16"/>
          <w:szCs w:val="16"/>
        </w:rPr>
      </w:pPr>
      <w:r>
        <w:rPr>
          <w:rFonts w:ascii="Book Antiqua" w:eastAsia="Times New Roman" w:hAnsi="Book Antiqua" w:cs="Times New Roman"/>
          <w:sz w:val="16"/>
          <w:szCs w:val="16"/>
        </w:rPr>
        <w:t>E</w:t>
      </w:r>
      <w:r w:rsidR="00BC30DF" w:rsidRPr="002D6278">
        <w:rPr>
          <w:rFonts w:ascii="Book Antiqua" w:eastAsia="Times New Roman" w:hAnsi="Book Antiqua" w:cs="Times New Roman"/>
          <w:sz w:val="16"/>
          <w:szCs w:val="16"/>
        </w:rPr>
        <w:t xml:space="preserve">xtraction </w:t>
      </w:r>
      <w:r>
        <w:rPr>
          <w:rFonts w:ascii="Book Antiqua" w:eastAsia="Times New Roman" w:hAnsi="Book Antiqua" w:cs="Times New Roman"/>
          <w:sz w:val="16"/>
          <w:szCs w:val="16"/>
        </w:rPr>
        <w:t xml:space="preserve">of data </w:t>
      </w:r>
      <w:r w:rsidR="00BC30DF" w:rsidRPr="002D6278">
        <w:rPr>
          <w:rFonts w:ascii="Book Antiqua" w:eastAsia="Times New Roman" w:hAnsi="Book Antiqua" w:cs="Times New Roman"/>
          <w:sz w:val="16"/>
          <w:szCs w:val="16"/>
        </w:rPr>
        <w:t xml:space="preserve">was executed via a standard digital form, tracking geographic focus, research design, core theoretical framework, sample size, and specific findings. The data were synthesized using thematic </w:t>
      </w:r>
      <w:r w:rsidR="00640485" w:rsidRPr="002D6278">
        <w:rPr>
          <w:rFonts w:ascii="Book Antiqua" w:eastAsia="Times New Roman" w:hAnsi="Book Antiqua" w:cs="Times New Roman"/>
          <w:sz w:val="16"/>
          <w:szCs w:val="16"/>
        </w:rPr>
        <w:t>combination</w:t>
      </w:r>
      <w:r w:rsidR="00BC30DF" w:rsidRPr="002D6278">
        <w:rPr>
          <w:rFonts w:ascii="Book Antiqua" w:eastAsia="Times New Roman" w:hAnsi="Book Antiqua" w:cs="Times New Roman"/>
          <w:sz w:val="16"/>
          <w:szCs w:val="16"/>
        </w:rPr>
        <w:t xml:space="preserve"> (</w:t>
      </w:r>
      <w:r w:rsidR="00BC30DF" w:rsidRPr="002D6278">
        <w:rPr>
          <w:rFonts w:ascii="Book Antiqua" w:eastAsia="Times New Roman" w:hAnsi="Book Antiqua" w:cs="Times New Roman"/>
          <w:color w:val="0070C0"/>
          <w:sz w:val="16"/>
          <w:szCs w:val="16"/>
        </w:rPr>
        <w:t>Thomas and Harden, 2008</w:t>
      </w:r>
      <w:r w:rsidR="00BC30DF" w:rsidRPr="002D6278">
        <w:rPr>
          <w:rFonts w:ascii="Book Antiqua" w:eastAsia="Times New Roman" w:hAnsi="Book Antiqua" w:cs="Times New Roman"/>
          <w:sz w:val="16"/>
          <w:szCs w:val="16"/>
        </w:rPr>
        <w:t xml:space="preserve">), tracking through three successive phases: line-by-line coding of primary </w:t>
      </w:r>
      <w:r w:rsidR="00F57190" w:rsidRPr="002D6278">
        <w:rPr>
          <w:rFonts w:ascii="Book Antiqua" w:eastAsia="Times New Roman" w:hAnsi="Book Antiqua" w:cs="Times New Roman"/>
          <w:sz w:val="16"/>
          <w:szCs w:val="16"/>
        </w:rPr>
        <w:t>content</w:t>
      </w:r>
      <w:r w:rsidR="00BC30DF" w:rsidRPr="002D6278">
        <w:rPr>
          <w:rFonts w:ascii="Book Antiqua" w:eastAsia="Times New Roman" w:hAnsi="Book Antiqua" w:cs="Times New Roman"/>
          <w:sz w:val="16"/>
          <w:szCs w:val="16"/>
        </w:rPr>
        <w:t xml:space="preserve">, generation of </w:t>
      </w:r>
      <w:r w:rsidR="004C11E7">
        <w:rPr>
          <w:rFonts w:ascii="Book Antiqua" w:eastAsia="Times New Roman" w:hAnsi="Book Antiqua" w:cs="Times New Roman"/>
          <w:sz w:val="16"/>
          <w:szCs w:val="16"/>
        </w:rPr>
        <w:t>narra</w:t>
      </w:r>
      <w:r w:rsidR="00BC30DF" w:rsidRPr="002D6278">
        <w:rPr>
          <w:rFonts w:ascii="Book Antiqua" w:eastAsia="Times New Roman" w:hAnsi="Book Antiqua" w:cs="Times New Roman"/>
          <w:sz w:val="16"/>
          <w:szCs w:val="16"/>
        </w:rPr>
        <w:t xml:space="preserve">tive themes, and development of high-order </w:t>
      </w:r>
      <w:r w:rsidR="00640485" w:rsidRPr="002D6278">
        <w:rPr>
          <w:rFonts w:ascii="Book Antiqua" w:eastAsia="Times New Roman" w:hAnsi="Book Antiqua" w:cs="Times New Roman"/>
          <w:sz w:val="16"/>
          <w:szCs w:val="16"/>
        </w:rPr>
        <w:t>analytic</w:t>
      </w:r>
      <w:r w:rsidR="00BC30DF" w:rsidRPr="002D6278">
        <w:rPr>
          <w:rFonts w:ascii="Book Antiqua" w:eastAsia="Times New Roman" w:hAnsi="Book Antiqua" w:cs="Times New Roman"/>
          <w:sz w:val="16"/>
          <w:szCs w:val="16"/>
        </w:rPr>
        <w:t xml:space="preserve"> themes. This inductive-deductive synthesis was selected over statistical meta-analysis because the methodological heterogeneity of the sample (combining qualitative ethnographies, structural equation models, and econometric panels) precluded statistical pooling.</w:t>
      </w:r>
    </w:p>
    <w:p w14:paraId="1B9F3BBF" w14:textId="1E8C200C" w:rsidR="00042529" w:rsidRDefault="00042529" w:rsidP="00042529">
      <w:pPr>
        <w:jc w:val="both"/>
        <w:rPr>
          <w:rFonts w:ascii="Book Antiqua" w:eastAsia="Times New Roman" w:hAnsi="Book Antiqua" w:cs="Times New Roman"/>
          <w:b/>
          <w:bCs/>
          <w:sz w:val="16"/>
          <w:szCs w:val="16"/>
        </w:rPr>
      </w:pPr>
      <w:r w:rsidRPr="002D6278">
        <w:rPr>
          <w:rFonts w:ascii="Book Antiqua" w:eastAsia="Times New Roman" w:hAnsi="Book Antiqua" w:cs="Times New Roman"/>
          <w:b/>
          <w:bCs/>
          <w:sz w:val="16"/>
          <w:szCs w:val="16"/>
        </w:rPr>
        <w:t xml:space="preserve">Table </w:t>
      </w:r>
      <w:r w:rsidR="00E227A6">
        <w:rPr>
          <w:rFonts w:ascii="Book Antiqua" w:eastAsia="Times New Roman" w:hAnsi="Book Antiqua" w:cs="Times New Roman"/>
          <w:b/>
          <w:bCs/>
          <w:sz w:val="16"/>
          <w:szCs w:val="16"/>
        </w:rPr>
        <w:t>4</w:t>
      </w:r>
      <w:r w:rsidRPr="002D6278">
        <w:rPr>
          <w:rFonts w:ascii="Book Antiqua" w:eastAsia="Times New Roman" w:hAnsi="Book Antiqua" w:cs="Times New Roman"/>
          <w:b/>
          <w:bCs/>
          <w:sz w:val="16"/>
          <w:szCs w:val="16"/>
        </w:rPr>
        <w:t>: Analysis of Some Frequently Cited Papers</w:t>
      </w:r>
    </w:p>
    <w:tbl>
      <w:tblPr>
        <w:tblW w:w="9356"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2"/>
        <w:gridCol w:w="1857"/>
        <w:gridCol w:w="1286"/>
        <w:gridCol w:w="1701"/>
        <w:gridCol w:w="2551"/>
        <w:gridCol w:w="1549"/>
      </w:tblGrid>
      <w:tr w:rsidR="00BE504E" w:rsidRPr="00474922" w14:paraId="17722E3C" w14:textId="77777777" w:rsidTr="00E227A6">
        <w:trPr>
          <w:trHeight w:val="300"/>
        </w:trPr>
        <w:tc>
          <w:tcPr>
            <w:tcW w:w="412" w:type="dxa"/>
            <w:shd w:val="clear" w:color="000000" w:fill="1F4E78"/>
            <w:vAlign w:val="center"/>
            <w:hideMark/>
          </w:tcPr>
          <w:p w14:paraId="6AB54A2E" w14:textId="77777777" w:rsidR="00BE504E" w:rsidRPr="00474922" w:rsidRDefault="00BE504E" w:rsidP="00795394">
            <w:pPr>
              <w:spacing w:after="0" w:line="240" w:lineRule="auto"/>
              <w:jc w:val="center"/>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ID</w:t>
            </w:r>
          </w:p>
        </w:tc>
        <w:tc>
          <w:tcPr>
            <w:tcW w:w="1857" w:type="dxa"/>
            <w:shd w:val="clear" w:color="000000" w:fill="1F4E78"/>
            <w:vAlign w:val="center"/>
            <w:hideMark/>
          </w:tcPr>
          <w:p w14:paraId="47EBBB39" w14:textId="77777777" w:rsidR="00BE504E" w:rsidRPr="00474922" w:rsidRDefault="00BE504E" w:rsidP="00795394">
            <w:pPr>
              <w:spacing w:after="0" w:line="240" w:lineRule="auto"/>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Author, Year</w:t>
            </w:r>
          </w:p>
        </w:tc>
        <w:tc>
          <w:tcPr>
            <w:tcW w:w="1286" w:type="dxa"/>
            <w:shd w:val="clear" w:color="000000" w:fill="1F4E78"/>
            <w:vAlign w:val="center"/>
            <w:hideMark/>
          </w:tcPr>
          <w:p w14:paraId="397A64DB" w14:textId="77777777" w:rsidR="00BE504E" w:rsidRPr="00474922" w:rsidRDefault="00BE504E" w:rsidP="00795394">
            <w:pPr>
              <w:spacing w:after="0" w:line="240" w:lineRule="auto"/>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Methodology</w:t>
            </w:r>
          </w:p>
        </w:tc>
        <w:tc>
          <w:tcPr>
            <w:tcW w:w="1701" w:type="dxa"/>
            <w:shd w:val="clear" w:color="000000" w:fill="1F4E78"/>
            <w:vAlign w:val="center"/>
            <w:hideMark/>
          </w:tcPr>
          <w:p w14:paraId="277BF5A9" w14:textId="77777777" w:rsidR="00BE504E" w:rsidRPr="00474922" w:rsidRDefault="00BE504E" w:rsidP="00795394">
            <w:pPr>
              <w:spacing w:after="0" w:line="240" w:lineRule="auto"/>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Theoretical Lens</w:t>
            </w:r>
          </w:p>
        </w:tc>
        <w:tc>
          <w:tcPr>
            <w:tcW w:w="2551" w:type="dxa"/>
            <w:shd w:val="clear" w:color="000000" w:fill="1F4E78"/>
            <w:vAlign w:val="center"/>
            <w:hideMark/>
          </w:tcPr>
          <w:p w14:paraId="598C0E8A" w14:textId="77777777" w:rsidR="00BE504E" w:rsidRPr="00474922" w:rsidRDefault="00BE504E" w:rsidP="00795394">
            <w:pPr>
              <w:spacing w:after="0" w:line="240" w:lineRule="auto"/>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Principal Findings</w:t>
            </w:r>
          </w:p>
        </w:tc>
        <w:tc>
          <w:tcPr>
            <w:tcW w:w="1549" w:type="dxa"/>
            <w:shd w:val="clear" w:color="000000" w:fill="1F4E78"/>
            <w:vAlign w:val="center"/>
            <w:hideMark/>
          </w:tcPr>
          <w:p w14:paraId="6D169C2C" w14:textId="77777777" w:rsidR="00BE504E" w:rsidRPr="00474922" w:rsidRDefault="00BE504E" w:rsidP="00795394">
            <w:pPr>
              <w:spacing w:after="0" w:line="240" w:lineRule="auto"/>
              <w:rPr>
                <w:rFonts w:ascii="Book Antiqua" w:eastAsia="Times New Roman" w:hAnsi="Book Antiqua" w:cs="Times New Roman"/>
                <w:b/>
                <w:bCs/>
                <w:color w:val="FFFFFF"/>
                <w:kern w:val="0"/>
                <w:sz w:val="14"/>
                <w:szCs w:val="14"/>
                <w:lang w:eastAsia="en-GB"/>
                <w14:ligatures w14:val="none"/>
              </w:rPr>
            </w:pPr>
            <w:r w:rsidRPr="00474922">
              <w:rPr>
                <w:rFonts w:ascii="Book Antiqua" w:eastAsia="Times New Roman" w:hAnsi="Book Antiqua" w:cs="Times New Roman"/>
                <w:b/>
                <w:bCs/>
                <w:color w:val="FFFFFF"/>
                <w:kern w:val="0"/>
                <w:sz w:val="14"/>
                <w:szCs w:val="14"/>
                <w:lang w:eastAsia="en-GB"/>
                <w14:ligatures w14:val="none"/>
              </w:rPr>
              <w:t>Research Gaps</w:t>
            </w:r>
          </w:p>
        </w:tc>
      </w:tr>
      <w:tr w:rsidR="00BE504E" w:rsidRPr="00474922" w14:paraId="5E932B2E" w14:textId="77777777" w:rsidTr="00E227A6">
        <w:trPr>
          <w:trHeight w:val="647"/>
        </w:trPr>
        <w:tc>
          <w:tcPr>
            <w:tcW w:w="412" w:type="dxa"/>
            <w:shd w:val="clear" w:color="000000" w:fill="FFFFFF"/>
            <w:vAlign w:val="center"/>
            <w:hideMark/>
          </w:tcPr>
          <w:p w14:paraId="12647D28" w14:textId="77777777"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1</w:t>
            </w:r>
          </w:p>
        </w:tc>
        <w:tc>
          <w:tcPr>
            <w:tcW w:w="1857" w:type="dxa"/>
            <w:shd w:val="clear" w:color="000000" w:fill="FFFFFF"/>
            <w:vAlign w:val="center"/>
            <w:hideMark/>
          </w:tcPr>
          <w:p w14:paraId="34221457"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Kabeer (1999)</w:t>
            </w:r>
          </w:p>
        </w:tc>
        <w:tc>
          <w:tcPr>
            <w:tcW w:w="1286" w:type="dxa"/>
            <w:shd w:val="clear" w:color="000000" w:fill="FFFFFF"/>
            <w:vAlign w:val="center"/>
            <w:hideMark/>
          </w:tcPr>
          <w:p w14:paraId="1A7318E9" w14:textId="6F6FAA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Conceptual and theoretical framework development </w:t>
            </w:r>
            <w:r w:rsidR="006E29DB" w:rsidRPr="00474922">
              <w:rPr>
                <w:rFonts w:ascii="Book Antiqua" w:eastAsia="Times New Roman" w:hAnsi="Book Antiqua" w:cs="Times New Roman"/>
                <w:color w:val="000000"/>
                <w:kern w:val="0"/>
                <w:sz w:val="14"/>
                <w:szCs w:val="14"/>
                <w:lang w:eastAsia="en-GB"/>
                <w14:ligatures w14:val="none"/>
              </w:rPr>
              <w:t>(SA)</w:t>
            </w:r>
          </w:p>
        </w:tc>
        <w:tc>
          <w:tcPr>
            <w:tcW w:w="1701" w:type="dxa"/>
            <w:shd w:val="clear" w:color="000000" w:fill="FFFFFF"/>
            <w:vAlign w:val="center"/>
            <w:hideMark/>
          </w:tcPr>
          <w:p w14:paraId="4C8F6B2D"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Resources-Agency-Achievements (RAA) schema</w:t>
            </w:r>
          </w:p>
        </w:tc>
        <w:tc>
          <w:tcPr>
            <w:tcW w:w="2551" w:type="dxa"/>
            <w:shd w:val="clear" w:color="000000" w:fill="FFFFFF"/>
            <w:vAlign w:val="center"/>
            <w:hideMark/>
          </w:tcPr>
          <w:p w14:paraId="350F7098"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Distinguishes financial resources (access), agency (autonomous decision-making capacity), and achievements (concrete livelihood outcomes) in measuring empowerment.</w:t>
            </w:r>
          </w:p>
        </w:tc>
        <w:tc>
          <w:tcPr>
            <w:tcW w:w="1549" w:type="dxa"/>
            <w:shd w:val="clear" w:color="000000" w:fill="FFFFFF"/>
            <w:vAlign w:val="center"/>
            <w:hideMark/>
          </w:tcPr>
          <w:p w14:paraId="2C5F497E" w14:textId="5AAB6810" w:rsidR="00BE504E" w:rsidRPr="00474922" w:rsidRDefault="00124CB7"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Purely theoretical framework;</w:t>
            </w:r>
            <w:r w:rsidRPr="00474922">
              <w:rPr>
                <w:rFonts w:ascii="Book Antiqua" w:eastAsia="Times New Roman" w:hAnsi="Book Antiqua" w:cs="Times New Roman"/>
                <w:color w:val="000000"/>
                <w:kern w:val="0"/>
                <w:sz w:val="14"/>
                <w:szCs w:val="14"/>
                <w:lang w:eastAsia="en-GB"/>
                <w14:ligatures w14:val="none"/>
              </w:rPr>
              <w:t xml:space="preserve"> r</w:t>
            </w:r>
            <w:r w:rsidR="00BE504E" w:rsidRPr="00474922">
              <w:rPr>
                <w:rFonts w:ascii="Book Antiqua" w:eastAsia="Times New Roman" w:hAnsi="Book Antiqua" w:cs="Times New Roman"/>
                <w:color w:val="000000"/>
                <w:kern w:val="0"/>
                <w:sz w:val="14"/>
                <w:szCs w:val="14"/>
                <w:lang w:eastAsia="en-GB"/>
                <w14:ligatures w14:val="none"/>
              </w:rPr>
              <w:t>equires empirical customization to map directly onto modern digital/FinTech platforms.</w:t>
            </w:r>
          </w:p>
        </w:tc>
      </w:tr>
      <w:tr w:rsidR="00BE504E" w:rsidRPr="00474922" w14:paraId="24F1BD5B" w14:textId="77777777" w:rsidTr="00E227A6">
        <w:trPr>
          <w:trHeight w:val="621"/>
        </w:trPr>
        <w:tc>
          <w:tcPr>
            <w:tcW w:w="412" w:type="dxa"/>
            <w:shd w:val="clear" w:color="000000" w:fill="FFFFFF"/>
            <w:vAlign w:val="center"/>
            <w:hideMark/>
          </w:tcPr>
          <w:p w14:paraId="4EEC7DB2" w14:textId="77777777"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2</w:t>
            </w:r>
          </w:p>
        </w:tc>
        <w:tc>
          <w:tcPr>
            <w:tcW w:w="1857" w:type="dxa"/>
            <w:shd w:val="clear" w:color="000000" w:fill="FFFFFF"/>
            <w:vAlign w:val="center"/>
            <w:hideMark/>
          </w:tcPr>
          <w:p w14:paraId="619EE469"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Kabeer (2020)</w:t>
            </w:r>
          </w:p>
        </w:tc>
        <w:tc>
          <w:tcPr>
            <w:tcW w:w="1286" w:type="dxa"/>
            <w:shd w:val="clear" w:color="000000" w:fill="FFFFFF"/>
            <w:vAlign w:val="center"/>
            <w:hideMark/>
          </w:tcPr>
          <w:p w14:paraId="27AD8CAD" w14:textId="031EF6C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Critical academic review</w:t>
            </w:r>
            <w:r w:rsidR="008D559D"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Feminist critique</w:t>
            </w:r>
            <w:r w:rsidR="006E29DB" w:rsidRPr="00474922">
              <w:rPr>
                <w:rFonts w:ascii="Book Antiqua" w:eastAsia="Times New Roman" w:hAnsi="Book Antiqua" w:cs="Times New Roman"/>
                <w:color w:val="000000"/>
                <w:kern w:val="0"/>
                <w:sz w:val="14"/>
                <w:szCs w:val="14"/>
                <w:lang w:eastAsia="en-GB"/>
                <w14:ligatures w14:val="none"/>
              </w:rPr>
              <w:t xml:space="preserve"> (SA)</w:t>
            </w:r>
            <w:r w:rsidRPr="00474922">
              <w:rPr>
                <w:rFonts w:ascii="Book Antiqua" w:eastAsia="Times New Roman" w:hAnsi="Book Antiqua" w:cs="Times New Roman"/>
                <w:color w:val="000000"/>
                <w:kern w:val="0"/>
                <w:sz w:val="14"/>
                <w:szCs w:val="14"/>
                <w:lang w:eastAsia="en-GB"/>
                <w14:ligatures w14:val="none"/>
              </w:rPr>
              <w:t xml:space="preserve"> </w:t>
            </w:r>
          </w:p>
        </w:tc>
        <w:tc>
          <w:tcPr>
            <w:tcW w:w="1701" w:type="dxa"/>
            <w:shd w:val="clear" w:color="000000" w:fill="FFFFFF"/>
            <w:vAlign w:val="center"/>
            <w:hideMark/>
          </w:tcPr>
          <w:p w14:paraId="47FA9E57"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Folk/Randomista economics critique</w:t>
            </w:r>
          </w:p>
        </w:tc>
        <w:tc>
          <w:tcPr>
            <w:tcW w:w="2551" w:type="dxa"/>
            <w:shd w:val="clear" w:color="000000" w:fill="FFFFFF"/>
            <w:vAlign w:val="center"/>
            <w:hideMark/>
          </w:tcPr>
          <w:p w14:paraId="7499531B" w14:textId="6FBA72A4"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Argues that</w:t>
            </w:r>
            <w:r w:rsidR="00FB148B"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 xml:space="preserve">standard financial inclusion </w:t>
            </w:r>
            <w:r w:rsidR="00B566C6" w:rsidRPr="00474922">
              <w:rPr>
                <w:rFonts w:ascii="Book Antiqua" w:eastAsia="Times New Roman" w:hAnsi="Book Antiqua" w:cs="Times New Roman"/>
                <w:color w:val="000000"/>
                <w:kern w:val="0"/>
                <w:sz w:val="14"/>
                <w:szCs w:val="14"/>
                <w:lang w:eastAsia="en-GB"/>
                <w14:ligatures w14:val="none"/>
              </w:rPr>
              <w:t xml:space="preserve">factors </w:t>
            </w:r>
            <w:r w:rsidRPr="00474922">
              <w:rPr>
                <w:rFonts w:ascii="Book Antiqua" w:eastAsia="Times New Roman" w:hAnsi="Book Antiqua" w:cs="Times New Roman"/>
                <w:color w:val="000000"/>
                <w:kern w:val="0"/>
                <w:sz w:val="14"/>
                <w:szCs w:val="14"/>
                <w:lang w:eastAsia="en-GB"/>
                <w14:ligatures w14:val="none"/>
              </w:rPr>
              <w:t xml:space="preserve">like account registration </w:t>
            </w:r>
            <w:r w:rsidR="00FE7E71" w:rsidRPr="00474922">
              <w:rPr>
                <w:rFonts w:ascii="Book Antiqua" w:eastAsia="Times New Roman" w:hAnsi="Book Antiqua" w:cs="Times New Roman"/>
                <w:color w:val="000000"/>
                <w:kern w:val="0"/>
                <w:sz w:val="14"/>
                <w:szCs w:val="14"/>
                <w:lang w:eastAsia="en-GB"/>
                <w14:ligatures w14:val="none"/>
              </w:rPr>
              <w:t>do not</w:t>
            </w:r>
            <w:r w:rsidRPr="00474922">
              <w:rPr>
                <w:rFonts w:ascii="Book Antiqua" w:eastAsia="Times New Roman" w:hAnsi="Book Antiqua" w:cs="Times New Roman"/>
                <w:color w:val="000000"/>
                <w:kern w:val="0"/>
                <w:sz w:val="14"/>
                <w:szCs w:val="14"/>
                <w:lang w:eastAsia="en-GB"/>
                <w14:ligatures w14:val="none"/>
              </w:rPr>
              <w:t xml:space="preserve"> capture active, autonomous female user or intra-household dynamics.</w:t>
            </w:r>
          </w:p>
        </w:tc>
        <w:tc>
          <w:tcPr>
            <w:tcW w:w="1549" w:type="dxa"/>
            <w:shd w:val="clear" w:color="000000" w:fill="FFFFFF"/>
            <w:vAlign w:val="center"/>
            <w:hideMark/>
          </w:tcPr>
          <w:p w14:paraId="39163B67"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Lacks primary quantitative statistical testing of specific app features.</w:t>
            </w:r>
          </w:p>
        </w:tc>
      </w:tr>
      <w:tr w:rsidR="00BE504E" w:rsidRPr="00474922" w14:paraId="1CCA9798" w14:textId="77777777" w:rsidTr="00E227A6">
        <w:trPr>
          <w:trHeight w:val="702"/>
        </w:trPr>
        <w:tc>
          <w:tcPr>
            <w:tcW w:w="412" w:type="dxa"/>
            <w:shd w:val="clear" w:color="000000" w:fill="FFFFFF"/>
            <w:vAlign w:val="center"/>
            <w:hideMark/>
          </w:tcPr>
          <w:p w14:paraId="68FA04DA" w14:textId="77777777"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3</w:t>
            </w:r>
          </w:p>
        </w:tc>
        <w:tc>
          <w:tcPr>
            <w:tcW w:w="1857" w:type="dxa"/>
            <w:shd w:val="clear" w:color="000000" w:fill="FFFFFF"/>
            <w:vAlign w:val="center"/>
            <w:hideMark/>
          </w:tcPr>
          <w:p w14:paraId="5A991342" w14:textId="7BC9AF03"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Roy </w:t>
            </w:r>
            <w:r w:rsidR="001506DA" w:rsidRPr="00474922">
              <w:rPr>
                <w:rFonts w:ascii="Book Antiqua" w:eastAsia="Times New Roman" w:hAnsi="Book Antiqua" w:cs="Times New Roman"/>
                <w:color w:val="000000"/>
                <w:kern w:val="0"/>
                <w:sz w:val="14"/>
                <w:szCs w:val="14"/>
                <w:lang w:eastAsia="en-GB"/>
                <w14:ligatures w14:val="none"/>
              </w:rPr>
              <w:t xml:space="preserve">and </w:t>
            </w:r>
            <w:r w:rsidRPr="00474922">
              <w:rPr>
                <w:rFonts w:ascii="Book Antiqua" w:eastAsia="Times New Roman" w:hAnsi="Book Antiqua" w:cs="Times New Roman"/>
                <w:color w:val="000000"/>
                <w:kern w:val="0"/>
                <w:sz w:val="14"/>
                <w:szCs w:val="14"/>
                <w:lang w:eastAsia="en-GB"/>
                <w14:ligatures w14:val="none"/>
              </w:rPr>
              <w:t>Patro (2022)</w:t>
            </w:r>
          </w:p>
        </w:tc>
        <w:tc>
          <w:tcPr>
            <w:tcW w:w="1286" w:type="dxa"/>
            <w:shd w:val="clear" w:color="000000" w:fill="FFFFFF"/>
            <w:vAlign w:val="center"/>
            <w:hideMark/>
          </w:tcPr>
          <w:p w14:paraId="3D84B2AE"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Systematic literature review (SA-SSA)</w:t>
            </w:r>
          </w:p>
        </w:tc>
        <w:tc>
          <w:tcPr>
            <w:tcW w:w="1701" w:type="dxa"/>
            <w:shd w:val="clear" w:color="000000" w:fill="FFFFFF"/>
            <w:vAlign w:val="center"/>
            <w:hideMark/>
          </w:tcPr>
          <w:p w14:paraId="26C77FAD"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Backward linkages (access) and forward linkages (empowerment) framework</w:t>
            </w:r>
          </w:p>
        </w:tc>
        <w:tc>
          <w:tcPr>
            <w:tcW w:w="2551" w:type="dxa"/>
            <w:shd w:val="clear" w:color="000000" w:fill="FFFFFF"/>
            <w:vAlign w:val="center"/>
            <w:hideMark/>
          </w:tcPr>
          <w:p w14:paraId="4E79C7BE"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Reports consistent gender gaps in access alongside unusually consistent positive associations between financial inclusion and downstream empowerment.</w:t>
            </w:r>
          </w:p>
        </w:tc>
        <w:tc>
          <w:tcPr>
            <w:tcW w:w="1549" w:type="dxa"/>
            <w:shd w:val="clear" w:color="000000" w:fill="FFFFFF"/>
            <w:vAlign w:val="center"/>
            <w:hideMark/>
          </w:tcPr>
          <w:p w14:paraId="30F0B132"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Does not isolate FinTech as distinct from financial inclusion in general; does not interrogate the socio-cultural mechanisms.</w:t>
            </w:r>
          </w:p>
        </w:tc>
      </w:tr>
      <w:tr w:rsidR="00BE504E" w:rsidRPr="00474922" w14:paraId="6D051C40" w14:textId="77777777" w:rsidTr="00E227A6">
        <w:trPr>
          <w:trHeight w:val="689"/>
        </w:trPr>
        <w:tc>
          <w:tcPr>
            <w:tcW w:w="412" w:type="dxa"/>
            <w:shd w:val="clear" w:color="000000" w:fill="FFFFFF"/>
            <w:vAlign w:val="center"/>
            <w:hideMark/>
          </w:tcPr>
          <w:p w14:paraId="23266030" w14:textId="77777777"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4</w:t>
            </w:r>
          </w:p>
        </w:tc>
        <w:tc>
          <w:tcPr>
            <w:tcW w:w="1857" w:type="dxa"/>
            <w:shd w:val="clear" w:color="000000" w:fill="FFFFFF"/>
            <w:vAlign w:val="center"/>
            <w:hideMark/>
          </w:tcPr>
          <w:p w14:paraId="1244CD3C"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Kulkarni, L. and Ghosh, A. (2021)</w:t>
            </w:r>
          </w:p>
        </w:tc>
        <w:tc>
          <w:tcPr>
            <w:tcW w:w="1286" w:type="dxa"/>
            <w:vAlign w:val="center"/>
            <w:hideMark/>
          </w:tcPr>
          <w:p w14:paraId="74822852"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Household-level empirical study (India)</w:t>
            </w:r>
          </w:p>
        </w:tc>
        <w:tc>
          <w:tcPr>
            <w:tcW w:w="1701" w:type="dxa"/>
            <w:vAlign w:val="center"/>
            <w:hideMark/>
          </w:tcPr>
          <w:p w14:paraId="4051D477"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Digital financial inclusion / digital literacy framework</w:t>
            </w:r>
          </w:p>
        </w:tc>
        <w:tc>
          <w:tcPr>
            <w:tcW w:w="2551" w:type="dxa"/>
            <w:vAlign w:val="center"/>
            <w:hideMark/>
          </w:tcPr>
          <w:p w14:paraId="1E50AAAE" w14:textId="0A1F19B5"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Gender gap in digital financial inclusion driven less by device access than by digital literacy, income, and women's lack of confidence</w:t>
            </w:r>
            <w:r w:rsidR="00637501" w:rsidRPr="00474922">
              <w:rPr>
                <w:rFonts w:ascii="Book Antiqua" w:eastAsia="Times New Roman" w:hAnsi="Book Antiqua" w:cs="Times New Roman"/>
                <w:color w:val="000000"/>
                <w:kern w:val="0"/>
                <w:sz w:val="14"/>
                <w:szCs w:val="14"/>
                <w:lang w:eastAsia="en-GB"/>
                <w14:ligatures w14:val="none"/>
              </w:rPr>
              <w:t>.</w:t>
            </w:r>
          </w:p>
        </w:tc>
        <w:tc>
          <w:tcPr>
            <w:tcW w:w="1549" w:type="dxa"/>
            <w:shd w:val="clear" w:color="000000" w:fill="FFFFFF"/>
            <w:vAlign w:val="center"/>
            <w:hideMark/>
          </w:tcPr>
          <w:p w14:paraId="17B099B3"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Does not investigate firm-level platform constraints or alternative provider business model incentives.</w:t>
            </w:r>
          </w:p>
        </w:tc>
      </w:tr>
      <w:tr w:rsidR="00BE504E" w:rsidRPr="00474922" w14:paraId="3D95D697" w14:textId="77777777" w:rsidTr="00E227A6">
        <w:trPr>
          <w:trHeight w:val="385"/>
        </w:trPr>
        <w:tc>
          <w:tcPr>
            <w:tcW w:w="412" w:type="dxa"/>
            <w:shd w:val="clear" w:color="000000" w:fill="FFFFFF"/>
            <w:vAlign w:val="center"/>
            <w:hideMark/>
          </w:tcPr>
          <w:p w14:paraId="7819B43D" w14:textId="77777777"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5</w:t>
            </w:r>
          </w:p>
        </w:tc>
        <w:tc>
          <w:tcPr>
            <w:tcW w:w="1857" w:type="dxa"/>
            <w:shd w:val="clear" w:color="000000" w:fill="FFFFFF"/>
            <w:vAlign w:val="center"/>
            <w:hideMark/>
          </w:tcPr>
          <w:p w14:paraId="0D248512" w14:textId="4CE89975"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Dey </w:t>
            </w:r>
            <w:r w:rsidR="001506DA" w:rsidRPr="00474922">
              <w:rPr>
                <w:rFonts w:ascii="Book Antiqua" w:eastAsia="Times New Roman" w:hAnsi="Book Antiqua" w:cs="Times New Roman"/>
                <w:color w:val="000000"/>
                <w:kern w:val="0"/>
                <w:sz w:val="14"/>
                <w:szCs w:val="14"/>
                <w:lang w:eastAsia="en-GB"/>
                <w14:ligatures w14:val="none"/>
              </w:rPr>
              <w:t xml:space="preserve">and </w:t>
            </w:r>
            <w:r w:rsidRPr="00474922">
              <w:rPr>
                <w:rFonts w:ascii="Book Antiqua" w:eastAsia="Times New Roman" w:hAnsi="Book Antiqua" w:cs="Times New Roman"/>
                <w:color w:val="000000"/>
                <w:kern w:val="0"/>
                <w:sz w:val="14"/>
                <w:szCs w:val="14"/>
                <w:lang w:eastAsia="en-GB"/>
                <w14:ligatures w14:val="none"/>
              </w:rPr>
              <w:t>Majumder (2024)</w:t>
            </w:r>
          </w:p>
        </w:tc>
        <w:tc>
          <w:tcPr>
            <w:tcW w:w="1286" w:type="dxa"/>
            <w:vAlign w:val="center"/>
            <w:hideMark/>
          </w:tcPr>
          <w:p w14:paraId="4D11AF39" w14:textId="3841C3CA" w:rsidR="00BE504E" w:rsidRPr="00474922" w:rsidRDefault="00344384"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Questionnaire survey; PLS-SEM</w:t>
            </w:r>
            <w:r w:rsidR="00522CAD"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(Bangladesh)</w:t>
            </w:r>
          </w:p>
        </w:tc>
        <w:tc>
          <w:tcPr>
            <w:tcW w:w="1701" w:type="dxa"/>
            <w:vAlign w:val="center"/>
            <w:hideMark/>
          </w:tcPr>
          <w:p w14:paraId="3A7BF393" w14:textId="5F2C166E" w:rsidR="00BE504E" w:rsidRPr="00474922" w:rsidRDefault="00B34FF5"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UTAUT</w:t>
            </w:r>
          </w:p>
        </w:tc>
        <w:tc>
          <w:tcPr>
            <w:tcW w:w="2551" w:type="dxa"/>
            <w:vAlign w:val="center"/>
            <w:hideMark/>
          </w:tcPr>
          <w:p w14:paraId="403C2E63" w14:textId="4DA169E6" w:rsidR="00BE504E" w:rsidRPr="00474922" w:rsidRDefault="00344384"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Social influence, trust and digital literacy significantly affect mobile banking adoption by women in Bangladesh.</w:t>
            </w:r>
          </w:p>
        </w:tc>
        <w:tc>
          <w:tcPr>
            <w:tcW w:w="1549" w:type="dxa"/>
            <w:shd w:val="clear" w:color="000000" w:fill="FFFFFF"/>
            <w:vAlign w:val="center"/>
            <w:hideMark/>
          </w:tcPr>
          <w:p w14:paraId="5FCC5997" w14:textId="291A8C99" w:rsidR="00BE504E" w:rsidRPr="00474922" w:rsidRDefault="00344384"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Limited to Bangladesh; lacks cross-country comparison.</w:t>
            </w:r>
          </w:p>
        </w:tc>
      </w:tr>
      <w:tr w:rsidR="00BE504E" w:rsidRPr="00474922" w14:paraId="20586E70" w14:textId="77777777" w:rsidTr="00E227A6">
        <w:trPr>
          <w:trHeight w:val="1150"/>
        </w:trPr>
        <w:tc>
          <w:tcPr>
            <w:tcW w:w="412" w:type="dxa"/>
            <w:shd w:val="clear" w:color="000000" w:fill="FFFFFF"/>
            <w:vAlign w:val="center"/>
            <w:hideMark/>
          </w:tcPr>
          <w:p w14:paraId="14C528C6" w14:textId="383EBB4B" w:rsidR="00BE504E" w:rsidRPr="00474922" w:rsidRDefault="00F24F0D"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6</w:t>
            </w:r>
          </w:p>
        </w:tc>
        <w:tc>
          <w:tcPr>
            <w:tcW w:w="1857" w:type="dxa"/>
            <w:shd w:val="clear" w:color="000000" w:fill="FFFFFF"/>
            <w:vAlign w:val="center"/>
            <w:hideMark/>
          </w:tcPr>
          <w:p w14:paraId="6AB9EA66" w14:textId="510EABDB" w:rsidR="00BE504E" w:rsidRPr="00474922" w:rsidRDefault="00522CAD"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Scott, K., Shinde, A., Ummer, O., Yadav, S., Sharma, M., Purty, N., Jairath, A., Chamberlain, S. and LeFevre, A.E. (2021)</w:t>
            </w:r>
          </w:p>
        </w:tc>
        <w:tc>
          <w:tcPr>
            <w:tcW w:w="1286" w:type="dxa"/>
            <w:vAlign w:val="center"/>
            <w:hideMark/>
          </w:tcPr>
          <w:p w14:paraId="79624D47" w14:textId="3E063CA6"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Empirical field study </w:t>
            </w:r>
            <w:r w:rsidR="00F24580" w:rsidRPr="00474922">
              <w:rPr>
                <w:rFonts w:ascii="Book Antiqua" w:eastAsia="Times New Roman" w:hAnsi="Book Antiqua" w:cs="Times New Roman"/>
                <w:color w:val="000000"/>
                <w:kern w:val="0"/>
                <w:sz w:val="14"/>
                <w:szCs w:val="14"/>
                <w:lang w:eastAsia="en-GB"/>
                <w14:ligatures w14:val="none"/>
              </w:rPr>
              <w:t xml:space="preserve">of </w:t>
            </w:r>
            <w:r w:rsidRPr="00474922">
              <w:rPr>
                <w:rFonts w:ascii="Book Antiqua" w:eastAsia="Times New Roman" w:hAnsi="Book Antiqua" w:cs="Times New Roman"/>
                <w:color w:val="000000"/>
                <w:kern w:val="0"/>
                <w:sz w:val="14"/>
                <w:szCs w:val="14"/>
                <w:lang w:eastAsia="en-GB"/>
                <w14:ligatures w14:val="none"/>
              </w:rPr>
              <w:t>Rural Central India</w:t>
            </w:r>
          </w:p>
        </w:tc>
        <w:tc>
          <w:tcPr>
            <w:tcW w:w="1701" w:type="dxa"/>
            <w:vAlign w:val="center"/>
            <w:hideMark/>
          </w:tcPr>
          <w:p w14:paraId="4B3B9128" w14:textId="210604DB"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Patriarchal norms and mobile phone affordances framework</w:t>
            </w:r>
          </w:p>
        </w:tc>
        <w:tc>
          <w:tcPr>
            <w:tcW w:w="2551" w:type="dxa"/>
            <w:vAlign w:val="center"/>
            <w:hideMark/>
          </w:tcPr>
          <w:p w14:paraId="473C88D1"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Reveals that patriarchal norms restrict women's device use through five mechanisms: narrow usage expectations, male ownership dependence, poorer handsets, low skills, and time constraints.</w:t>
            </w:r>
          </w:p>
        </w:tc>
        <w:tc>
          <w:tcPr>
            <w:tcW w:w="1549" w:type="dxa"/>
            <w:shd w:val="clear" w:color="000000" w:fill="FFFFFF"/>
            <w:vAlign w:val="center"/>
            <w:hideMark/>
          </w:tcPr>
          <w:p w14:paraId="7859993B"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Focuses broadly on mobile smartphone ownership rather than isolating specific digital banking or loan application behaviours.</w:t>
            </w:r>
          </w:p>
        </w:tc>
      </w:tr>
      <w:tr w:rsidR="00BE504E" w:rsidRPr="00474922" w14:paraId="2595BC7A" w14:textId="77777777" w:rsidTr="00E227A6">
        <w:trPr>
          <w:trHeight w:val="960"/>
        </w:trPr>
        <w:tc>
          <w:tcPr>
            <w:tcW w:w="412" w:type="dxa"/>
            <w:shd w:val="clear" w:color="000000" w:fill="FFFFFF"/>
            <w:vAlign w:val="center"/>
            <w:hideMark/>
          </w:tcPr>
          <w:p w14:paraId="7B9177DB" w14:textId="015150C9" w:rsidR="00BE504E" w:rsidRPr="00474922" w:rsidRDefault="00F24F0D"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7</w:t>
            </w:r>
          </w:p>
        </w:tc>
        <w:tc>
          <w:tcPr>
            <w:tcW w:w="1857" w:type="dxa"/>
            <w:shd w:val="clear" w:color="000000" w:fill="FFFFFF"/>
            <w:vAlign w:val="center"/>
            <w:hideMark/>
          </w:tcPr>
          <w:p w14:paraId="16AFFD1B" w14:textId="0D8A1003"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Sumi, R.S., Hoque,</w:t>
            </w:r>
            <w:r w:rsidR="00312AA0"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 xml:space="preserve">I. and </w:t>
            </w:r>
            <w:r w:rsidR="00312AA0" w:rsidRPr="00474922">
              <w:rPr>
                <w:rFonts w:ascii="Book Antiqua" w:eastAsia="Times New Roman" w:hAnsi="Book Antiqua" w:cs="Times New Roman"/>
                <w:color w:val="000000"/>
                <w:kern w:val="0"/>
                <w:sz w:val="14"/>
                <w:szCs w:val="14"/>
                <w:lang w:eastAsia="en-GB"/>
                <w14:ligatures w14:val="none"/>
              </w:rPr>
              <w:t>A</w:t>
            </w:r>
            <w:r w:rsidRPr="00474922">
              <w:rPr>
                <w:rFonts w:ascii="Book Antiqua" w:eastAsia="Times New Roman" w:hAnsi="Book Antiqua" w:cs="Times New Roman"/>
                <w:color w:val="000000"/>
                <w:kern w:val="0"/>
                <w:sz w:val="14"/>
                <w:szCs w:val="14"/>
                <w:lang w:eastAsia="en-GB"/>
                <w14:ligatures w14:val="none"/>
              </w:rPr>
              <w:t>hmed, M.</w:t>
            </w:r>
            <w:r w:rsidR="00312AA0"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(2025)</w:t>
            </w:r>
          </w:p>
        </w:tc>
        <w:tc>
          <w:tcPr>
            <w:tcW w:w="1286" w:type="dxa"/>
            <w:vAlign w:val="center"/>
            <w:hideMark/>
          </w:tcPr>
          <w:p w14:paraId="788DA1B0"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Mixed-methods survey (Rural Bangladesh)</w:t>
            </w:r>
          </w:p>
        </w:tc>
        <w:tc>
          <w:tcPr>
            <w:tcW w:w="1701" w:type="dxa"/>
            <w:vAlign w:val="center"/>
            <w:hideMark/>
          </w:tcPr>
          <w:p w14:paraId="6C80D592"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Socio-economic determinants framework with gender moderation</w:t>
            </w:r>
          </w:p>
        </w:tc>
        <w:tc>
          <w:tcPr>
            <w:tcW w:w="2551" w:type="dxa"/>
            <w:vAlign w:val="center"/>
            <w:hideMark/>
          </w:tcPr>
          <w:p w14:paraId="258E2CF7"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Digital literacy and device access are the strongest positive predictors of adoption, while patriarchal authority inhibits usage; 43% of women face male transaction control.</w:t>
            </w:r>
          </w:p>
        </w:tc>
        <w:tc>
          <w:tcPr>
            <w:tcW w:w="1549" w:type="dxa"/>
            <w:shd w:val="clear" w:color="000000" w:fill="FFFFFF"/>
            <w:vAlign w:val="center"/>
            <w:hideMark/>
          </w:tcPr>
          <w:p w14:paraId="5A5FBAFF"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Cross-sectional design; cannot verify long-term post-adoption causal shifts in household bargaining equity.</w:t>
            </w:r>
          </w:p>
        </w:tc>
      </w:tr>
      <w:tr w:rsidR="00BE504E" w:rsidRPr="00474922" w14:paraId="219C6B9A" w14:textId="77777777" w:rsidTr="00E227A6">
        <w:trPr>
          <w:trHeight w:val="770"/>
        </w:trPr>
        <w:tc>
          <w:tcPr>
            <w:tcW w:w="412" w:type="dxa"/>
            <w:shd w:val="clear" w:color="000000" w:fill="FFFFFF"/>
            <w:vAlign w:val="center"/>
            <w:hideMark/>
          </w:tcPr>
          <w:p w14:paraId="7C6C671D" w14:textId="14B69FD7" w:rsidR="00BE504E" w:rsidRPr="00474922" w:rsidRDefault="00F24F0D"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8</w:t>
            </w:r>
          </w:p>
        </w:tc>
        <w:tc>
          <w:tcPr>
            <w:tcW w:w="1857" w:type="dxa"/>
            <w:shd w:val="clear" w:color="000000" w:fill="FFFFFF"/>
            <w:vAlign w:val="center"/>
            <w:hideMark/>
          </w:tcPr>
          <w:p w14:paraId="65BCB8B9"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Chauhan, S., Akhtar, A. and Gupta, A. (2022)</w:t>
            </w:r>
          </w:p>
        </w:tc>
        <w:tc>
          <w:tcPr>
            <w:tcW w:w="1286" w:type="dxa"/>
            <w:vAlign w:val="center"/>
            <w:hideMark/>
          </w:tcPr>
          <w:p w14:paraId="14076E59"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SLR (88 digital banking studies)</w:t>
            </w:r>
          </w:p>
        </w:tc>
        <w:tc>
          <w:tcPr>
            <w:tcW w:w="1701" w:type="dxa"/>
            <w:vAlign w:val="center"/>
            <w:hideMark/>
          </w:tcPr>
          <w:p w14:paraId="7C20F756" w14:textId="46B92EDF"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Customer experience (CE) architecture </w:t>
            </w:r>
          </w:p>
        </w:tc>
        <w:tc>
          <w:tcPr>
            <w:tcW w:w="2551" w:type="dxa"/>
            <w:vAlign w:val="center"/>
            <w:hideMark/>
          </w:tcPr>
          <w:p w14:paraId="17BDA87D"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Categorizes digital banking customer experiences into functional, mechanic, and humanic cues that jointly shape provider performance.</w:t>
            </w:r>
          </w:p>
        </w:tc>
        <w:tc>
          <w:tcPr>
            <w:tcW w:w="1549" w:type="dxa"/>
            <w:shd w:val="clear" w:color="000000" w:fill="FFFFFF"/>
            <w:vAlign w:val="center"/>
            <w:hideMark/>
          </w:tcPr>
          <w:p w14:paraId="61F57BD4"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Does not specialize in gender-disaggregated or socio-cultural barriers unique to women in SA.</w:t>
            </w:r>
          </w:p>
        </w:tc>
      </w:tr>
      <w:tr w:rsidR="00BE504E" w:rsidRPr="00474922" w14:paraId="42E4A00C" w14:textId="77777777" w:rsidTr="00E227A6">
        <w:trPr>
          <w:trHeight w:val="309"/>
        </w:trPr>
        <w:tc>
          <w:tcPr>
            <w:tcW w:w="412" w:type="dxa"/>
            <w:shd w:val="clear" w:color="000000" w:fill="FFFFFF"/>
            <w:vAlign w:val="center"/>
            <w:hideMark/>
          </w:tcPr>
          <w:p w14:paraId="08D8C8E4" w14:textId="062C9253" w:rsidR="00BE504E" w:rsidRPr="00474922" w:rsidRDefault="00F24F0D"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9</w:t>
            </w:r>
          </w:p>
        </w:tc>
        <w:tc>
          <w:tcPr>
            <w:tcW w:w="1857" w:type="dxa"/>
            <w:shd w:val="clear" w:color="000000" w:fill="FFFFFF"/>
            <w:vAlign w:val="center"/>
            <w:hideMark/>
          </w:tcPr>
          <w:p w14:paraId="7F9F936A" w14:textId="34B70B61" w:rsidR="00BE504E" w:rsidRPr="00474922" w:rsidRDefault="006E0806"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kern w:val="0"/>
                <w:sz w:val="14"/>
                <w:szCs w:val="14"/>
                <w:lang w:eastAsia="en-GB"/>
                <w14:ligatures w14:val="none"/>
              </w:rPr>
              <w:t>Zhang, W., Siyal, S., Riaz, S., Ahmad, R., Hilmi, M.F. and Li, Z. (2023</w:t>
            </w:r>
            <w:r w:rsidRPr="00474922">
              <w:rPr>
                <w:rFonts w:ascii="Book Antiqua" w:eastAsia="Times New Roman" w:hAnsi="Book Antiqua" w:cs="Times New Roman"/>
                <w:kern w:val="0"/>
                <w:sz w:val="14"/>
                <w:szCs w:val="14"/>
                <w:lang w:eastAsia="en-GB"/>
                <w14:ligatures w14:val="none"/>
              </w:rPr>
              <w:t>)</w:t>
            </w:r>
          </w:p>
        </w:tc>
        <w:tc>
          <w:tcPr>
            <w:tcW w:w="1286" w:type="dxa"/>
            <w:vAlign w:val="center"/>
            <w:hideMark/>
          </w:tcPr>
          <w:p w14:paraId="27E73961" w14:textId="2575EE15"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Empirical quantitative analysis</w:t>
            </w:r>
            <w:r w:rsidR="001D4800" w:rsidRPr="00474922">
              <w:rPr>
                <w:rFonts w:ascii="Book Antiqua" w:eastAsia="Times New Roman" w:hAnsi="Book Antiqua" w:cs="Times New Roman"/>
                <w:color w:val="000000"/>
                <w:kern w:val="0"/>
                <w:sz w:val="14"/>
                <w:szCs w:val="14"/>
                <w:lang w:eastAsia="en-GB"/>
                <w14:ligatures w14:val="none"/>
              </w:rPr>
              <w:t xml:space="preserve"> of </w:t>
            </w:r>
            <w:r w:rsidRPr="00474922">
              <w:rPr>
                <w:rFonts w:ascii="Book Antiqua" w:eastAsia="Times New Roman" w:hAnsi="Book Antiqua" w:cs="Times New Roman"/>
                <w:color w:val="000000"/>
                <w:kern w:val="0"/>
                <w:sz w:val="14"/>
                <w:szCs w:val="14"/>
                <w:lang w:eastAsia="en-GB"/>
                <w14:ligatures w14:val="none"/>
              </w:rPr>
              <w:t>Pakistan</w:t>
            </w:r>
          </w:p>
        </w:tc>
        <w:tc>
          <w:tcPr>
            <w:tcW w:w="1701" w:type="dxa"/>
            <w:vAlign w:val="center"/>
            <w:hideMark/>
          </w:tcPr>
          <w:p w14:paraId="6C90F90E" w14:textId="565E204E" w:rsidR="00BE504E" w:rsidRPr="00474922" w:rsidRDefault="005E63C8"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Data </w:t>
            </w:r>
            <w:r w:rsidRPr="00474922">
              <w:rPr>
                <w:rFonts w:ascii="Book Antiqua" w:eastAsia="Times New Roman" w:hAnsi="Book Antiqua" w:cs="Times New Roman"/>
                <w:color w:val="000000"/>
                <w:kern w:val="0"/>
                <w:sz w:val="14"/>
                <w:szCs w:val="14"/>
                <w:lang w:eastAsia="en-GB"/>
                <w14:ligatures w14:val="none"/>
              </w:rPr>
              <w:t>safety</w:t>
            </w:r>
            <w:r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consumer</w:t>
            </w:r>
            <w:r w:rsidRPr="00474922">
              <w:rPr>
                <w:rFonts w:ascii="Book Antiqua" w:eastAsia="Times New Roman" w:hAnsi="Book Antiqua" w:cs="Times New Roman"/>
                <w:color w:val="000000"/>
                <w:kern w:val="0"/>
                <w:sz w:val="14"/>
                <w:szCs w:val="14"/>
                <w:lang w:eastAsia="en-GB"/>
                <w14:ligatures w14:val="none"/>
              </w:rPr>
              <w:t xml:space="preserve"> trust, and adoption framework</w:t>
            </w:r>
          </w:p>
        </w:tc>
        <w:tc>
          <w:tcPr>
            <w:tcW w:w="2551" w:type="dxa"/>
            <w:vAlign w:val="center"/>
            <w:hideMark/>
          </w:tcPr>
          <w:p w14:paraId="10AF7E7B" w14:textId="282002EB"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Demonstrates that rigorous data </w:t>
            </w:r>
            <w:r w:rsidR="00CE192A" w:rsidRPr="00474922">
              <w:rPr>
                <w:rFonts w:ascii="Book Antiqua" w:eastAsia="Times New Roman" w:hAnsi="Book Antiqua" w:cs="Times New Roman"/>
                <w:color w:val="000000"/>
                <w:kern w:val="0"/>
                <w:sz w:val="14"/>
                <w:szCs w:val="14"/>
                <w:lang w:eastAsia="en-GB"/>
                <w14:ligatures w14:val="none"/>
              </w:rPr>
              <w:t>safety</w:t>
            </w:r>
            <w:r w:rsidRPr="00474922">
              <w:rPr>
                <w:rFonts w:ascii="Book Antiqua" w:eastAsia="Times New Roman" w:hAnsi="Book Antiqua" w:cs="Times New Roman"/>
                <w:color w:val="000000"/>
                <w:kern w:val="0"/>
                <w:sz w:val="14"/>
                <w:szCs w:val="14"/>
                <w:lang w:eastAsia="en-GB"/>
                <w14:ligatures w14:val="none"/>
              </w:rPr>
              <w:t xml:space="preserve"> and </w:t>
            </w:r>
            <w:r w:rsidR="00CE192A" w:rsidRPr="00474922">
              <w:rPr>
                <w:rFonts w:ascii="Book Antiqua" w:eastAsia="Times New Roman" w:hAnsi="Book Antiqua" w:cs="Times New Roman"/>
                <w:color w:val="000000"/>
                <w:kern w:val="0"/>
                <w:sz w:val="14"/>
                <w:szCs w:val="14"/>
                <w:lang w:eastAsia="en-GB"/>
                <w14:ligatures w14:val="none"/>
              </w:rPr>
              <w:t>consumer</w:t>
            </w:r>
            <w:r w:rsidRPr="00474922">
              <w:rPr>
                <w:rFonts w:ascii="Book Antiqua" w:eastAsia="Times New Roman" w:hAnsi="Book Antiqua" w:cs="Times New Roman"/>
                <w:color w:val="000000"/>
                <w:kern w:val="0"/>
                <w:sz w:val="14"/>
                <w:szCs w:val="14"/>
                <w:lang w:eastAsia="en-GB"/>
                <w14:ligatures w14:val="none"/>
              </w:rPr>
              <w:t xml:space="preserve"> trust are </w:t>
            </w:r>
            <w:r w:rsidR="00CE192A" w:rsidRPr="00474922">
              <w:rPr>
                <w:rFonts w:ascii="Book Antiqua" w:eastAsia="Times New Roman" w:hAnsi="Book Antiqua" w:cs="Times New Roman"/>
                <w:color w:val="000000"/>
                <w:kern w:val="0"/>
                <w:sz w:val="14"/>
                <w:szCs w:val="14"/>
                <w:lang w:eastAsia="en-GB"/>
                <w14:ligatures w14:val="none"/>
              </w:rPr>
              <w:t>shared,</w:t>
            </w:r>
            <w:r w:rsidRPr="00474922">
              <w:rPr>
                <w:rFonts w:ascii="Book Antiqua" w:eastAsia="Times New Roman" w:hAnsi="Book Antiqua" w:cs="Times New Roman"/>
                <w:color w:val="000000"/>
                <w:kern w:val="0"/>
                <w:sz w:val="14"/>
                <w:szCs w:val="14"/>
                <w:lang w:eastAsia="en-GB"/>
                <w14:ligatures w14:val="none"/>
              </w:rPr>
              <w:t xml:space="preserve"> critical drivers of digital finance platform adoption intentions.</w:t>
            </w:r>
          </w:p>
        </w:tc>
        <w:tc>
          <w:tcPr>
            <w:tcW w:w="1549" w:type="dxa"/>
            <w:shd w:val="clear" w:color="000000" w:fill="FFFFFF"/>
            <w:vAlign w:val="center"/>
            <w:hideMark/>
          </w:tcPr>
          <w:p w14:paraId="3793F9D8"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Based on existing bank account users; excludes unbanked or vulnerable rural women.</w:t>
            </w:r>
          </w:p>
        </w:tc>
      </w:tr>
      <w:tr w:rsidR="00BE504E" w:rsidRPr="00474922" w14:paraId="50D7367F" w14:textId="77777777" w:rsidTr="00E227A6">
        <w:trPr>
          <w:trHeight w:val="236"/>
        </w:trPr>
        <w:tc>
          <w:tcPr>
            <w:tcW w:w="412" w:type="dxa"/>
            <w:shd w:val="clear" w:color="000000" w:fill="FFFFFF"/>
            <w:vAlign w:val="center"/>
            <w:hideMark/>
          </w:tcPr>
          <w:p w14:paraId="57DCB843" w14:textId="5B69E05E" w:rsidR="00BE504E" w:rsidRPr="00474922" w:rsidRDefault="00BE504E" w:rsidP="00795394">
            <w:pPr>
              <w:spacing w:after="0" w:line="240" w:lineRule="auto"/>
              <w:jc w:val="center"/>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1</w:t>
            </w:r>
            <w:r w:rsidR="00F24F0D" w:rsidRPr="00474922">
              <w:rPr>
                <w:rFonts w:ascii="Book Antiqua" w:eastAsia="Times New Roman" w:hAnsi="Book Antiqua" w:cs="Times New Roman"/>
                <w:color w:val="000000"/>
                <w:kern w:val="0"/>
                <w:sz w:val="14"/>
                <w:szCs w:val="14"/>
                <w:lang w:eastAsia="en-GB"/>
                <w14:ligatures w14:val="none"/>
              </w:rPr>
              <w:t>0</w:t>
            </w:r>
          </w:p>
        </w:tc>
        <w:tc>
          <w:tcPr>
            <w:tcW w:w="1857" w:type="dxa"/>
            <w:shd w:val="clear" w:color="000000" w:fill="FFFFFF"/>
            <w:vAlign w:val="center"/>
            <w:hideMark/>
          </w:tcPr>
          <w:p w14:paraId="4995BC41"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Ghosh, S. and Vinod, D. (2017)</w:t>
            </w:r>
          </w:p>
        </w:tc>
        <w:tc>
          <w:tcPr>
            <w:tcW w:w="1286" w:type="dxa"/>
            <w:vAlign w:val="center"/>
            <w:hideMark/>
          </w:tcPr>
          <w:p w14:paraId="1063E242" w14:textId="093E11B1"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Quantitative, household</w:t>
            </w:r>
            <w:r w:rsidR="00B43455" w:rsidRPr="00474922">
              <w:rPr>
                <w:rFonts w:ascii="Book Antiqua" w:eastAsia="Times New Roman" w:hAnsi="Book Antiqua" w:cs="Times New Roman"/>
                <w:color w:val="000000"/>
                <w:kern w:val="0"/>
                <w:sz w:val="14"/>
                <w:szCs w:val="14"/>
                <w:lang w:eastAsia="en-GB"/>
                <w14:ligatures w14:val="none"/>
              </w:rPr>
              <w:t xml:space="preserve"> </w:t>
            </w:r>
            <w:r w:rsidRPr="00474922">
              <w:rPr>
                <w:rFonts w:ascii="Book Antiqua" w:eastAsia="Times New Roman" w:hAnsi="Book Antiqua" w:cs="Times New Roman"/>
                <w:color w:val="000000"/>
                <w:kern w:val="0"/>
                <w:sz w:val="14"/>
                <w:szCs w:val="14"/>
                <w:lang w:eastAsia="en-GB"/>
                <w14:ligatures w14:val="none"/>
              </w:rPr>
              <w:t xml:space="preserve">secondary micro-data </w:t>
            </w:r>
            <w:r w:rsidR="00E96435" w:rsidRPr="00474922">
              <w:rPr>
                <w:rFonts w:ascii="Book Antiqua" w:eastAsia="Times New Roman" w:hAnsi="Book Antiqua" w:cs="Times New Roman"/>
                <w:color w:val="000000"/>
                <w:kern w:val="0"/>
                <w:sz w:val="14"/>
                <w:szCs w:val="14"/>
                <w:lang w:eastAsia="en-GB"/>
                <w14:ligatures w14:val="none"/>
              </w:rPr>
              <w:t xml:space="preserve">study </w:t>
            </w:r>
            <w:r w:rsidRPr="00474922">
              <w:rPr>
                <w:rFonts w:ascii="Book Antiqua" w:eastAsia="Times New Roman" w:hAnsi="Book Antiqua" w:cs="Times New Roman"/>
                <w:color w:val="000000"/>
                <w:kern w:val="0"/>
                <w:sz w:val="14"/>
                <w:szCs w:val="14"/>
                <w:lang w:eastAsia="en-GB"/>
                <w14:ligatures w14:val="none"/>
              </w:rPr>
              <w:t>(India)</w:t>
            </w:r>
          </w:p>
        </w:tc>
        <w:tc>
          <w:tcPr>
            <w:tcW w:w="1701" w:type="dxa"/>
            <w:vAlign w:val="center"/>
            <w:hideMark/>
          </w:tcPr>
          <w:p w14:paraId="62EBACE1"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Intra-household bargaining/discrimination framework</w:t>
            </w:r>
          </w:p>
        </w:tc>
        <w:tc>
          <w:tcPr>
            <w:tcW w:w="2551" w:type="dxa"/>
            <w:vAlign w:val="center"/>
            <w:hideMark/>
          </w:tcPr>
          <w:p w14:paraId="065428B5" w14:textId="2C2F5790" w:rsidR="00BE504E" w:rsidRPr="00474922" w:rsidRDefault="00747238"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 xml:space="preserve">In terms of account ownership and usage in India, </w:t>
            </w:r>
            <w:r w:rsidR="00F91C18" w:rsidRPr="00474922">
              <w:rPr>
                <w:rFonts w:ascii="Book Antiqua" w:eastAsia="Times New Roman" w:hAnsi="Book Antiqua" w:cs="Times New Roman"/>
                <w:color w:val="000000"/>
                <w:kern w:val="0"/>
                <w:sz w:val="14"/>
                <w:szCs w:val="14"/>
                <w:lang w:eastAsia="en-GB"/>
                <w14:ligatures w14:val="none"/>
              </w:rPr>
              <w:t>r</w:t>
            </w:r>
            <w:r w:rsidR="00BE504E" w:rsidRPr="00474922">
              <w:rPr>
                <w:rFonts w:ascii="Book Antiqua" w:eastAsia="Times New Roman" w:hAnsi="Book Antiqua" w:cs="Times New Roman"/>
                <w:color w:val="000000"/>
                <w:kern w:val="0"/>
                <w:sz w:val="14"/>
                <w:szCs w:val="14"/>
                <w:lang w:eastAsia="en-GB"/>
                <w14:ligatures w14:val="none"/>
              </w:rPr>
              <w:t xml:space="preserve">eports a consistent gender </w:t>
            </w:r>
            <w:r w:rsidR="00617939" w:rsidRPr="00474922">
              <w:rPr>
                <w:rFonts w:ascii="Book Antiqua" w:eastAsia="Times New Roman" w:hAnsi="Book Antiqua" w:cs="Times New Roman"/>
                <w:color w:val="000000"/>
                <w:kern w:val="0"/>
                <w:sz w:val="14"/>
                <w:szCs w:val="14"/>
                <w:lang w:eastAsia="en-GB"/>
                <w14:ligatures w14:val="none"/>
              </w:rPr>
              <w:t>difference</w:t>
            </w:r>
            <w:r w:rsidR="002D2E9B" w:rsidRPr="00474922">
              <w:rPr>
                <w:rFonts w:ascii="Book Antiqua" w:eastAsia="Times New Roman" w:hAnsi="Book Antiqua" w:cs="Times New Roman"/>
                <w:color w:val="000000"/>
                <w:kern w:val="0"/>
                <w:sz w:val="14"/>
                <w:szCs w:val="14"/>
                <w:lang w:eastAsia="en-GB"/>
                <w14:ligatures w14:val="none"/>
              </w:rPr>
              <w:t xml:space="preserve"> </w:t>
            </w:r>
            <w:r w:rsidR="00F57A04" w:rsidRPr="00474922">
              <w:rPr>
                <w:rFonts w:ascii="Book Antiqua" w:eastAsia="Times New Roman" w:hAnsi="Book Antiqua" w:cs="Times New Roman"/>
                <w:color w:val="000000"/>
                <w:kern w:val="0"/>
                <w:sz w:val="14"/>
                <w:szCs w:val="14"/>
                <w:lang w:eastAsia="en-GB"/>
                <w14:ligatures w14:val="none"/>
              </w:rPr>
              <w:t xml:space="preserve">even </w:t>
            </w:r>
            <w:r w:rsidR="002D2E9B" w:rsidRPr="00474922">
              <w:rPr>
                <w:rFonts w:ascii="Book Antiqua" w:eastAsia="Times New Roman" w:hAnsi="Book Antiqua" w:cs="Times New Roman"/>
                <w:color w:val="000000"/>
                <w:kern w:val="0"/>
                <w:sz w:val="14"/>
                <w:szCs w:val="14"/>
                <w:lang w:eastAsia="en-GB"/>
                <w14:ligatures w14:val="none"/>
              </w:rPr>
              <w:t xml:space="preserve">with </w:t>
            </w:r>
            <w:r w:rsidR="00BE504E" w:rsidRPr="00474922">
              <w:rPr>
                <w:rFonts w:ascii="Book Antiqua" w:eastAsia="Times New Roman" w:hAnsi="Book Antiqua" w:cs="Times New Roman"/>
                <w:color w:val="000000"/>
                <w:kern w:val="0"/>
                <w:sz w:val="14"/>
                <w:szCs w:val="14"/>
                <w:lang w:eastAsia="en-GB"/>
                <w14:ligatures w14:val="none"/>
              </w:rPr>
              <w:t>controll</w:t>
            </w:r>
            <w:r w:rsidR="002D2E9B" w:rsidRPr="00474922">
              <w:rPr>
                <w:rFonts w:ascii="Book Antiqua" w:eastAsia="Times New Roman" w:hAnsi="Book Antiqua" w:cs="Times New Roman"/>
                <w:color w:val="000000"/>
                <w:kern w:val="0"/>
                <w:sz w:val="14"/>
                <w:szCs w:val="14"/>
                <w:lang w:eastAsia="en-GB"/>
                <w14:ligatures w14:val="none"/>
              </w:rPr>
              <w:t>ed</w:t>
            </w:r>
            <w:r w:rsidR="00BE504E" w:rsidRPr="00474922">
              <w:rPr>
                <w:rFonts w:ascii="Book Antiqua" w:eastAsia="Times New Roman" w:hAnsi="Book Antiqua" w:cs="Times New Roman"/>
                <w:color w:val="000000"/>
                <w:kern w:val="0"/>
                <w:sz w:val="14"/>
                <w:szCs w:val="14"/>
                <w:lang w:eastAsia="en-GB"/>
                <w14:ligatures w14:val="none"/>
              </w:rPr>
              <w:t xml:space="preserve"> income and education.</w:t>
            </w:r>
          </w:p>
        </w:tc>
        <w:tc>
          <w:tcPr>
            <w:tcW w:w="1549" w:type="dxa"/>
            <w:shd w:val="clear" w:color="000000" w:fill="FFFFFF"/>
            <w:vAlign w:val="center"/>
            <w:hideMark/>
          </w:tcPr>
          <w:p w14:paraId="65AA499F" w14:textId="77777777" w:rsidR="00BE504E" w:rsidRPr="00474922" w:rsidRDefault="00BE504E" w:rsidP="00795394">
            <w:pPr>
              <w:spacing w:after="0" w:line="240" w:lineRule="auto"/>
              <w:rPr>
                <w:rFonts w:ascii="Book Antiqua" w:eastAsia="Times New Roman" w:hAnsi="Book Antiqua" w:cs="Times New Roman"/>
                <w:color w:val="000000"/>
                <w:kern w:val="0"/>
                <w:sz w:val="14"/>
                <w:szCs w:val="14"/>
                <w:lang w:eastAsia="en-GB"/>
                <w14:ligatures w14:val="none"/>
              </w:rPr>
            </w:pPr>
            <w:r w:rsidRPr="00474922">
              <w:rPr>
                <w:rFonts w:ascii="Book Antiqua" w:eastAsia="Times New Roman" w:hAnsi="Book Antiqua" w:cs="Times New Roman"/>
                <w:color w:val="000000"/>
                <w:kern w:val="0"/>
                <w:sz w:val="14"/>
                <w:szCs w:val="14"/>
                <w:lang w:eastAsia="en-GB"/>
                <w14:ligatures w14:val="none"/>
              </w:rPr>
              <w:t>Does not account for the specific tech platform design elements that drive trust.</w:t>
            </w:r>
          </w:p>
        </w:tc>
      </w:tr>
    </w:tbl>
    <w:p w14:paraId="1CA91000" w14:textId="77777777" w:rsidR="00E227A6" w:rsidRDefault="00E227A6" w:rsidP="00C137B9">
      <w:pPr>
        <w:jc w:val="both"/>
        <w:rPr>
          <w:rFonts w:ascii="Book Antiqua" w:hAnsi="Book Antiqua" w:cs="Times New Roman"/>
          <w:b/>
          <w:bCs/>
          <w:color w:val="0070C0"/>
          <w:sz w:val="18"/>
          <w:szCs w:val="18"/>
        </w:rPr>
      </w:pPr>
    </w:p>
    <w:p w14:paraId="7A89FA71" w14:textId="2795108F" w:rsidR="00C137B9" w:rsidRPr="00C6481C" w:rsidRDefault="00C137B9" w:rsidP="00C137B9">
      <w:pPr>
        <w:jc w:val="both"/>
        <w:rPr>
          <w:rFonts w:ascii="Book Antiqua" w:hAnsi="Book Antiqua" w:cs="Times New Roman"/>
          <w:b/>
          <w:bCs/>
          <w:color w:val="0070C0"/>
          <w:sz w:val="18"/>
          <w:szCs w:val="18"/>
        </w:rPr>
      </w:pPr>
      <w:r w:rsidRPr="00C6481C">
        <w:rPr>
          <w:rFonts w:ascii="Book Antiqua" w:hAnsi="Book Antiqua" w:cs="Times New Roman"/>
          <w:b/>
          <w:bCs/>
          <w:color w:val="0070C0"/>
          <w:sz w:val="18"/>
          <w:szCs w:val="18"/>
        </w:rPr>
        <w:lastRenderedPageBreak/>
        <w:t xml:space="preserve">5. Discussion: </w:t>
      </w:r>
      <w:r w:rsidR="0040058E" w:rsidRPr="0040058E">
        <w:rPr>
          <w:rFonts w:ascii="Book Antiqua" w:hAnsi="Book Antiqua" w:cs="Times New Roman"/>
          <w:b/>
          <w:bCs/>
          <w:color w:val="0070C0"/>
          <w:sz w:val="18"/>
          <w:szCs w:val="18"/>
        </w:rPr>
        <w:t>Findings Synthesis</w:t>
      </w:r>
      <w:r w:rsidR="0040058E">
        <w:rPr>
          <w:rFonts w:ascii="Book Antiqua" w:hAnsi="Book Antiqua" w:cs="Times New Roman"/>
          <w:b/>
          <w:bCs/>
          <w:color w:val="0070C0"/>
          <w:sz w:val="18"/>
          <w:szCs w:val="18"/>
        </w:rPr>
        <w:t xml:space="preserve"> </w:t>
      </w:r>
      <w:r w:rsidRPr="00C6481C">
        <w:rPr>
          <w:rFonts w:ascii="Book Antiqua" w:hAnsi="Book Antiqua" w:cs="Times New Roman"/>
          <w:b/>
          <w:bCs/>
          <w:color w:val="0070C0"/>
          <w:sz w:val="18"/>
          <w:szCs w:val="18"/>
        </w:rPr>
        <w:t>and Strategic insights</w:t>
      </w:r>
    </w:p>
    <w:p w14:paraId="1A59BF4F" w14:textId="248FBFCD" w:rsidR="00C137B9" w:rsidRPr="002D6278" w:rsidRDefault="00C137B9" w:rsidP="00C137B9">
      <w:pPr>
        <w:jc w:val="both"/>
        <w:rPr>
          <w:rFonts w:ascii="Book Antiqua" w:hAnsi="Book Antiqua" w:cs="Times New Roman"/>
          <w:b/>
          <w:bCs/>
          <w:sz w:val="16"/>
          <w:szCs w:val="16"/>
        </w:rPr>
      </w:pPr>
      <w:r w:rsidRPr="002D6278">
        <w:rPr>
          <w:rFonts w:ascii="Book Antiqua" w:hAnsi="Book Antiqua" w:cs="Times New Roman"/>
          <w:b/>
          <w:bCs/>
          <w:sz w:val="16"/>
          <w:szCs w:val="16"/>
        </w:rPr>
        <w:t>5.1 Synthesi</w:t>
      </w:r>
      <w:r w:rsidR="00D8650C">
        <w:rPr>
          <w:rFonts w:ascii="Book Antiqua" w:hAnsi="Book Antiqua" w:cs="Times New Roman"/>
          <w:b/>
          <w:bCs/>
          <w:sz w:val="16"/>
          <w:szCs w:val="16"/>
        </w:rPr>
        <w:t xml:space="preserve">s </w:t>
      </w:r>
      <w:r w:rsidR="00DF21E6">
        <w:rPr>
          <w:rFonts w:ascii="Book Antiqua" w:hAnsi="Book Antiqua" w:cs="Times New Roman"/>
          <w:b/>
          <w:bCs/>
          <w:sz w:val="16"/>
          <w:szCs w:val="16"/>
        </w:rPr>
        <w:t>via</w:t>
      </w:r>
      <w:r w:rsidRPr="002D6278">
        <w:rPr>
          <w:rFonts w:ascii="Book Antiqua" w:hAnsi="Book Antiqua" w:cs="Times New Roman"/>
          <w:b/>
          <w:bCs/>
          <w:sz w:val="16"/>
          <w:szCs w:val="16"/>
        </w:rPr>
        <w:t xml:space="preserve"> CIMO Framework</w:t>
      </w:r>
    </w:p>
    <w:p w14:paraId="5D8CA701" w14:textId="77EFB0D2" w:rsidR="00102F28" w:rsidRDefault="00102F28" w:rsidP="00C137B9">
      <w:pPr>
        <w:jc w:val="both"/>
        <w:rPr>
          <w:rFonts w:ascii="Book Antiqua" w:hAnsi="Book Antiqua" w:cs="Times New Roman"/>
          <w:sz w:val="16"/>
          <w:szCs w:val="16"/>
        </w:rPr>
      </w:pPr>
      <w:r w:rsidRPr="00102F28">
        <w:rPr>
          <w:rFonts w:ascii="Book Antiqua" w:hAnsi="Book Antiqua" w:cs="Times New Roman"/>
          <w:sz w:val="16"/>
          <w:szCs w:val="16"/>
        </w:rPr>
        <w:t>To reconcile why macro-level econometric panel report surges in financial inclusion while qualitative studies show persistent exclusion, the CIMO framework reveals a critical illusion: gross account registration figures act as a false proxy for true financial empowerment. Nominal onboarding metrics obscure the daily realities of male SMS auditing, shared-device proxy usage, and forced credential surrender. Consequently, nominal accounts fail to generate economic achievements unless platform interfaces are re-engineered to safeguard user privacy against domestic surveillance.</w:t>
      </w:r>
    </w:p>
    <w:p w14:paraId="0B5564A0" w14:textId="0E51D4C9" w:rsidR="00C137B9" w:rsidRPr="002D6278" w:rsidRDefault="00C137B9" w:rsidP="00C137B9">
      <w:pPr>
        <w:jc w:val="both"/>
        <w:rPr>
          <w:rFonts w:ascii="Book Antiqua" w:hAnsi="Book Antiqua" w:cs="Times New Roman"/>
          <w:sz w:val="16"/>
          <w:szCs w:val="16"/>
        </w:rPr>
      </w:pPr>
      <w:r w:rsidRPr="002D6278">
        <w:rPr>
          <w:rFonts w:ascii="Book Antiqua" w:hAnsi="Book Antiqua" w:cs="Times New Roman"/>
          <w:b/>
          <w:bCs/>
          <w:sz w:val="16"/>
          <w:szCs w:val="16"/>
        </w:rPr>
        <w:t>Structural and Environmental Context (C)</w:t>
      </w:r>
      <w:r w:rsidRPr="002D6278">
        <w:rPr>
          <w:rFonts w:ascii="Book Antiqua" w:hAnsi="Book Antiqua" w:cs="Times New Roman"/>
          <w:sz w:val="16"/>
          <w:szCs w:val="16"/>
        </w:rPr>
        <w:t xml:space="preserve"> </w:t>
      </w:r>
    </w:p>
    <w:p w14:paraId="66020E7D" w14:textId="77777777" w:rsidR="00C137B9" w:rsidRPr="002D6278" w:rsidRDefault="00C137B9" w:rsidP="00C137B9">
      <w:pPr>
        <w:jc w:val="both"/>
        <w:rPr>
          <w:rFonts w:ascii="Book Antiqua" w:hAnsi="Book Antiqua" w:cs="Times New Roman"/>
          <w:sz w:val="16"/>
          <w:szCs w:val="16"/>
        </w:rPr>
      </w:pPr>
      <w:r w:rsidRPr="002D6278">
        <w:rPr>
          <w:rFonts w:ascii="Book Antiqua" w:hAnsi="Book Antiqua" w:cs="Times New Roman"/>
          <w:sz w:val="16"/>
          <w:szCs w:val="16"/>
        </w:rPr>
        <w:t>Socio-cultural determinants form a highly restrictive environment that filters and suppresses women's independent interaction with digital tools. This literature highlights five interlocking structural barriers across the South Asian context:</w:t>
      </w:r>
    </w:p>
    <w:p w14:paraId="77F2BA07" w14:textId="77777777" w:rsidR="00C137B9" w:rsidRPr="002D6278" w:rsidRDefault="00C137B9" w:rsidP="00C137B9">
      <w:pPr>
        <w:pStyle w:val="ListParagraph"/>
        <w:numPr>
          <w:ilvl w:val="0"/>
          <w:numId w:val="26"/>
        </w:numPr>
        <w:ind w:left="284" w:hanging="142"/>
        <w:jc w:val="both"/>
        <w:rPr>
          <w:rFonts w:ascii="Book Antiqua" w:hAnsi="Book Antiqua" w:cs="Times New Roman"/>
          <w:sz w:val="16"/>
          <w:szCs w:val="16"/>
        </w:rPr>
      </w:pPr>
      <w:r w:rsidRPr="002D6278">
        <w:rPr>
          <w:rFonts w:ascii="Book Antiqua" w:hAnsi="Book Antiqua" w:cs="Times New Roman"/>
          <w:b/>
          <w:bCs/>
          <w:sz w:val="16"/>
          <w:szCs w:val="16"/>
        </w:rPr>
        <w:t>Patriarchal Household Authority:</w:t>
      </w:r>
      <w:r w:rsidRPr="002D6278">
        <w:rPr>
          <w:rFonts w:ascii="Book Antiqua" w:hAnsi="Book Antiqua" w:cs="Times New Roman"/>
          <w:sz w:val="16"/>
          <w:szCs w:val="16"/>
        </w:rPr>
        <w:t xml:space="preserve"> Male kin act as primary financial gatekeepers, meaning device or account access rarely equates to autonomous economic choice.</w:t>
      </w:r>
    </w:p>
    <w:p w14:paraId="35D78665" w14:textId="77777777" w:rsidR="00C137B9" w:rsidRPr="002D6278" w:rsidRDefault="00C137B9" w:rsidP="00C137B9">
      <w:pPr>
        <w:pStyle w:val="ListParagraph"/>
        <w:numPr>
          <w:ilvl w:val="0"/>
          <w:numId w:val="26"/>
        </w:numPr>
        <w:ind w:left="284" w:hanging="142"/>
        <w:jc w:val="both"/>
        <w:rPr>
          <w:rFonts w:ascii="Book Antiqua" w:hAnsi="Book Antiqua" w:cs="Times New Roman"/>
          <w:sz w:val="16"/>
          <w:szCs w:val="16"/>
        </w:rPr>
      </w:pPr>
      <w:r w:rsidRPr="002D6278">
        <w:rPr>
          <w:rFonts w:ascii="Book Antiqua" w:hAnsi="Book Antiqua" w:cs="Times New Roman"/>
          <w:b/>
          <w:bCs/>
          <w:sz w:val="16"/>
          <w:szCs w:val="16"/>
        </w:rPr>
        <w:t>Digital Literacy Gaps:</w:t>
      </w:r>
      <w:r w:rsidRPr="002D6278">
        <w:rPr>
          <w:rFonts w:ascii="Book Antiqua" w:hAnsi="Book Antiqua" w:cs="Times New Roman"/>
          <w:sz w:val="16"/>
          <w:szCs w:val="16"/>
        </w:rPr>
        <w:t xml:space="preserve"> Layered educational inequalities create deep digital navigation gaps and interface anxieties for female users.</w:t>
      </w:r>
    </w:p>
    <w:p w14:paraId="284BA13E" w14:textId="77777777" w:rsidR="00C137B9" w:rsidRPr="002D6278" w:rsidRDefault="00C137B9" w:rsidP="00C137B9">
      <w:pPr>
        <w:pStyle w:val="ListParagraph"/>
        <w:numPr>
          <w:ilvl w:val="0"/>
          <w:numId w:val="26"/>
        </w:numPr>
        <w:ind w:left="284" w:hanging="142"/>
        <w:jc w:val="both"/>
        <w:rPr>
          <w:rFonts w:ascii="Book Antiqua" w:hAnsi="Book Antiqua" w:cs="Times New Roman"/>
          <w:sz w:val="16"/>
          <w:szCs w:val="16"/>
        </w:rPr>
      </w:pPr>
      <w:r w:rsidRPr="002D6278">
        <w:rPr>
          <w:rFonts w:ascii="Book Antiqua" w:hAnsi="Book Antiqua" w:cs="Times New Roman"/>
          <w:b/>
          <w:bCs/>
          <w:sz w:val="16"/>
          <w:szCs w:val="16"/>
        </w:rPr>
        <w:t>Mobility Constraints:</w:t>
      </w:r>
      <w:r w:rsidRPr="002D6278">
        <w:rPr>
          <w:rFonts w:ascii="Book Antiqua" w:hAnsi="Book Antiqua" w:cs="Times New Roman"/>
          <w:sz w:val="16"/>
          <w:szCs w:val="16"/>
        </w:rPr>
        <w:t xml:space="preserve"> Normative frameworks like purdah limit physical movement, hindering independent access to fintech agents.</w:t>
      </w:r>
    </w:p>
    <w:p w14:paraId="7875851D" w14:textId="77777777" w:rsidR="00C137B9" w:rsidRPr="002D6278" w:rsidRDefault="00C137B9" w:rsidP="00C137B9">
      <w:pPr>
        <w:pStyle w:val="ListParagraph"/>
        <w:numPr>
          <w:ilvl w:val="0"/>
          <w:numId w:val="26"/>
        </w:numPr>
        <w:ind w:left="284" w:hanging="142"/>
        <w:jc w:val="both"/>
        <w:rPr>
          <w:rFonts w:ascii="Book Antiqua" w:hAnsi="Book Antiqua" w:cs="Times New Roman"/>
          <w:sz w:val="16"/>
          <w:szCs w:val="16"/>
        </w:rPr>
      </w:pPr>
      <w:r w:rsidRPr="002D6278">
        <w:rPr>
          <w:rFonts w:ascii="Book Antiqua" w:hAnsi="Book Antiqua" w:cs="Times New Roman"/>
          <w:b/>
          <w:bCs/>
          <w:sz w:val="16"/>
          <w:szCs w:val="16"/>
        </w:rPr>
        <w:t>Institutional Distrust:</w:t>
      </w:r>
      <w:r w:rsidRPr="002D6278">
        <w:rPr>
          <w:rFonts w:ascii="Book Antiqua" w:hAnsi="Book Antiqua" w:cs="Times New Roman"/>
          <w:sz w:val="16"/>
          <w:szCs w:val="16"/>
        </w:rPr>
        <w:t xml:space="preserve"> Past exposure to predatory finance structures and fears of digital fraud breed heightened risk aversion.</w:t>
      </w:r>
    </w:p>
    <w:p w14:paraId="4F808F36" w14:textId="77777777" w:rsidR="00C137B9" w:rsidRPr="002D6278" w:rsidRDefault="00C137B9" w:rsidP="00C137B9">
      <w:pPr>
        <w:pStyle w:val="ListParagraph"/>
        <w:numPr>
          <w:ilvl w:val="0"/>
          <w:numId w:val="26"/>
        </w:numPr>
        <w:ind w:left="284" w:hanging="142"/>
        <w:jc w:val="both"/>
        <w:rPr>
          <w:rFonts w:ascii="Book Antiqua" w:hAnsi="Book Antiqua" w:cs="Times New Roman"/>
          <w:sz w:val="16"/>
          <w:szCs w:val="16"/>
        </w:rPr>
      </w:pPr>
      <w:r w:rsidRPr="002D6278">
        <w:rPr>
          <w:rFonts w:ascii="Book Antiqua" w:hAnsi="Book Antiqua" w:cs="Times New Roman"/>
          <w:b/>
          <w:bCs/>
          <w:sz w:val="16"/>
          <w:szCs w:val="16"/>
        </w:rPr>
        <w:t>Socio-Religious Heterogeneity:</w:t>
      </w:r>
      <w:r w:rsidRPr="002D6278">
        <w:rPr>
          <w:rFonts w:ascii="Book Antiqua" w:hAnsi="Book Antiqua" w:cs="Times New Roman"/>
          <w:sz w:val="16"/>
          <w:szCs w:val="16"/>
        </w:rPr>
        <w:t xml:space="preserve"> A lack of verified Shariah-compliant digital products deters adoption in conservative Muslim-majority communities.</w:t>
      </w:r>
    </w:p>
    <w:p w14:paraId="1202F731" w14:textId="77777777" w:rsidR="00C137B9" w:rsidRPr="002D6278" w:rsidRDefault="00C137B9" w:rsidP="00C137B9">
      <w:pPr>
        <w:jc w:val="both"/>
        <w:rPr>
          <w:rFonts w:ascii="Book Antiqua" w:hAnsi="Book Antiqua" w:cs="Times New Roman"/>
          <w:sz w:val="16"/>
          <w:szCs w:val="16"/>
        </w:rPr>
      </w:pPr>
      <w:r w:rsidRPr="002D6278">
        <w:rPr>
          <w:rFonts w:ascii="Book Antiqua" w:hAnsi="Book Antiqua" w:cs="Times New Roman"/>
          <w:b/>
          <w:bCs/>
          <w:sz w:val="16"/>
          <w:szCs w:val="16"/>
        </w:rPr>
        <w:t>The Intervention-Mechanism Link (I-&gt;M)</w:t>
      </w:r>
      <w:r w:rsidRPr="002D6278">
        <w:rPr>
          <w:rFonts w:ascii="Book Antiqua" w:hAnsi="Book Antiqua" w:cs="Times New Roman"/>
          <w:sz w:val="16"/>
          <w:szCs w:val="16"/>
        </w:rPr>
        <w:t xml:space="preserve"> </w:t>
      </w:r>
    </w:p>
    <w:p w14:paraId="16D1CDD9" w14:textId="77777777" w:rsidR="00C137B9" w:rsidRDefault="00C137B9" w:rsidP="00C137B9">
      <w:pPr>
        <w:jc w:val="both"/>
        <w:rPr>
          <w:rFonts w:ascii="Book Antiqua" w:hAnsi="Book Antiqua" w:cs="Times New Roman"/>
          <w:sz w:val="16"/>
          <w:szCs w:val="16"/>
        </w:rPr>
      </w:pPr>
      <w:r w:rsidRPr="002D6278">
        <w:rPr>
          <w:rFonts w:ascii="Book Antiqua" w:hAnsi="Book Antiqua" w:cs="Times New Roman"/>
          <w:sz w:val="16"/>
          <w:szCs w:val="16"/>
        </w:rPr>
        <w:t>When digital interventions (I) interface with this context, they trigger generative Mechanisms (M) that dictate whether technology translates into active agency. Standard commercial platforms often cause mechanic-cue failures (poor usability for shared-device households) and humanic-cue failures (male-dominated agent networks that create social barriers) because they fail to design for the female user.</w:t>
      </w:r>
    </w:p>
    <w:p w14:paraId="3B8DC04F" w14:textId="77777777" w:rsidR="00CA2E49" w:rsidRPr="00085297" w:rsidRDefault="00CA2E49" w:rsidP="00CA2E49">
      <w:pPr>
        <w:jc w:val="both"/>
        <w:rPr>
          <w:rFonts w:ascii="Book Antiqua" w:eastAsia="Times New Roman" w:hAnsi="Book Antiqua" w:cs="Times New Roman"/>
          <w:b/>
          <w:bCs/>
          <w:sz w:val="16"/>
          <w:szCs w:val="16"/>
        </w:rPr>
      </w:pPr>
      <w:r w:rsidRPr="002D6278">
        <w:rPr>
          <w:rFonts w:ascii="Book Antiqua" w:hAnsi="Book Antiqua" w:cs="Times New Roman"/>
          <w:sz w:val="16"/>
          <w:szCs w:val="16"/>
        </w:rPr>
        <w:t>Crucially, purely digital limitations are mitigated when routed through a Cash-Plus programme that embeds FinTech within broader human capital and social safety frameworks (</w:t>
      </w:r>
      <w:r w:rsidRPr="002D6278">
        <w:rPr>
          <w:rFonts w:ascii="Book Antiqua" w:hAnsi="Book Antiqua" w:cs="Times New Roman"/>
          <w:color w:val="0070C0"/>
          <w:sz w:val="16"/>
          <w:szCs w:val="16"/>
        </w:rPr>
        <w:t>Sabates</w:t>
      </w:r>
      <w:r w:rsidRPr="002D6278">
        <w:rPr>
          <w:rFonts w:ascii="Cambria Math" w:hAnsi="Cambria Math" w:cs="Cambria Math"/>
          <w:color w:val="0070C0"/>
          <w:sz w:val="16"/>
          <w:szCs w:val="16"/>
        </w:rPr>
        <w:t>‐</w:t>
      </w:r>
      <w:r w:rsidRPr="002D6278">
        <w:rPr>
          <w:rFonts w:ascii="Book Antiqua" w:hAnsi="Book Antiqua" w:cs="Times New Roman"/>
          <w:color w:val="0070C0"/>
          <w:sz w:val="16"/>
          <w:szCs w:val="16"/>
        </w:rPr>
        <w:t xml:space="preserve">Wheeler </w:t>
      </w:r>
      <w:r w:rsidRPr="002D6278">
        <w:rPr>
          <w:rFonts w:ascii="Book Antiqua" w:hAnsi="Book Antiqua" w:cs="Times New Roman"/>
          <w:i/>
          <w:iCs/>
          <w:color w:val="0070C0"/>
          <w:sz w:val="16"/>
          <w:szCs w:val="16"/>
        </w:rPr>
        <w:t>et al.,</w:t>
      </w:r>
      <w:r w:rsidRPr="002D6278">
        <w:rPr>
          <w:rFonts w:ascii="Book Antiqua" w:hAnsi="Book Antiqua" w:cs="Times New Roman"/>
          <w:color w:val="0070C0"/>
          <w:sz w:val="16"/>
          <w:szCs w:val="16"/>
        </w:rPr>
        <w:t xml:space="preserve"> 2025</w:t>
      </w:r>
      <w:r w:rsidRPr="002D6278">
        <w:rPr>
          <w:rFonts w:ascii="Book Antiqua" w:hAnsi="Book Antiqua" w:cs="Times New Roman"/>
          <w:sz w:val="16"/>
          <w:szCs w:val="16"/>
        </w:rPr>
        <w:t>). Integrating FinTech with ‘Plus’ services drives empowerment across two distinct pillars:</w:t>
      </w:r>
    </w:p>
    <w:p w14:paraId="481764D9" w14:textId="4CE9AE2F" w:rsidR="00CA2E49" w:rsidRPr="002D6278" w:rsidRDefault="00CA2E49" w:rsidP="00CA2E49">
      <w:pPr>
        <w:jc w:val="both"/>
        <w:rPr>
          <w:rFonts w:ascii="Book Antiqua" w:hAnsi="Book Antiqua" w:cs="Times New Roman"/>
          <w:sz w:val="16"/>
          <w:szCs w:val="16"/>
        </w:rPr>
      </w:pPr>
      <w:r w:rsidRPr="002D6278">
        <w:rPr>
          <w:rFonts w:ascii="Book Antiqua" w:hAnsi="Book Antiqua" w:cs="Times New Roman"/>
          <w:b/>
          <w:bCs/>
          <w:sz w:val="16"/>
          <w:szCs w:val="16"/>
        </w:rPr>
        <w:t xml:space="preserve">i. Group-Based Savings </w:t>
      </w:r>
      <w:r w:rsidR="00723D64">
        <w:rPr>
          <w:rFonts w:ascii="Book Antiqua" w:hAnsi="Book Antiqua" w:cs="Times New Roman"/>
          <w:b/>
          <w:bCs/>
          <w:sz w:val="16"/>
          <w:szCs w:val="16"/>
        </w:rPr>
        <w:t>and</w:t>
      </w:r>
      <w:r w:rsidRPr="002D6278">
        <w:rPr>
          <w:rFonts w:ascii="Book Antiqua" w:hAnsi="Book Antiqua" w:cs="Times New Roman"/>
          <w:b/>
          <w:bCs/>
          <w:sz w:val="16"/>
          <w:szCs w:val="16"/>
        </w:rPr>
        <w:t xml:space="preserve"> Literacy:</w:t>
      </w:r>
      <w:r w:rsidRPr="002D6278">
        <w:rPr>
          <w:rFonts w:ascii="Book Antiqua" w:hAnsi="Book Antiqua" w:cs="Times New Roman"/>
          <w:sz w:val="16"/>
          <w:szCs w:val="16"/>
        </w:rPr>
        <w:t xml:space="preserve"> Village Savings and Loan Associations (VSLAs) provide safe spaces to save, access micro-loans, and build business skills via peer mentorship without male interference.</w:t>
      </w:r>
      <w:r w:rsidR="00514AC3">
        <w:rPr>
          <w:rFonts w:ascii="Book Antiqua" w:hAnsi="Book Antiqua" w:cs="Times New Roman"/>
          <w:sz w:val="16"/>
          <w:szCs w:val="16"/>
        </w:rPr>
        <w:t xml:space="preserve"> </w:t>
      </w:r>
      <w:r w:rsidR="00514AC3" w:rsidRPr="00514AC3">
        <w:rPr>
          <w:rFonts w:ascii="Book Antiqua" w:hAnsi="Book Antiqua" w:cs="Times New Roman"/>
          <w:sz w:val="16"/>
          <w:szCs w:val="16"/>
        </w:rPr>
        <w:t>This aligns with wider evidence that self-help group programmes support women</w:t>
      </w:r>
      <w:r w:rsidR="00F63E3D">
        <w:rPr>
          <w:rFonts w:ascii="Book Antiqua" w:hAnsi="Book Antiqua" w:cs="Times New Roman"/>
          <w:sz w:val="16"/>
          <w:szCs w:val="16"/>
        </w:rPr>
        <w:t xml:space="preserve"> </w:t>
      </w:r>
      <w:r w:rsidR="00514AC3" w:rsidRPr="00514AC3">
        <w:rPr>
          <w:rFonts w:ascii="Book Antiqua" w:hAnsi="Book Antiqua" w:cs="Times New Roman"/>
          <w:sz w:val="16"/>
          <w:szCs w:val="16"/>
        </w:rPr>
        <w:t>empowerment (</w:t>
      </w:r>
      <w:r w:rsidR="00514AC3" w:rsidRPr="00514AC3">
        <w:rPr>
          <w:rFonts w:ascii="Book Antiqua" w:hAnsi="Book Antiqua" w:cs="Times New Roman"/>
          <w:color w:val="0070C0"/>
          <w:sz w:val="16"/>
          <w:szCs w:val="16"/>
        </w:rPr>
        <w:t xml:space="preserve">Brody </w:t>
      </w:r>
      <w:r w:rsidR="00514AC3" w:rsidRPr="00514AC3">
        <w:rPr>
          <w:rFonts w:ascii="Book Antiqua" w:hAnsi="Book Antiqua" w:cs="Times New Roman"/>
          <w:i/>
          <w:iCs/>
          <w:color w:val="0070C0"/>
          <w:sz w:val="16"/>
          <w:szCs w:val="16"/>
        </w:rPr>
        <w:t>et al.,</w:t>
      </w:r>
      <w:r w:rsidR="00514AC3" w:rsidRPr="00514AC3">
        <w:rPr>
          <w:rFonts w:ascii="Book Antiqua" w:hAnsi="Book Antiqua" w:cs="Times New Roman"/>
          <w:color w:val="0070C0"/>
          <w:sz w:val="16"/>
          <w:szCs w:val="16"/>
        </w:rPr>
        <w:t xml:space="preserve"> 2017; Sanyal, 2009</w:t>
      </w:r>
      <w:r w:rsidR="00514AC3" w:rsidRPr="00514AC3">
        <w:rPr>
          <w:rFonts w:ascii="Book Antiqua" w:hAnsi="Book Antiqua" w:cs="Times New Roman"/>
          <w:sz w:val="16"/>
          <w:szCs w:val="16"/>
        </w:rPr>
        <w:t>), reinforcing the case for embedding FinTech within group-based social structures rather than deploying it as a standalone intervention.</w:t>
      </w:r>
    </w:p>
    <w:p w14:paraId="57682BF6" w14:textId="15226325" w:rsidR="00FF436C" w:rsidRDefault="00CA2E49" w:rsidP="00CA2E49">
      <w:pPr>
        <w:jc w:val="both"/>
        <w:rPr>
          <w:rFonts w:ascii="Book Antiqua" w:hAnsi="Book Antiqua" w:cs="Times New Roman"/>
          <w:b/>
          <w:bCs/>
          <w:sz w:val="16"/>
          <w:szCs w:val="16"/>
        </w:rPr>
      </w:pPr>
      <w:r w:rsidRPr="002D6278">
        <w:rPr>
          <w:rFonts w:ascii="Book Antiqua" w:hAnsi="Book Antiqua" w:cs="Times New Roman"/>
          <w:b/>
          <w:bCs/>
          <w:sz w:val="16"/>
          <w:szCs w:val="16"/>
        </w:rPr>
        <w:t xml:space="preserve">ii. Safe Spaces </w:t>
      </w:r>
      <w:r w:rsidR="00723D64">
        <w:rPr>
          <w:rFonts w:ascii="Book Antiqua" w:hAnsi="Book Antiqua" w:cs="Times New Roman"/>
          <w:b/>
          <w:bCs/>
          <w:sz w:val="16"/>
          <w:szCs w:val="16"/>
        </w:rPr>
        <w:t>and</w:t>
      </w:r>
      <w:r w:rsidRPr="002D6278">
        <w:rPr>
          <w:rFonts w:ascii="Book Antiqua" w:hAnsi="Book Antiqua" w:cs="Times New Roman"/>
          <w:b/>
          <w:bCs/>
          <w:sz w:val="16"/>
          <w:szCs w:val="16"/>
        </w:rPr>
        <w:t xml:space="preserve"> Hidden Economies:</w:t>
      </w:r>
      <w:r w:rsidRPr="002D6278">
        <w:rPr>
          <w:rFonts w:ascii="Book Antiqua" w:hAnsi="Book Antiqua" w:cs="Times New Roman"/>
          <w:sz w:val="16"/>
          <w:szCs w:val="16"/>
        </w:rPr>
        <w:t xml:space="preserve"> Combining entrepreneurship training with safety dialogues helps women cultivate hidden economic activities and private digital savings. Keeping these resources confidential builds a financial buffer free from domestic backlash.</w:t>
      </w:r>
    </w:p>
    <w:p w14:paraId="345F4448" w14:textId="3E04C0E0" w:rsidR="00CA2E49" w:rsidRPr="002D6278" w:rsidRDefault="00CA2E49" w:rsidP="00CA2E49">
      <w:pPr>
        <w:jc w:val="both"/>
        <w:rPr>
          <w:rFonts w:ascii="Book Antiqua" w:hAnsi="Book Antiqua" w:cs="Times New Roman"/>
          <w:b/>
          <w:bCs/>
          <w:sz w:val="16"/>
          <w:szCs w:val="16"/>
        </w:rPr>
      </w:pPr>
      <w:r w:rsidRPr="002D6278">
        <w:rPr>
          <w:rFonts w:ascii="Book Antiqua" w:hAnsi="Book Antiqua" w:cs="Times New Roman"/>
          <w:b/>
          <w:bCs/>
          <w:sz w:val="16"/>
          <w:szCs w:val="16"/>
        </w:rPr>
        <w:t>Outcome (O) - Contested Evidence on Livelihood Effects</w:t>
      </w:r>
    </w:p>
    <w:p w14:paraId="45CB5EAA" w14:textId="60C52405" w:rsidR="00CA2E49" w:rsidRPr="002D6278" w:rsidRDefault="00CA2E49" w:rsidP="00CA2E49">
      <w:pPr>
        <w:jc w:val="both"/>
        <w:rPr>
          <w:rFonts w:ascii="Book Antiqua" w:hAnsi="Book Antiqua" w:cs="Times New Roman"/>
          <w:sz w:val="16"/>
          <w:szCs w:val="16"/>
        </w:rPr>
      </w:pPr>
      <w:r w:rsidRPr="002D6278">
        <w:rPr>
          <w:rFonts w:ascii="Book Antiqua" w:hAnsi="Book Antiqua" w:cs="Times New Roman"/>
          <w:sz w:val="16"/>
          <w:szCs w:val="16"/>
        </w:rPr>
        <w:t>At the outcome stage, the evidence is more contested, and it is useful to separate the three livelihood dimensions this review traces: income generation, enterprise activity, and household bargaining power. A plausible reconciliation is that collective metrics show positive effects on income and enterprise activity while conditional analyses reveal bargaining-power gains who already possess higher agency, typically through group-based support built by Cash Plus programming</w:t>
      </w:r>
      <w:r w:rsidR="00760606">
        <w:rPr>
          <w:rFonts w:ascii="Book Antiqua" w:hAnsi="Book Antiqua" w:cs="Times New Roman"/>
          <w:sz w:val="16"/>
          <w:szCs w:val="16"/>
        </w:rPr>
        <w:t xml:space="preserve">. This is consistent with </w:t>
      </w:r>
      <w:r w:rsidR="006C563F" w:rsidRPr="006C563F">
        <w:rPr>
          <w:rFonts w:ascii="Book Antiqua" w:hAnsi="Book Antiqua" w:cs="Times New Roman"/>
          <w:color w:val="0070C0"/>
          <w:sz w:val="16"/>
          <w:szCs w:val="16"/>
        </w:rPr>
        <w:t>Mishra and Sahoo</w:t>
      </w:r>
      <w:r w:rsidR="00A92EE1">
        <w:rPr>
          <w:rFonts w:ascii="Book Antiqua" w:hAnsi="Book Antiqua" w:cs="Times New Roman"/>
          <w:color w:val="0070C0"/>
          <w:sz w:val="16"/>
          <w:szCs w:val="16"/>
        </w:rPr>
        <w:t>’s (</w:t>
      </w:r>
      <w:r w:rsidR="006C563F" w:rsidRPr="006C563F">
        <w:rPr>
          <w:rFonts w:ascii="Book Antiqua" w:hAnsi="Book Antiqua" w:cs="Times New Roman"/>
          <w:color w:val="0070C0"/>
          <w:sz w:val="16"/>
          <w:szCs w:val="16"/>
        </w:rPr>
        <w:t>2025</w:t>
      </w:r>
      <w:r w:rsidR="00A92EE1">
        <w:rPr>
          <w:rFonts w:ascii="Book Antiqua" w:hAnsi="Book Antiqua" w:cs="Times New Roman"/>
          <w:color w:val="0070C0"/>
          <w:sz w:val="16"/>
          <w:szCs w:val="16"/>
        </w:rPr>
        <w:t xml:space="preserve">) </w:t>
      </w:r>
      <w:r w:rsidR="0023329E" w:rsidRPr="0023329E">
        <w:rPr>
          <w:rFonts w:ascii="Book Antiqua" w:hAnsi="Book Antiqua" w:cs="Times New Roman"/>
          <w:sz w:val="16"/>
          <w:szCs w:val="16"/>
        </w:rPr>
        <w:t xml:space="preserve">finding that mobile FinTech </w:t>
      </w:r>
      <w:r w:rsidR="00CB502B" w:rsidRPr="0023329E">
        <w:rPr>
          <w:rFonts w:ascii="Book Antiqua" w:hAnsi="Book Antiqua" w:cs="Times New Roman"/>
          <w:sz w:val="16"/>
          <w:szCs w:val="16"/>
        </w:rPr>
        <w:t>use</w:t>
      </w:r>
      <w:r w:rsidR="0023329E" w:rsidRPr="0023329E">
        <w:rPr>
          <w:rFonts w:ascii="Book Antiqua" w:hAnsi="Book Antiqua" w:cs="Times New Roman"/>
          <w:sz w:val="16"/>
          <w:szCs w:val="16"/>
        </w:rPr>
        <w:t xml:space="preserve"> </w:t>
      </w:r>
      <w:r w:rsidR="009B1604" w:rsidRPr="009B1604">
        <w:rPr>
          <w:rFonts w:ascii="Book Antiqua" w:hAnsi="Book Antiqua" w:cs="Times New Roman"/>
          <w:sz w:val="16"/>
          <w:szCs w:val="16"/>
        </w:rPr>
        <w:t>serves as a mediating mechanism through which financ</w:t>
      </w:r>
      <w:r w:rsidR="00F6152D">
        <w:rPr>
          <w:rFonts w:ascii="Book Antiqua" w:hAnsi="Book Antiqua" w:cs="Times New Roman"/>
          <w:sz w:val="16"/>
          <w:szCs w:val="16"/>
        </w:rPr>
        <w:t>ial access</w:t>
      </w:r>
      <w:r w:rsidR="009B1604" w:rsidRPr="009B1604">
        <w:rPr>
          <w:rFonts w:ascii="Book Antiqua" w:hAnsi="Book Antiqua" w:cs="Times New Roman"/>
          <w:sz w:val="16"/>
          <w:szCs w:val="16"/>
        </w:rPr>
        <w:t xml:space="preserve"> enhances the sustainable performance of women entrepreneurs in India.</w:t>
      </w:r>
    </w:p>
    <w:p w14:paraId="25FB77CD" w14:textId="77777777" w:rsidR="00CA2E49" w:rsidRPr="002D6278" w:rsidRDefault="00CA2E49" w:rsidP="00CA2E49">
      <w:pPr>
        <w:jc w:val="both"/>
        <w:rPr>
          <w:rFonts w:ascii="Book Antiqua" w:hAnsi="Book Antiqua" w:cs="Times New Roman"/>
          <w:b/>
          <w:bCs/>
          <w:sz w:val="16"/>
          <w:szCs w:val="16"/>
        </w:rPr>
      </w:pPr>
      <w:r w:rsidRPr="002D6278">
        <w:rPr>
          <w:rFonts w:ascii="Book Antiqua" w:hAnsi="Book Antiqua" w:cs="Times New Roman"/>
          <w:b/>
          <w:bCs/>
          <w:sz w:val="16"/>
          <w:szCs w:val="16"/>
        </w:rPr>
        <w:t>Managerial Reinterpretation</w:t>
      </w:r>
    </w:p>
    <w:p w14:paraId="3B2FB75C" w14:textId="77777777" w:rsidR="00CA2E49" w:rsidRDefault="00CA2E49" w:rsidP="00CA2E49">
      <w:pPr>
        <w:jc w:val="both"/>
        <w:rPr>
          <w:rFonts w:ascii="Book Antiqua" w:hAnsi="Book Antiqua" w:cs="Times New Roman"/>
          <w:sz w:val="16"/>
          <w:szCs w:val="16"/>
        </w:rPr>
      </w:pPr>
      <w:r w:rsidRPr="002D6278">
        <w:rPr>
          <w:rFonts w:ascii="Book Antiqua" w:hAnsi="Book Antiqua" w:cs="Times New Roman"/>
          <w:sz w:val="16"/>
          <w:szCs w:val="16"/>
        </w:rPr>
        <w:t>The findings matter deeply for organizational practice because they prove that current corporate performance metrics, specifically active wallet counts are fundamentally compromised by male proxy operations. FinTech managers must recognize that interface trust is not a static psychological variable, but a structural feature that platform design actively influences. This means that if a firm's UI/UX failure (mechanic cues) or retail network reliance on male agents (humanic cues) forces a female user to hand her credentials to a male relative, the firm has failed its market acquisition strategy.</w:t>
      </w:r>
    </w:p>
    <w:p w14:paraId="00B86BFF" w14:textId="77777777" w:rsidR="005D4F1E" w:rsidRDefault="004279C3" w:rsidP="00CA7FBB">
      <w:pPr>
        <w:jc w:val="both"/>
        <w:rPr>
          <w:rFonts w:ascii="Book Antiqua" w:hAnsi="Book Antiqua" w:cs="Times New Roman"/>
          <w:sz w:val="16"/>
          <w:szCs w:val="16"/>
        </w:rPr>
      </w:pPr>
      <w:r w:rsidRPr="004279C3">
        <w:rPr>
          <w:rFonts w:ascii="Book Antiqua" w:hAnsi="Book Antiqua" w:cs="Times New Roman"/>
          <w:sz w:val="16"/>
          <w:szCs w:val="16"/>
        </w:rPr>
        <w:t>This reframing also has implications for how firms measure success. Conventional key performance indicators, such as wallet activations or transaction volume, capture the outputs of a compromised system rather than genuine market penetration. A more accurate diagnostic would track the ratio of self-initiated transactions to proxy-assisted transactions, disaggregated by gender, alongside qualitative indicators of credential ownership. Firms that continue to report gross registration growth without interrogating who is operating the account risk building a female customer base that is, in practice, largely nominal.</w:t>
      </w:r>
    </w:p>
    <w:p w14:paraId="04E1B65B" w14:textId="096EF4F7" w:rsidR="00CA7FBB" w:rsidRPr="005D4F1E" w:rsidRDefault="00CA7FBB" w:rsidP="00CA7FBB">
      <w:pPr>
        <w:jc w:val="both"/>
        <w:rPr>
          <w:rFonts w:ascii="Book Antiqua" w:hAnsi="Book Antiqua" w:cs="Times New Roman"/>
          <w:sz w:val="16"/>
          <w:szCs w:val="16"/>
        </w:rPr>
      </w:pPr>
      <w:r w:rsidRPr="00C6481C">
        <w:rPr>
          <w:rFonts w:ascii="Book Antiqua" w:hAnsi="Book Antiqua" w:cs="Times New Roman"/>
          <w:b/>
          <w:bCs/>
          <w:color w:val="0070C0"/>
          <w:sz w:val="18"/>
          <w:szCs w:val="18"/>
        </w:rPr>
        <w:lastRenderedPageBreak/>
        <w:t>6. Expected Contributions</w:t>
      </w:r>
      <w:r>
        <w:rPr>
          <w:rFonts w:ascii="Book Antiqua" w:hAnsi="Book Antiqua" w:cs="Times New Roman"/>
          <w:b/>
          <w:bCs/>
          <w:color w:val="0070C0"/>
          <w:sz w:val="18"/>
          <w:szCs w:val="18"/>
        </w:rPr>
        <w:t>,</w:t>
      </w:r>
      <w:r w:rsidRPr="00C6481C">
        <w:rPr>
          <w:rFonts w:ascii="Book Antiqua" w:hAnsi="Book Antiqua" w:cs="Times New Roman"/>
          <w:b/>
          <w:bCs/>
          <w:color w:val="0070C0"/>
          <w:sz w:val="18"/>
          <w:szCs w:val="18"/>
        </w:rPr>
        <w:t xml:space="preserve"> Managerial Implications</w:t>
      </w:r>
      <w:r>
        <w:rPr>
          <w:rFonts w:ascii="Book Antiqua" w:hAnsi="Book Antiqua" w:cs="Times New Roman"/>
          <w:b/>
          <w:bCs/>
          <w:color w:val="0070C0"/>
          <w:sz w:val="18"/>
          <w:szCs w:val="18"/>
        </w:rPr>
        <w:t xml:space="preserve"> and Limitations</w:t>
      </w:r>
    </w:p>
    <w:p w14:paraId="621D6D0A" w14:textId="77777777" w:rsidR="00CA7FBB" w:rsidRPr="002D6278" w:rsidRDefault="00CA7FBB" w:rsidP="00CA7FBB">
      <w:pPr>
        <w:jc w:val="both"/>
        <w:rPr>
          <w:rFonts w:ascii="Book Antiqua" w:hAnsi="Book Antiqua" w:cs="Times New Roman"/>
          <w:b/>
          <w:bCs/>
          <w:sz w:val="16"/>
          <w:szCs w:val="16"/>
        </w:rPr>
      </w:pPr>
      <w:r>
        <w:rPr>
          <w:rFonts w:ascii="Book Antiqua" w:hAnsi="Book Antiqua" w:cs="Times New Roman"/>
          <w:b/>
          <w:bCs/>
          <w:sz w:val="16"/>
          <w:szCs w:val="16"/>
        </w:rPr>
        <w:t xml:space="preserve">6.1 </w:t>
      </w:r>
      <w:r w:rsidRPr="002D6278">
        <w:rPr>
          <w:rFonts w:ascii="Book Antiqua" w:hAnsi="Book Antiqua" w:cs="Times New Roman"/>
          <w:b/>
          <w:bCs/>
          <w:sz w:val="16"/>
          <w:szCs w:val="16"/>
        </w:rPr>
        <w:t>Academic Contributions</w:t>
      </w:r>
    </w:p>
    <w:p w14:paraId="1DED0A60" w14:textId="77777777" w:rsidR="00CA7FBB" w:rsidRPr="002D6278" w:rsidRDefault="00CA7FBB" w:rsidP="00CA7FBB">
      <w:pPr>
        <w:jc w:val="both"/>
        <w:rPr>
          <w:rFonts w:ascii="Book Antiqua" w:hAnsi="Book Antiqua" w:cs="Times New Roman"/>
          <w:sz w:val="16"/>
          <w:szCs w:val="16"/>
        </w:rPr>
      </w:pPr>
      <w:r w:rsidRPr="002D6278">
        <w:rPr>
          <w:rFonts w:ascii="Book Antiqua" w:hAnsi="Book Antiqua" w:cs="Times New Roman"/>
          <w:sz w:val="16"/>
          <w:szCs w:val="16"/>
        </w:rPr>
        <w:t xml:space="preserve">This review expands traditional technology acceptance discourse by exposing its individualistic biases in patriarchal contexts. Layering </w:t>
      </w:r>
      <w:r w:rsidRPr="008D1F54">
        <w:rPr>
          <w:rFonts w:ascii="Book Antiqua" w:hAnsi="Book Antiqua" w:cs="Times New Roman"/>
          <w:color w:val="0070C0"/>
          <w:sz w:val="16"/>
          <w:szCs w:val="16"/>
        </w:rPr>
        <w:t xml:space="preserve">Kabeer’s (1999) </w:t>
      </w:r>
      <w:r w:rsidRPr="002D6278">
        <w:rPr>
          <w:rFonts w:ascii="Book Antiqua" w:hAnsi="Book Antiqua" w:cs="Times New Roman"/>
          <w:sz w:val="16"/>
          <w:szCs w:val="16"/>
        </w:rPr>
        <w:t>resources-agency-achievements framework over IT models proves that digital wallets are merely passive resources. True agency is generated only when a platform's design cues are structurally reinforced by group-level social safety nets.</w:t>
      </w:r>
    </w:p>
    <w:p w14:paraId="29B3D460" w14:textId="77777777" w:rsidR="00CA7FBB" w:rsidRDefault="00CA7FBB" w:rsidP="00CA7FBB">
      <w:pPr>
        <w:jc w:val="both"/>
        <w:rPr>
          <w:rFonts w:ascii="Book Antiqua" w:hAnsi="Book Antiqua" w:cs="Times New Roman"/>
          <w:sz w:val="16"/>
          <w:szCs w:val="16"/>
        </w:rPr>
      </w:pPr>
      <w:r w:rsidRPr="002D6278">
        <w:rPr>
          <w:rFonts w:ascii="Book Antiqua" w:hAnsi="Book Antiqua" w:cs="Times New Roman"/>
          <w:sz w:val="16"/>
          <w:szCs w:val="16"/>
        </w:rPr>
        <w:t>Methodologically, the study advances the field by critically appraising the structural validity of the current evidence base, outlining clear geographic omissions (Nepal and Sri Lanka) and identifying an over-reliance on cross-sectional data. Conceptually, this integration bridges information systems research with feminist political economy, proving that digital financial inclusion initiatives, when decoupled from intra-household power metrics, risk causing a localized feminisation of debt rather than authentic economic emancipation (</w:t>
      </w:r>
      <w:r w:rsidRPr="002D6278">
        <w:rPr>
          <w:rFonts w:ascii="Book Antiqua" w:hAnsi="Book Antiqua" w:cs="Times New Roman"/>
          <w:color w:val="0070C0"/>
          <w:sz w:val="16"/>
          <w:szCs w:val="16"/>
        </w:rPr>
        <w:t>Natile, 2019</w:t>
      </w:r>
      <w:r w:rsidRPr="002D6278">
        <w:rPr>
          <w:rFonts w:ascii="Book Antiqua" w:hAnsi="Book Antiqua" w:cs="Times New Roman"/>
          <w:sz w:val="16"/>
          <w:szCs w:val="16"/>
        </w:rPr>
        <w:t>).</w:t>
      </w:r>
    </w:p>
    <w:p w14:paraId="682C4038" w14:textId="1D559E77" w:rsidR="008D1F54" w:rsidRPr="002D6278" w:rsidRDefault="00F5791D" w:rsidP="00CA7FBB">
      <w:pPr>
        <w:jc w:val="both"/>
        <w:rPr>
          <w:rFonts w:ascii="Book Antiqua" w:hAnsi="Book Antiqua" w:cs="Times New Roman"/>
          <w:sz w:val="16"/>
          <w:szCs w:val="16"/>
        </w:rPr>
      </w:pPr>
      <w:r w:rsidRPr="00F5791D">
        <w:rPr>
          <w:rFonts w:ascii="Book Antiqua" w:hAnsi="Book Antiqua" w:cs="Times New Roman"/>
          <w:sz w:val="16"/>
          <w:szCs w:val="16"/>
        </w:rPr>
        <w:t>This has a further conceptual payoff for the wider information systems and development literature: it suggests that adoption metrics popular in cross-country panel studies, such as account penetration or transaction frequency, should be treated as necessary but not sufficient indicators of inclusion. Researchers working with large secondary datasets, such as Global Findex, are therefore encouraged to pair quantitative access measures with smaller-scale qualitative validation studies before drawing empowerment conclusions, a triangulated approach this review's CIMO-Kabeer synthesis was specifically designed to model.</w:t>
      </w:r>
    </w:p>
    <w:p w14:paraId="72E735FF" w14:textId="77777777" w:rsidR="00CA7FBB" w:rsidRPr="002D6278" w:rsidRDefault="00CA7FBB" w:rsidP="00CA7FBB">
      <w:pPr>
        <w:jc w:val="both"/>
        <w:rPr>
          <w:rFonts w:ascii="Book Antiqua" w:hAnsi="Book Antiqua" w:cs="Times New Roman"/>
          <w:b/>
          <w:bCs/>
          <w:sz w:val="16"/>
          <w:szCs w:val="16"/>
        </w:rPr>
      </w:pPr>
      <w:r>
        <w:rPr>
          <w:rFonts w:ascii="Book Antiqua" w:hAnsi="Book Antiqua" w:cs="Times New Roman"/>
          <w:b/>
          <w:bCs/>
          <w:sz w:val="16"/>
          <w:szCs w:val="16"/>
        </w:rPr>
        <w:t xml:space="preserve">6.2 </w:t>
      </w:r>
      <w:r w:rsidRPr="002D6278">
        <w:rPr>
          <w:rFonts w:ascii="Book Antiqua" w:hAnsi="Book Antiqua" w:cs="Times New Roman"/>
          <w:b/>
          <w:bCs/>
          <w:sz w:val="16"/>
          <w:szCs w:val="16"/>
        </w:rPr>
        <w:t>Practical Contributions</w:t>
      </w:r>
    </w:p>
    <w:p w14:paraId="2B0F70A6" w14:textId="77777777" w:rsidR="00CA7FBB" w:rsidRPr="002D6278" w:rsidRDefault="00CA7FBB" w:rsidP="00CA7FBB">
      <w:pPr>
        <w:jc w:val="both"/>
        <w:rPr>
          <w:rFonts w:ascii="Book Antiqua" w:hAnsi="Book Antiqua" w:cs="Times New Roman"/>
          <w:sz w:val="16"/>
          <w:szCs w:val="16"/>
        </w:rPr>
      </w:pPr>
      <w:r w:rsidRPr="002D6278">
        <w:rPr>
          <w:rFonts w:ascii="Book Antiqua" w:hAnsi="Book Antiqua" w:cs="Times New Roman"/>
          <w:b/>
          <w:bCs/>
          <w:sz w:val="16"/>
          <w:szCs w:val="16"/>
        </w:rPr>
        <w:t>Implications for FinTech firms and platform designers:</w:t>
      </w:r>
      <w:r w:rsidRPr="002D6278">
        <w:rPr>
          <w:rFonts w:ascii="Book Antiqua" w:hAnsi="Book Antiqua" w:cs="Times New Roman"/>
          <w:sz w:val="16"/>
          <w:szCs w:val="16"/>
        </w:rPr>
        <w:t xml:space="preserve"> FinTech firms must recognize that registration metrics substantially overstate female consumer penetration, as proxy operations by male relatives remain widespread (</w:t>
      </w:r>
      <w:r w:rsidRPr="002D6278">
        <w:rPr>
          <w:rFonts w:ascii="Book Antiqua" w:hAnsi="Book Antiqua" w:cs="Times New Roman"/>
          <w:color w:val="0070C0"/>
          <w:sz w:val="16"/>
          <w:szCs w:val="16"/>
        </w:rPr>
        <w:t xml:space="preserve">Sumi </w:t>
      </w:r>
      <w:r w:rsidRPr="002D6278">
        <w:rPr>
          <w:rFonts w:ascii="Book Antiqua" w:hAnsi="Book Antiqua" w:cs="Times New Roman"/>
          <w:i/>
          <w:iCs/>
          <w:color w:val="0070C0"/>
          <w:sz w:val="16"/>
          <w:szCs w:val="16"/>
        </w:rPr>
        <w:t>et al.,</w:t>
      </w:r>
      <w:r w:rsidRPr="002D6278">
        <w:rPr>
          <w:rFonts w:ascii="Book Antiqua" w:hAnsi="Book Antiqua" w:cs="Times New Roman"/>
          <w:color w:val="0070C0"/>
          <w:sz w:val="16"/>
          <w:szCs w:val="16"/>
        </w:rPr>
        <w:t xml:space="preserve"> 2025</w:t>
      </w:r>
      <w:r w:rsidRPr="002D6278">
        <w:rPr>
          <w:rFonts w:ascii="Book Antiqua" w:hAnsi="Book Antiqua" w:cs="Times New Roman"/>
          <w:sz w:val="16"/>
          <w:szCs w:val="16"/>
        </w:rPr>
        <w:t>). Corporate product strategies should pivot toward the development of biometric authentication to eliminate shared credential vulnerability, interface simplification to counteract digital literacy gaps, and specialized Shariah-compliant digital product lines to capture conservative consumer niches. Managers within these firms should treat gendered usage patterns as a core market segmentation and product strategy issue rather than a peripheral corporate social responsibility concern.</w:t>
      </w:r>
    </w:p>
    <w:p w14:paraId="0A615145" w14:textId="77777777" w:rsidR="00CA7FBB" w:rsidRPr="002D6278" w:rsidRDefault="00CA7FBB" w:rsidP="00CA7FBB">
      <w:pPr>
        <w:jc w:val="both"/>
        <w:rPr>
          <w:rFonts w:ascii="Book Antiqua" w:hAnsi="Book Antiqua" w:cs="Times New Roman"/>
          <w:sz w:val="16"/>
          <w:szCs w:val="16"/>
        </w:rPr>
      </w:pPr>
      <w:r w:rsidRPr="002D6278">
        <w:rPr>
          <w:rFonts w:ascii="Book Antiqua" w:hAnsi="Book Antiqua" w:cs="Times New Roman"/>
          <w:b/>
          <w:bCs/>
          <w:sz w:val="16"/>
          <w:szCs w:val="16"/>
        </w:rPr>
        <w:t>Implications for development organisations and NGOs:</w:t>
      </w:r>
      <w:r w:rsidRPr="002D6278">
        <w:rPr>
          <w:rFonts w:ascii="Book Antiqua" w:hAnsi="Book Antiqua" w:cs="Times New Roman"/>
          <w:sz w:val="16"/>
          <w:szCs w:val="16"/>
        </w:rPr>
        <w:t xml:space="preserve"> Multilateral development agencies must abandon infrastructure-led financial inclusion assumptions. Evidence indicates that expanding platform access without complementary financial literacy training and social safety net integration fails to generate sustained welfare gains (</w:t>
      </w:r>
      <w:r w:rsidRPr="002D6278">
        <w:rPr>
          <w:rFonts w:ascii="Book Antiqua" w:hAnsi="Book Antiqua" w:cs="Times New Roman"/>
          <w:color w:val="0070C0"/>
          <w:sz w:val="16"/>
          <w:szCs w:val="16"/>
        </w:rPr>
        <w:t>Kabeer, 2020</w:t>
      </w:r>
      <w:r w:rsidRPr="002D6278">
        <w:rPr>
          <w:rFonts w:ascii="Book Antiqua" w:hAnsi="Book Antiqua" w:cs="Times New Roman"/>
          <w:sz w:val="16"/>
          <w:szCs w:val="16"/>
        </w:rPr>
        <w:t>). NGO programs should explicitly link FinTech rollouts with group-based social structures, such as self-help networks and savings groups, which serve to shield female financial resources (</w:t>
      </w:r>
      <w:r w:rsidRPr="002D6278">
        <w:rPr>
          <w:rFonts w:ascii="Book Antiqua" w:hAnsi="Book Antiqua" w:cs="Times New Roman"/>
          <w:color w:val="0070C0"/>
          <w:sz w:val="16"/>
          <w:szCs w:val="16"/>
        </w:rPr>
        <w:t xml:space="preserve">Kumar </w:t>
      </w:r>
      <w:r w:rsidRPr="002D6278">
        <w:rPr>
          <w:rFonts w:ascii="Book Antiqua" w:hAnsi="Book Antiqua" w:cs="Times New Roman"/>
          <w:i/>
          <w:iCs/>
          <w:color w:val="0070C0"/>
          <w:sz w:val="16"/>
          <w:szCs w:val="16"/>
        </w:rPr>
        <w:t xml:space="preserve">et al., </w:t>
      </w:r>
      <w:r w:rsidRPr="002D6278">
        <w:rPr>
          <w:rFonts w:ascii="Book Antiqua" w:hAnsi="Book Antiqua" w:cs="Times New Roman"/>
          <w:color w:val="0070C0"/>
          <w:sz w:val="16"/>
          <w:szCs w:val="16"/>
        </w:rPr>
        <w:t>2021</w:t>
      </w:r>
      <w:r w:rsidRPr="002D6278">
        <w:rPr>
          <w:rFonts w:ascii="Book Antiqua" w:hAnsi="Book Antiqua" w:cs="Times New Roman"/>
          <w:sz w:val="16"/>
          <w:szCs w:val="16"/>
        </w:rPr>
        <w:t>).</w:t>
      </w:r>
    </w:p>
    <w:p w14:paraId="52778A0C" w14:textId="21B507AA" w:rsidR="00CA7FBB" w:rsidRDefault="00CA7FBB" w:rsidP="00CA7FBB">
      <w:pPr>
        <w:jc w:val="both"/>
        <w:rPr>
          <w:rFonts w:ascii="Book Antiqua" w:hAnsi="Book Antiqua" w:cs="Times New Roman"/>
          <w:color w:val="0070C0"/>
          <w:sz w:val="16"/>
          <w:szCs w:val="16"/>
        </w:rPr>
      </w:pPr>
      <w:r w:rsidRPr="002D6278">
        <w:rPr>
          <w:rFonts w:ascii="Book Antiqua" w:hAnsi="Book Antiqua" w:cs="Times New Roman"/>
          <w:b/>
          <w:bCs/>
          <w:sz w:val="16"/>
          <w:szCs w:val="16"/>
        </w:rPr>
        <w:t>Implications for policymakers:</w:t>
      </w:r>
      <w:r w:rsidRPr="002D6278">
        <w:rPr>
          <w:rFonts w:ascii="Book Antiqua" w:hAnsi="Book Antiqua" w:cs="Times New Roman"/>
          <w:sz w:val="16"/>
          <w:szCs w:val="16"/>
        </w:rPr>
        <w:t xml:space="preserve"> State initiatives, such as Digital India or Digital Bangladesh, require granular, localized measures to successfully bridge economic divides. Governments should incentivize FinTech providers to build gender-responsive interfaces through targeted regulatory subsidies, mandate public digital literacy campaigns tailored to female micro-entrepreneurs and require individual rather than household-linked account registrations. Policy templates must account for regional heterogeneities, recognizing that the unique socio-religious, caste-based, and geographic dynamics of South Asian states render uniform regional strategies ineffective </w:t>
      </w:r>
      <w:r w:rsidRPr="002D6278">
        <w:rPr>
          <w:rFonts w:ascii="Book Antiqua" w:hAnsi="Book Antiqua" w:cs="Times New Roman"/>
          <w:color w:val="0070C0"/>
          <w:sz w:val="16"/>
          <w:szCs w:val="16"/>
        </w:rPr>
        <w:t xml:space="preserve">(Guérin </w:t>
      </w:r>
      <w:r w:rsidRPr="002D6278">
        <w:rPr>
          <w:rFonts w:ascii="Book Antiqua" w:hAnsi="Book Antiqua" w:cs="Times New Roman"/>
          <w:i/>
          <w:iCs/>
          <w:color w:val="0070C0"/>
          <w:sz w:val="16"/>
          <w:szCs w:val="16"/>
        </w:rPr>
        <w:t>et al.,</w:t>
      </w:r>
      <w:r w:rsidRPr="002D6278">
        <w:rPr>
          <w:rFonts w:ascii="Book Antiqua" w:hAnsi="Book Antiqua" w:cs="Times New Roman"/>
          <w:color w:val="0070C0"/>
          <w:sz w:val="16"/>
          <w:szCs w:val="16"/>
        </w:rPr>
        <w:t xml:space="preserve"> 2013).</w:t>
      </w:r>
      <w:r w:rsidR="00DE58F3">
        <w:rPr>
          <w:rFonts w:ascii="Book Antiqua" w:hAnsi="Book Antiqua" w:cs="Times New Roman"/>
          <w:color w:val="0070C0"/>
          <w:sz w:val="16"/>
          <w:szCs w:val="16"/>
        </w:rPr>
        <w:t xml:space="preserve"> </w:t>
      </w:r>
      <w:r w:rsidR="00DE58F3" w:rsidRPr="00DE58F3">
        <w:rPr>
          <w:rFonts w:ascii="Book Antiqua" w:hAnsi="Book Antiqua" w:cs="Times New Roman"/>
          <w:sz w:val="16"/>
          <w:szCs w:val="16"/>
        </w:rPr>
        <w:t>Cross-border coordination mechanisms, such as SAARC-level working groups on digital financial inclusion, could help harmonise minimum design standards while still allowing individual states latitude to adapt implementation to local socio-religious contexts.</w:t>
      </w:r>
    </w:p>
    <w:p w14:paraId="15BBA8B9" w14:textId="5AC0CE99" w:rsidR="00A711DA" w:rsidRDefault="00D331AD" w:rsidP="007A4F43">
      <w:pPr>
        <w:jc w:val="both"/>
        <w:rPr>
          <w:rFonts w:ascii="Book Antiqua" w:hAnsi="Book Antiqua" w:cs="Times New Roman"/>
          <w:b/>
          <w:bCs/>
          <w:sz w:val="16"/>
          <w:szCs w:val="16"/>
        </w:rPr>
      </w:pPr>
      <w:r w:rsidRPr="00D95639">
        <w:rPr>
          <w:rFonts w:ascii="Book Antiqua" w:hAnsi="Book Antiqua" w:cs="Times New Roman"/>
          <w:b/>
          <w:bCs/>
          <w:sz w:val="16"/>
          <w:szCs w:val="16"/>
        </w:rPr>
        <w:t xml:space="preserve">6.3 </w:t>
      </w:r>
      <w:r w:rsidR="00A711DA" w:rsidRPr="00A711DA">
        <w:rPr>
          <w:rFonts w:ascii="Book Antiqua" w:hAnsi="Book Antiqua" w:cs="Times New Roman"/>
          <w:b/>
          <w:bCs/>
          <w:sz w:val="16"/>
          <w:szCs w:val="16"/>
        </w:rPr>
        <w:t xml:space="preserve">Methodological </w:t>
      </w:r>
      <w:r w:rsidR="00242DCC" w:rsidRPr="00A711DA">
        <w:rPr>
          <w:rFonts w:ascii="Book Antiqua" w:hAnsi="Book Antiqua" w:cs="Times New Roman"/>
          <w:b/>
          <w:bCs/>
          <w:sz w:val="16"/>
          <w:szCs w:val="16"/>
        </w:rPr>
        <w:t>Drawbacks</w:t>
      </w:r>
      <w:r w:rsidR="00A711DA" w:rsidRPr="00A711DA">
        <w:rPr>
          <w:rFonts w:ascii="Book Antiqua" w:hAnsi="Book Antiqua" w:cs="Times New Roman"/>
          <w:b/>
          <w:bCs/>
          <w:sz w:val="16"/>
          <w:szCs w:val="16"/>
        </w:rPr>
        <w:t xml:space="preserve"> of the Review</w:t>
      </w:r>
    </w:p>
    <w:p w14:paraId="762B7A8A" w14:textId="3483655E" w:rsidR="007A4F43" w:rsidRPr="00A711DA" w:rsidRDefault="001F34D1" w:rsidP="007A4F43">
      <w:pPr>
        <w:jc w:val="both"/>
        <w:rPr>
          <w:rFonts w:ascii="Book Antiqua" w:hAnsi="Book Antiqua" w:cs="Times New Roman"/>
          <w:sz w:val="16"/>
          <w:szCs w:val="16"/>
        </w:rPr>
      </w:pPr>
      <w:r>
        <w:rPr>
          <w:rFonts w:ascii="Book Antiqua" w:hAnsi="Book Antiqua" w:cs="Times New Roman"/>
          <w:sz w:val="16"/>
          <w:szCs w:val="16"/>
        </w:rPr>
        <w:t>S</w:t>
      </w:r>
      <w:r w:rsidR="007A4F43" w:rsidRPr="00A711DA">
        <w:rPr>
          <w:rFonts w:ascii="Book Antiqua" w:hAnsi="Book Antiqua" w:cs="Times New Roman"/>
          <w:sz w:val="16"/>
          <w:szCs w:val="16"/>
        </w:rPr>
        <w:t>everal methodological limitations</w:t>
      </w:r>
      <w:r>
        <w:rPr>
          <w:rFonts w:ascii="Book Antiqua" w:hAnsi="Book Antiqua" w:cs="Times New Roman"/>
          <w:sz w:val="16"/>
          <w:szCs w:val="16"/>
        </w:rPr>
        <w:t xml:space="preserve"> have been identified in this study</w:t>
      </w:r>
      <w:r w:rsidR="007A4F43" w:rsidRPr="00A711DA">
        <w:rPr>
          <w:rFonts w:ascii="Book Antiqua" w:hAnsi="Book Antiqua" w:cs="Times New Roman"/>
          <w:sz w:val="16"/>
          <w:szCs w:val="16"/>
        </w:rPr>
        <w:t>:</w:t>
      </w:r>
    </w:p>
    <w:p w14:paraId="7D08F817" w14:textId="41BFB1A3" w:rsidR="007A4F43" w:rsidRPr="007A4F43" w:rsidRDefault="007A4F43" w:rsidP="007A4F43">
      <w:pPr>
        <w:pStyle w:val="ListParagraph"/>
        <w:numPr>
          <w:ilvl w:val="1"/>
          <w:numId w:val="39"/>
        </w:numPr>
        <w:jc w:val="both"/>
        <w:rPr>
          <w:rFonts w:ascii="Book Antiqua" w:hAnsi="Book Antiqua" w:cs="Times New Roman"/>
          <w:sz w:val="16"/>
          <w:szCs w:val="16"/>
        </w:rPr>
      </w:pPr>
      <w:r w:rsidRPr="00FD0CAF">
        <w:rPr>
          <w:rFonts w:ascii="Book Antiqua" w:hAnsi="Book Antiqua" w:cs="Times New Roman"/>
          <w:b/>
          <w:bCs/>
          <w:sz w:val="16"/>
          <w:szCs w:val="16"/>
        </w:rPr>
        <w:t>Geographic Concentration:</w:t>
      </w:r>
      <w:r w:rsidRPr="007A4F43">
        <w:rPr>
          <w:rFonts w:ascii="Book Antiqua" w:hAnsi="Book Antiqua" w:cs="Times New Roman"/>
          <w:sz w:val="16"/>
          <w:szCs w:val="16"/>
        </w:rPr>
        <w:t xml:space="preserve"> Primary evidence is heavily concentrated in Bangladesh, Pakistan, </w:t>
      </w:r>
      <w:r w:rsidR="005A736E">
        <w:rPr>
          <w:rFonts w:ascii="Book Antiqua" w:hAnsi="Book Antiqua" w:cs="Times New Roman"/>
          <w:sz w:val="16"/>
          <w:szCs w:val="16"/>
        </w:rPr>
        <w:t>India</w:t>
      </w:r>
      <w:r w:rsidR="00DD5186">
        <w:rPr>
          <w:rFonts w:ascii="Book Antiqua" w:hAnsi="Book Antiqua" w:cs="Times New Roman"/>
          <w:sz w:val="16"/>
          <w:szCs w:val="16"/>
        </w:rPr>
        <w:t xml:space="preserve">; </w:t>
      </w:r>
      <w:r w:rsidRPr="007A4F43">
        <w:rPr>
          <w:rFonts w:ascii="Book Antiqua" w:hAnsi="Book Antiqua" w:cs="Times New Roman"/>
          <w:sz w:val="16"/>
          <w:szCs w:val="16"/>
        </w:rPr>
        <w:t>leaving Sri Lanka</w:t>
      </w:r>
      <w:r w:rsidR="00BA227D">
        <w:rPr>
          <w:rFonts w:ascii="Book Antiqua" w:hAnsi="Book Antiqua" w:cs="Times New Roman"/>
          <w:sz w:val="16"/>
          <w:szCs w:val="16"/>
        </w:rPr>
        <w:t xml:space="preserve">, Nepal </w:t>
      </w:r>
      <w:r w:rsidRPr="007A4F43">
        <w:rPr>
          <w:rFonts w:ascii="Book Antiqua" w:hAnsi="Book Antiqua" w:cs="Times New Roman"/>
          <w:sz w:val="16"/>
          <w:szCs w:val="16"/>
        </w:rPr>
        <w:t>underrepresented.</w:t>
      </w:r>
      <w:r w:rsidR="00365450">
        <w:rPr>
          <w:rFonts w:ascii="Book Antiqua" w:hAnsi="Book Antiqua" w:cs="Times New Roman"/>
          <w:sz w:val="16"/>
          <w:szCs w:val="16"/>
        </w:rPr>
        <w:t xml:space="preserve"> </w:t>
      </w:r>
      <w:r w:rsidR="00365450" w:rsidRPr="00365450">
        <w:rPr>
          <w:rFonts w:ascii="Book Antiqua" w:hAnsi="Book Antiqua" w:cs="Times New Roman"/>
          <w:sz w:val="16"/>
          <w:szCs w:val="16"/>
        </w:rPr>
        <w:t xml:space="preserve">Consequently, </w:t>
      </w:r>
      <w:r w:rsidR="005177E4">
        <w:rPr>
          <w:rFonts w:ascii="Book Antiqua" w:hAnsi="Book Antiqua" w:cs="Times New Roman"/>
          <w:sz w:val="16"/>
          <w:szCs w:val="16"/>
        </w:rPr>
        <w:t>t</w:t>
      </w:r>
      <w:r w:rsidR="005177E4" w:rsidRPr="005177E4">
        <w:rPr>
          <w:rFonts w:ascii="Book Antiqua" w:hAnsi="Book Antiqua" w:cs="Times New Roman"/>
          <w:sz w:val="16"/>
          <w:szCs w:val="16"/>
        </w:rPr>
        <w:t xml:space="preserve">his </w:t>
      </w:r>
      <w:r w:rsidR="003D3DC8" w:rsidRPr="005177E4">
        <w:rPr>
          <w:rFonts w:ascii="Book Antiqua" w:hAnsi="Book Antiqua" w:cs="Times New Roman"/>
          <w:sz w:val="16"/>
          <w:szCs w:val="16"/>
        </w:rPr>
        <w:t>terrestrial</w:t>
      </w:r>
      <w:r w:rsidR="005177E4" w:rsidRPr="005177E4">
        <w:rPr>
          <w:rFonts w:ascii="Book Antiqua" w:hAnsi="Book Antiqua" w:cs="Times New Roman"/>
          <w:sz w:val="16"/>
          <w:szCs w:val="16"/>
        </w:rPr>
        <w:t xml:space="preserve"> attention highlights an essential need for subsequent primary studies and targeted longitudinal tracking within underrepresented sub-markets.</w:t>
      </w:r>
    </w:p>
    <w:p w14:paraId="5C228337" w14:textId="3F192C84" w:rsidR="007A4F43" w:rsidRPr="007A4F43" w:rsidRDefault="007A4F43" w:rsidP="007A4F43">
      <w:pPr>
        <w:pStyle w:val="ListParagraph"/>
        <w:numPr>
          <w:ilvl w:val="1"/>
          <w:numId w:val="39"/>
        </w:numPr>
        <w:jc w:val="both"/>
        <w:rPr>
          <w:rFonts w:ascii="Book Antiqua" w:hAnsi="Book Antiqua" w:cs="Times New Roman"/>
          <w:sz w:val="16"/>
          <w:szCs w:val="16"/>
        </w:rPr>
      </w:pPr>
      <w:r w:rsidRPr="00D522E8">
        <w:rPr>
          <w:rFonts w:ascii="Book Antiqua" w:hAnsi="Book Antiqua" w:cs="Times New Roman"/>
          <w:b/>
          <w:bCs/>
          <w:sz w:val="16"/>
          <w:szCs w:val="16"/>
        </w:rPr>
        <w:t>Cross-Sectional Data Limits:</w:t>
      </w:r>
      <w:r w:rsidRPr="007A4F43">
        <w:rPr>
          <w:rFonts w:ascii="Book Antiqua" w:hAnsi="Book Antiqua" w:cs="Times New Roman"/>
          <w:sz w:val="16"/>
          <w:szCs w:val="16"/>
        </w:rPr>
        <w:t xml:space="preserve"> The reliance on cross-sectional survey data across primary studies restricts causal inference regarding long-term shifts in intra-household power dynamics.</w:t>
      </w:r>
    </w:p>
    <w:p w14:paraId="3310AE5F" w14:textId="0F815D1D" w:rsidR="007A4F43" w:rsidRPr="007A4F43" w:rsidRDefault="007A4F43" w:rsidP="007A4F43">
      <w:pPr>
        <w:pStyle w:val="ListParagraph"/>
        <w:numPr>
          <w:ilvl w:val="1"/>
          <w:numId w:val="39"/>
        </w:numPr>
        <w:jc w:val="both"/>
        <w:rPr>
          <w:rFonts w:ascii="Book Antiqua" w:hAnsi="Book Antiqua" w:cs="Times New Roman"/>
          <w:sz w:val="16"/>
          <w:szCs w:val="16"/>
        </w:rPr>
      </w:pPr>
      <w:r w:rsidRPr="00D522E8">
        <w:rPr>
          <w:rFonts w:ascii="Book Antiqua" w:hAnsi="Book Antiqua" w:cs="Times New Roman"/>
          <w:b/>
          <w:bCs/>
          <w:sz w:val="16"/>
          <w:szCs w:val="16"/>
        </w:rPr>
        <w:t>Reviewer and Synthesis Bias:</w:t>
      </w:r>
      <w:r w:rsidRPr="007A4F43">
        <w:rPr>
          <w:rFonts w:ascii="Book Antiqua" w:hAnsi="Book Antiqua" w:cs="Times New Roman"/>
          <w:sz w:val="16"/>
          <w:szCs w:val="16"/>
        </w:rPr>
        <w:t xml:space="preserve"> Single-reviewer study selection introduces potential subjective bias during screening. Furthermore, thematic synthesis inherently requires subjective interpretations when aggregating qualitative codes across heterogeneous study designs.</w:t>
      </w:r>
    </w:p>
    <w:p w14:paraId="302CFE1B" w14:textId="65A75B3F" w:rsidR="00D95639" w:rsidRDefault="007A4F43" w:rsidP="007A4F43">
      <w:pPr>
        <w:pStyle w:val="ListParagraph"/>
        <w:numPr>
          <w:ilvl w:val="1"/>
          <w:numId w:val="39"/>
        </w:numPr>
        <w:jc w:val="both"/>
        <w:rPr>
          <w:rFonts w:ascii="Book Antiqua" w:hAnsi="Book Antiqua" w:cs="Times New Roman"/>
          <w:sz w:val="16"/>
          <w:szCs w:val="16"/>
        </w:rPr>
      </w:pPr>
      <w:r w:rsidRPr="00D522E8">
        <w:rPr>
          <w:rFonts w:ascii="Book Antiqua" w:hAnsi="Book Antiqua" w:cs="Times New Roman"/>
          <w:b/>
          <w:bCs/>
          <w:sz w:val="16"/>
          <w:szCs w:val="16"/>
        </w:rPr>
        <w:t>Grey Literature Exclusion:</w:t>
      </w:r>
      <w:r w:rsidRPr="007A4F43">
        <w:rPr>
          <w:rFonts w:ascii="Book Antiqua" w:hAnsi="Book Antiqua" w:cs="Times New Roman"/>
          <w:sz w:val="16"/>
          <w:szCs w:val="16"/>
        </w:rPr>
        <w:t xml:space="preserve"> Omitting non-peer-reviewed development reports may exclude real-time operational insights from ongoing field trials.</w:t>
      </w:r>
    </w:p>
    <w:p w14:paraId="2DE7B992" w14:textId="77777777" w:rsidR="00CF29FD" w:rsidRPr="00CF29FD" w:rsidRDefault="00CF29FD" w:rsidP="00CF29FD">
      <w:pPr>
        <w:jc w:val="both"/>
        <w:rPr>
          <w:rFonts w:ascii="Book Antiqua" w:hAnsi="Book Antiqua" w:cs="Times New Roman"/>
          <w:b/>
          <w:bCs/>
          <w:sz w:val="16"/>
          <w:szCs w:val="16"/>
        </w:rPr>
      </w:pPr>
      <w:r w:rsidRPr="00CF29FD">
        <w:rPr>
          <w:rFonts w:ascii="Book Antiqua" w:hAnsi="Book Antiqua" w:cs="Times New Roman"/>
          <w:b/>
          <w:bCs/>
          <w:sz w:val="16"/>
          <w:szCs w:val="16"/>
        </w:rPr>
        <w:t>6.4 Future Research Directions</w:t>
      </w:r>
    </w:p>
    <w:p w14:paraId="526B2170" w14:textId="6C7DA484" w:rsidR="00FF436C" w:rsidRDefault="00CF29FD" w:rsidP="00CF29FD">
      <w:pPr>
        <w:jc w:val="both"/>
        <w:rPr>
          <w:rFonts w:ascii="Book Antiqua" w:hAnsi="Book Antiqua" w:cs="Times New Roman"/>
          <w:sz w:val="16"/>
          <w:szCs w:val="16"/>
        </w:rPr>
      </w:pPr>
      <w:r w:rsidRPr="00CF29FD">
        <w:rPr>
          <w:rFonts w:ascii="Book Antiqua" w:hAnsi="Book Antiqua" w:cs="Times New Roman"/>
          <w:sz w:val="16"/>
          <w:szCs w:val="16"/>
        </w:rPr>
        <w:t>B</w:t>
      </w:r>
      <w:r w:rsidR="00C3618C">
        <w:rPr>
          <w:rFonts w:ascii="Book Antiqua" w:hAnsi="Book Antiqua" w:cs="Times New Roman"/>
          <w:sz w:val="16"/>
          <w:szCs w:val="16"/>
        </w:rPr>
        <w:t>ased</w:t>
      </w:r>
      <w:r w:rsidRPr="00CF29FD">
        <w:rPr>
          <w:rFonts w:ascii="Book Antiqua" w:hAnsi="Book Antiqua" w:cs="Times New Roman"/>
          <w:sz w:val="16"/>
          <w:szCs w:val="16"/>
        </w:rPr>
        <w:t xml:space="preserve"> on the limitations </w:t>
      </w:r>
      <w:r w:rsidR="00EB142A" w:rsidRPr="00CF29FD">
        <w:rPr>
          <w:rFonts w:ascii="Book Antiqua" w:hAnsi="Book Antiqua" w:cs="Times New Roman"/>
          <w:sz w:val="16"/>
          <w:szCs w:val="16"/>
        </w:rPr>
        <w:t>classified</w:t>
      </w:r>
      <w:r w:rsidRPr="00CF29FD">
        <w:rPr>
          <w:rFonts w:ascii="Book Antiqua" w:hAnsi="Book Antiqua" w:cs="Times New Roman"/>
          <w:sz w:val="16"/>
          <w:szCs w:val="16"/>
        </w:rPr>
        <w:t xml:space="preserve"> above, three research priorities emerge. First, longitudinal and quasi-experimental designs are needed to establish causal links between platform-level design changes, such as biometric authentication or discreet sub-wallet interfaces, and downstream household bargaining power, moving beyond the correlational snapshots that currently dominate the literature. Second, primary fieldwork should be extended to Nepal and Sri Lanka, where socio-religious and caste dynamics differ meaningfully from the Bangladesh-India-Pakistan corridor that presently anchors most empirical evidence. Third, future studies should test the CIMO-Kabeer model directly through mixed-methods intervention trials, measuring whether specific </w:t>
      </w:r>
      <w:r w:rsidRPr="00CF29FD">
        <w:rPr>
          <w:rFonts w:ascii="Book Antiqua" w:hAnsi="Book Antiqua" w:cs="Times New Roman"/>
          <w:sz w:val="16"/>
          <w:szCs w:val="16"/>
        </w:rPr>
        <w:lastRenderedPageBreak/>
        <w:t>mechanic and humanic design changes, such as female-staffed agent networks, produce measurable shifts along the Resources-Agency-Achievements pathway, rather than inferring this relationship indirectly from existing survey data. Researchers are also encouraged to examine how emerging digital lending and buy-now-pay-later products interact with existing patriarchal credit structures; an area almost entirely absent from the current evidence base.</w:t>
      </w:r>
    </w:p>
    <w:p w14:paraId="206129D1" w14:textId="33C66D8F" w:rsidR="004833D9" w:rsidRPr="00C6481C" w:rsidRDefault="00F7029B" w:rsidP="00F7029B">
      <w:pPr>
        <w:jc w:val="both"/>
        <w:rPr>
          <w:rFonts w:ascii="Book Antiqua" w:hAnsi="Book Antiqua" w:cs="Times New Roman"/>
          <w:b/>
          <w:bCs/>
          <w:color w:val="0070C0"/>
          <w:sz w:val="18"/>
          <w:szCs w:val="18"/>
        </w:rPr>
      </w:pPr>
      <w:r w:rsidRPr="00C6481C">
        <w:rPr>
          <w:rFonts w:ascii="Book Antiqua" w:hAnsi="Book Antiqua" w:cs="Times New Roman"/>
          <w:b/>
          <w:bCs/>
          <w:color w:val="0070C0"/>
          <w:sz w:val="18"/>
          <w:szCs w:val="18"/>
        </w:rPr>
        <w:t xml:space="preserve">7. </w:t>
      </w:r>
      <w:r w:rsidR="004833D9" w:rsidRPr="00C6481C">
        <w:rPr>
          <w:rFonts w:ascii="Book Antiqua" w:hAnsi="Book Antiqua" w:cs="Times New Roman"/>
          <w:b/>
          <w:bCs/>
          <w:color w:val="0070C0"/>
          <w:sz w:val="18"/>
          <w:szCs w:val="18"/>
        </w:rPr>
        <w:t>Conclusion</w:t>
      </w:r>
      <w:r w:rsidR="00C6481C" w:rsidRPr="00C6481C">
        <w:rPr>
          <w:rFonts w:ascii="Book Antiqua" w:hAnsi="Book Antiqua" w:cs="Times New Roman"/>
          <w:b/>
          <w:bCs/>
          <w:color w:val="0070C0"/>
          <w:sz w:val="18"/>
          <w:szCs w:val="18"/>
        </w:rPr>
        <w:t xml:space="preserve"> </w:t>
      </w:r>
    </w:p>
    <w:p w14:paraId="287CB970" w14:textId="1859D773" w:rsidR="00C87F07" w:rsidRPr="002D6278" w:rsidRDefault="005A0E53" w:rsidP="004833D9">
      <w:pPr>
        <w:jc w:val="both"/>
        <w:rPr>
          <w:rFonts w:ascii="Book Antiqua" w:hAnsi="Book Antiqua" w:cs="Times New Roman"/>
          <w:sz w:val="16"/>
          <w:szCs w:val="16"/>
        </w:rPr>
      </w:pPr>
      <w:r w:rsidRPr="002D6278">
        <w:rPr>
          <w:rFonts w:ascii="Book Antiqua" w:hAnsi="Book Antiqua" w:cs="Times New Roman"/>
          <w:sz w:val="16"/>
          <w:szCs w:val="16"/>
        </w:rPr>
        <w:t>This study systematically reviewed and synthesized empirical evidence regarding socio-cultural determinants of FinTech adoption in South Asia</w:t>
      </w:r>
      <w:r w:rsidR="00EB142A">
        <w:rPr>
          <w:rFonts w:ascii="Book Antiqua" w:hAnsi="Book Antiqua" w:cs="Times New Roman"/>
          <w:sz w:val="16"/>
          <w:szCs w:val="16"/>
        </w:rPr>
        <w:t>n women</w:t>
      </w:r>
      <w:r w:rsidRPr="002D6278">
        <w:rPr>
          <w:rFonts w:ascii="Book Antiqua" w:hAnsi="Book Antiqua" w:cs="Times New Roman"/>
          <w:sz w:val="16"/>
          <w:szCs w:val="16"/>
        </w:rPr>
        <w:t xml:space="preserve">, tracing how platform access converts into independent income, enhanced micro-enterprise </w:t>
      </w:r>
      <w:r w:rsidR="005170A4" w:rsidRPr="002D6278">
        <w:rPr>
          <w:rFonts w:ascii="Book Antiqua" w:hAnsi="Book Antiqua" w:cs="Times New Roman"/>
          <w:sz w:val="16"/>
          <w:szCs w:val="16"/>
        </w:rPr>
        <w:t>activity</w:t>
      </w:r>
      <w:r w:rsidRPr="002D6278">
        <w:rPr>
          <w:rFonts w:ascii="Book Antiqua" w:hAnsi="Book Antiqua" w:cs="Times New Roman"/>
          <w:sz w:val="16"/>
          <w:szCs w:val="16"/>
        </w:rPr>
        <w:t xml:space="preserve">, and domestic bargaining power. </w:t>
      </w:r>
      <w:r w:rsidR="00AB55F3" w:rsidRPr="002D6278">
        <w:rPr>
          <w:rFonts w:ascii="Book Antiqua" w:hAnsi="Book Antiqua" w:cs="Times New Roman"/>
          <w:sz w:val="16"/>
          <w:szCs w:val="16"/>
        </w:rPr>
        <w:t xml:space="preserve">Synthesizing 43 high-quality, peer-reviewed studies across South Asia via an integrated CIMO-Kabeer architecture, the review </w:t>
      </w:r>
      <w:r w:rsidR="00AF7F54" w:rsidRPr="002D6278">
        <w:rPr>
          <w:rFonts w:ascii="Book Antiqua" w:hAnsi="Book Antiqua" w:cs="Times New Roman"/>
          <w:sz w:val="16"/>
          <w:szCs w:val="16"/>
        </w:rPr>
        <w:t xml:space="preserve">shows </w:t>
      </w:r>
      <w:r w:rsidR="00AB55F3" w:rsidRPr="002D6278">
        <w:rPr>
          <w:rFonts w:ascii="Book Antiqua" w:hAnsi="Book Antiqua" w:cs="Times New Roman"/>
          <w:sz w:val="16"/>
          <w:szCs w:val="16"/>
        </w:rPr>
        <w:t xml:space="preserve">that patriarchal household </w:t>
      </w:r>
      <w:r w:rsidR="00AC3778" w:rsidRPr="002D6278">
        <w:rPr>
          <w:rFonts w:ascii="Book Antiqua" w:hAnsi="Book Antiqua" w:cs="Times New Roman"/>
          <w:sz w:val="16"/>
          <w:szCs w:val="16"/>
        </w:rPr>
        <w:t>authority</w:t>
      </w:r>
      <w:r w:rsidR="00AB55F3" w:rsidRPr="002D6278">
        <w:rPr>
          <w:rFonts w:ascii="Book Antiqua" w:hAnsi="Book Antiqua" w:cs="Times New Roman"/>
          <w:sz w:val="16"/>
          <w:szCs w:val="16"/>
        </w:rPr>
        <w:t xml:space="preserve">, </w:t>
      </w:r>
      <w:r w:rsidR="00AC3778" w:rsidRPr="002D6278">
        <w:rPr>
          <w:rFonts w:ascii="Book Antiqua" w:hAnsi="Book Antiqua" w:cs="Times New Roman"/>
          <w:sz w:val="16"/>
          <w:szCs w:val="16"/>
        </w:rPr>
        <w:t xml:space="preserve">uneven </w:t>
      </w:r>
      <w:r w:rsidR="00AB55F3" w:rsidRPr="002D6278">
        <w:rPr>
          <w:rFonts w:ascii="Book Antiqua" w:hAnsi="Book Antiqua" w:cs="Times New Roman"/>
          <w:sz w:val="16"/>
          <w:szCs w:val="16"/>
        </w:rPr>
        <w:t xml:space="preserve">digital literacy, restricted mobility, and male-dominated </w:t>
      </w:r>
      <w:r w:rsidR="00AC3778" w:rsidRPr="002D6278">
        <w:rPr>
          <w:rFonts w:ascii="Book Antiqua" w:hAnsi="Book Antiqua" w:cs="Times New Roman"/>
          <w:sz w:val="16"/>
          <w:szCs w:val="16"/>
        </w:rPr>
        <w:t>agent</w:t>
      </w:r>
      <w:r w:rsidR="00AB55F3" w:rsidRPr="002D6278">
        <w:rPr>
          <w:rFonts w:ascii="Book Antiqua" w:hAnsi="Book Antiqua" w:cs="Times New Roman"/>
          <w:sz w:val="16"/>
          <w:szCs w:val="16"/>
        </w:rPr>
        <w:t xml:space="preserve"> networks heavily suppress independent female platform interaction.</w:t>
      </w:r>
      <w:r w:rsidR="00660D7F" w:rsidRPr="002D6278">
        <w:rPr>
          <w:rFonts w:ascii="Book Antiqua" w:hAnsi="Book Antiqua" w:cs="Times New Roman"/>
          <w:sz w:val="16"/>
          <w:szCs w:val="16"/>
        </w:rPr>
        <w:t xml:space="preserve"> </w:t>
      </w:r>
      <w:r w:rsidR="004833D9" w:rsidRPr="002D6278">
        <w:rPr>
          <w:rFonts w:ascii="Book Antiqua" w:hAnsi="Book Antiqua" w:cs="Times New Roman"/>
          <w:sz w:val="16"/>
          <w:szCs w:val="16"/>
        </w:rPr>
        <w:t xml:space="preserve">Livelihood outcomes </w:t>
      </w:r>
      <w:r w:rsidR="00F743A3" w:rsidRPr="002D6278">
        <w:rPr>
          <w:rFonts w:ascii="Book Antiqua" w:hAnsi="Book Antiqua" w:cs="Times New Roman"/>
          <w:sz w:val="16"/>
          <w:szCs w:val="16"/>
        </w:rPr>
        <w:t>remained highly</w:t>
      </w:r>
      <w:r w:rsidR="004833D9" w:rsidRPr="002D6278">
        <w:rPr>
          <w:rFonts w:ascii="Book Antiqua" w:hAnsi="Book Antiqua" w:cs="Times New Roman"/>
          <w:sz w:val="16"/>
          <w:szCs w:val="16"/>
        </w:rPr>
        <w:t xml:space="preserve"> contested</w:t>
      </w:r>
      <w:r w:rsidR="00F743A3" w:rsidRPr="002D6278">
        <w:rPr>
          <w:rFonts w:ascii="Book Antiqua" w:hAnsi="Book Antiqua" w:cs="Times New Roman"/>
          <w:sz w:val="16"/>
          <w:szCs w:val="16"/>
        </w:rPr>
        <w:t xml:space="preserve">; </w:t>
      </w:r>
      <w:r w:rsidR="00C87F07" w:rsidRPr="002D6278">
        <w:rPr>
          <w:rFonts w:ascii="Book Antiqua" w:hAnsi="Book Antiqua" w:cs="Times New Roman"/>
          <w:sz w:val="16"/>
          <w:szCs w:val="16"/>
        </w:rPr>
        <w:t>gross income gains are observable, but</w:t>
      </w:r>
      <w:r w:rsidR="00537290" w:rsidRPr="002D6278">
        <w:rPr>
          <w:rFonts w:ascii="Book Antiqua" w:hAnsi="Book Antiqua" w:cs="Times New Roman"/>
          <w:sz w:val="16"/>
          <w:szCs w:val="16"/>
        </w:rPr>
        <w:t xml:space="preserve"> </w:t>
      </w:r>
      <w:r w:rsidR="00C87F07" w:rsidRPr="002D6278">
        <w:rPr>
          <w:rFonts w:ascii="Book Antiqua" w:hAnsi="Book Antiqua" w:cs="Times New Roman"/>
          <w:sz w:val="16"/>
          <w:szCs w:val="16"/>
        </w:rPr>
        <w:t xml:space="preserve">improvements in bargaining power </w:t>
      </w:r>
      <w:r w:rsidR="00537290" w:rsidRPr="002D6278">
        <w:rPr>
          <w:rFonts w:ascii="Book Antiqua" w:hAnsi="Book Antiqua" w:cs="Times New Roman"/>
          <w:sz w:val="16"/>
          <w:szCs w:val="16"/>
        </w:rPr>
        <w:t xml:space="preserve">are </w:t>
      </w:r>
      <w:r w:rsidR="00C87F07" w:rsidRPr="002D6278">
        <w:rPr>
          <w:rFonts w:ascii="Book Antiqua" w:hAnsi="Book Antiqua" w:cs="Times New Roman"/>
          <w:sz w:val="16"/>
          <w:szCs w:val="16"/>
        </w:rPr>
        <w:t xml:space="preserve">concentrated among women </w:t>
      </w:r>
      <w:r w:rsidR="00B913F8" w:rsidRPr="002D6278">
        <w:rPr>
          <w:rFonts w:ascii="Book Antiqua" w:hAnsi="Book Antiqua" w:cs="Times New Roman"/>
          <w:sz w:val="16"/>
          <w:szCs w:val="16"/>
        </w:rPr>
        <w:t xml:space="preserve">already </w:t>
      </w:r>
      <w:r w:rsidR="00C87F07" w:rsidRPr="002D6278">
        <w:rPr>
          <w:rFonts w:ascii="Book Antiqua" w:hAnsi="Book Antiqua" w:cs="Times New Roman"/>
          <w:sz w:val="16"/>
          <w:szCs w:val="16"/>
        </w:rPr>
        <w:t>embedded within group-based, socially insulated safety structures.</w:t>
      </w:r>
    </w:p>
    <w:p w14:paraId="6B001D13" w14:textId="4E755F79" w:rsidR="00DC3186" w:rsidRDefault="00AF53F6" w:rsidP="00052FB0">
      <w:pPr>
        <w:jc w:val="both"/>
        <w:rPr>
          <w:rFonts w:ascii="Book Antiqua" w:hAnsi="Book Antiqua" w:cs="Times New Roman"/>
          <w:sz w:val="16"/>
          <w:szCs w:val="16"/>
        </w:rPr>
      </w:pPr>
      <w:r w:rsidRPr="002D6278">
        <w:rPr>
          <w:rFonts w:ascii="Book Antiqua" w:hAnsi="Book Antiqua" w:cs="Times New Roman"/>
          <w:sz w:val="16"/>
          <w:szCs w:val="16"/>
        </w:rPr>
        <w:t xml:space="preserve">Several limitations qualify the conclusions of this review. The analytical sample is relatively small, consisting of 43 papers that are heavily concentrated in Bangladesh, </w:t>
      </w:r>
      <w:r w:rsidR="00474FC0">
        <w:rPr>
          <w:rFonts w:ascii="Book Antiqua" w:hAnsi="Book Antiqua" w:cs="Times New Roman"/>
          <w:sz w:val="16"/>
          <w:szCs w:val="16"/>
        </w:rPr>
        <w:t xml:space="preserve">Pakistan, </w:t>
      </w:r>
      <w:r w:rsidRPr="002D6278">
        <w:rPr>
          <w:rFonts w:ascii="Book Antiqua" w:hAnsi="Book Antiqua" w:cs="Times New Roman"/>
          <w:sz w:val="16"/>
          <w:szCs w:val="16"/>
        </w:rPr>
        <w:t>India, leaving Sri Lanka</w:t>
      </w:r>
      <w:r w:rsidR="00474FC0">
        <w:rPr>
          <w:rFonts w:ascii="Book Antiqua" w:hAnsi="Book Antiqua" w:cs="Times New Roman"/>
          <w:sz w:val="16"/>
          <w:szCs w:val="16"/>
        </w:rPr>
        <w:t>, Nepal</w:t>
      </w:r>
      <w:r w:rsidRPr="002D6278">
        <w:rPr>
          <w:rFonts w:ascii="Book Antiqua" w:hAnsi="Book Antiqua" w:cs="Times New Roman"/>
          <w:sz w:val="16"/>
          <w:szCs w:val="16"/>
        </w:rPr>
        <w:t xml:space="preserve"> acutely under-represented. </w:t>
      </w:r>
      <w:r w:rsidR="00DC3186" w:rsidRPr="00DC3186">
        <w:rPr>
          <w:rFonts w:ascii="Book Antiqua" w:hAnsi="Book Antiqua" w:cs="Times New Roman"/>
          <w:sz w:val="16"/>
          <w:szCs w:val="16"/>
        </w:rPr>
        <w:t xml:space="preserve">Methodologically, the current research relies primarily on </w:t>
      </w:r>
      <w:r w:rsidR="000B7EA0" w:rsidRPr="000B7EA0">
        <w:rPr>
          <w:rFonts w:ascii="Book Antiqua" w:hAnsi="Book Antiqua" w:cs="Times New Roman"/>
          <w:sz w:val="16"/>
          <w:szCs w:val="16"/>
        </w:rPr>
        <w:t>cross-sectional survey designs and correlational data</w:t>
      </w:r>
      <w:r w:rsidR="00DC3186" w:rsidRPr="00DC3186">
        <w:rPr>
          <w:rFonts w:ascii="Book Antiqua" w:hAnsi="Book Antiqua" w:cs="Times New Roman"/>
          <w:sz w:val="16"/>
          <w:szCs w:val="16"/>
        </w:rPr>
        <w:t>, which hinders the identification of long-term causality. Moreover, restricting the literature search to English publications owing to resource limits may have overlooked key regional insights.</w:t>
      </w:r>
    </w:p>
    <w:p w14:paraId="51626347" w14:textId="44617CDE" w:rsidR="00B94611" w:rsidRPr="002D6278" w:rsidRDefault="00C16D1B" w:rsidP="00052FB0">
      <w:pPr>
        <w:jc w:val="both"/>
        <w:rPr>
          <w:rFonts w:ascii="Book Antiqua" w:hAnsi="Book Antiqua" w:cs="Times New Roman"/>
          <w:sz w:val="16"/>
          <w:szCs w:val="16"/>
        </w:rPr>
      </w:pPr>
      <w:r w:rsidRPr="002D6278">
        <w:rPr>
          <w:rFonts w:ascii="Book Antiqua" w:hAnsi="Book Antiqua" w:cs="Times New Roman"/>
          <w:sz w:val="16"/>
          <w:szCs w:val="16"/>
        </w:rPr>
        <w:t xml:space="preserve">Notwithstanding these limitations, this review advances current business and development discourse by treating technology adoption and social empowerment as an inseparable, structurally embedded causal loop. Future research must pivot toward longitudinal panel designs capable of tracking day-to-day account manipulation over time, while executing primary fieldwork in under-researched sub-regions. Ultimately, for </w:t>
      </w:r>
      <w:r w:rsidR="003B3589" w:rsidRPr="002D6278">
        <w:rPr>
          <w:rFonts w:ascii="Book Antiqua" w:hAnsi="Book Antiqua" w:cs="Times New Roman"/>
          <w:sz w:val="16"/>
          <w:szCs w:val="16"/>
        </w:rPr>
        <w:t>FinTech</w:t>
      </w:r>
      <w:r w:rsidRPr="002D6278">
        <w:rPr>
          <w:rFonts w:ascii="Book Antiqua" w:hAnsi="Book Antiqua" w:cs="Times New Roman"/>
          <w:sz w:val="16"/>
          <w:szCs w:val="16"/>
        </w:rPr>
        <w:t xml:space="preserve"> firms, development NGOs, and state policymakers, the strategic mandate is clear: to capture and empower the female consumer base of South Asia, the engineering of digital finance must move beyond expanding resource access toward structurally safeguarding user agency.</w:t>
      </w:r>
    </w:p>
    <w:p w14:paraId="6BA9D3D2" w14:textId="77777777" w:rsidR="00500FAA" w:rsidRDefault="00500FAA" w:rsidP="00052FB0">
      <w:pPr>
        <w:jc w:val="both"/>
        <w:rPr>
          <w:rFonts w:ascii="Book Antiqua" w:hAnsi="Book Antiqua" w:cs="Times New Roman"/>
          <w:b/>
          <w:bCs/>
          <w:sz w:val="16"/>
          <w:szCs w:val="16"/>
          <w:u w:val="single"/>
        </w:rPr>
      </w:pPr>
    </w:p>
    <w:p w14:paraId="7DB14DC8" w14:textId="77777777" w:rsidR="003B14F3" w:rsidRDefault="003B14F3" w:rsidP="00052FB0">
      <w:pPr>
        <w:jc w:val="both"/>
        <w:rPr>
          <w:rFonts w:ascii="Book Antiqua" w:hAnsi="Book Antiqua" w:cs="Times New Roman"/>
          <w:b/>
          <w:bCs/>
          <w:sz w:val="16"/>
          <w:szCs w:val="16"/>
          <w:u w:val="single"/>
        </w:rPr>
      </w:pPr>
    </w:p>
    <w:p w14:paraId="2BDB823D" w14:textId="77777777" w:rsidR="00E227A6" w:rsidRDefault="00E227A6" w:rsidP="00052FB0">
      <w:pPr>
        <w:jc w:val="both"/>
        <w:rPr>
          <w:rFonts w:ascii="Book Antiqua" w:hAnsi="Book Antiqua" w:cs="Times New Roman"/>
          <w:b/>
          <w:bCs/>
          <w:sz w:val="16"/>
          <w:szCs w:val="16"/>
          <w:u w:val="single"/>
        </w:rPr>
      </w:pPr>
    </w:p>
    <w:p w14:paraId="2F2E6AE9" w14:textId="77777777" w:rsidR="00E227A6" w:rsidRDefault="00E227A6" w:rsidP="00052FB0">
      <w:pPr>
        <w:jc w:val="both"/>
        <w:rPr>
          <w:rFonts w:ascii="Book Antiqua" w:hAnsi="Book Antiqua" w:cs="Times New Roman"/>
          <w:b/>
          <w:bCs/>
          <w:sz w:val="16"/>
          <w:szCs w:val="16"/>
          <w:u w:val="single"/>
        </w:rPr>
      </w:pPr>
    </w:p>
    <w:p w14:paraId="75F1CF7C" w14:textId="77777777" w:rsidR="00E227A6" w:rsidRDefault="00E227A6" w:rsidP="00052FB0">
      <w:pPr>
        <w:jc w:val="both"/>
        <w:rPr>
          <w:rFonts w:ascii="Book Antiqua" w:hAnsi="Book Antiqua" w:cs="Times New Roman"/>
          <w:b/>
          <w:bCs/>
          <w:sz w:val="16"/>
          <w:szCs w:val="16"/>
          <w:u w:val="single"/>
        </w:rPr>
      </w:pPr>
    </w:p>
    <w:p w14:paraId="38A6A233" w14:textId="77777777" w:rsidR="00E227A6" w:rsidRDefault="00E227A6" w:rsidP="00052FB0">
      <w:pPr>
        <w:jc w:val="both"/>
        <w:rPr>
          <w:rFonts w:ascii="Book Antiqua" w:hAnsi="Book Antiqua" w:cs="Times New Roman"/>
          <w:b/>
          <w:bCs/>
          <w:sz w:val="16"/>
          <w:szCs w:val="16"/>
          <w:u w:val="single"/>
        </w:rPr>
      </w:pPr>
    </w:p>
    <w:p w14:paraId="5AACFFF3" w14:textId="77777777" w:rsidR="00E227A6" w:rsidRDefault="00E227A6" w:rsidP="00052FB0">
      <w:pPr>
        <w:jc w:val="both"/>
        <w:rPr>
          <w:rFonts w:ascii="Book Antiqua" w:hAnsi="Book Antiqua" w:cs="Times New Roman"/>
          <w:b/>
          <w:bCs/>
          <w:sz w:val="16"/>
          <w:szCs w:val="16"/>
          <w:u w:val="single"/>
        </w:rPr>
      </w:pPr>
    </w:p>
    <w:p w14:paraId="63327C0B" w14:textId="77777777" w:rsidR="003B14F3" w:rsidRDefault="003B14F3" w:rsidP="00052FB0">
      <w:pPr>
        <w:jc w:val="both"/>
        <w:rPr>
          <w:rFonts w:ascii="Book Antiqua" w:hAnsi="Book Antiqua" w:cs="Times New Roman"/>
          <w:b/>
          <w:bCs/>
          <w:sz w:val="16"/>
          <w:szCs w:val="16"/>
          <w:u w:val="single"/>
        </w:rPr>
      </w:pPr>
    </w:p>
    <w:p w14:paraId="77B5F51A" w14:textId="77777777" w:rsidR="00E227A6" w:rsidRDefault="00E227A6" w:rsidP="00052FB0">
      <w:pPr>
        <w:jc w:val="both"/>
        <w:rPr>
          <w:rFonts w:ascii="Book Antiqua" w:hAnsi="Book Antiqua" w:cs="Times New Roman"/>
          <w:b/>
          <w:bCs/>
          <w:sz w:val="16"/>
          <w:szCs w:val="16"/>
          <w:u w:val="single"/>
        </w:rPr>
      </w:pPr>
    </w:p>
    <w:p w14:paraId="0ED1D967" w14:textId="77777777" w:rsidR="00E227A6" w:rsidRDefault="00E227A6" w:rsidP="00052FB0">
      <w:pPr>
        <w:jc w:val="both"/>
        <w:rPr>
          <w:rFonts w:ascii="Book Antiqua" w:hAnsi="Book Antiqua" w:cs="Times New Roman"/>
          <w:b/>
          <w:bCs/>
          <w:sz w:val="16"/>
          <w:szCs w:val="16"/>
          <w:u w:val="single"/>
        </w:rPr>
      </w:pPr>
    </w:p>
    <w:p w14:paraId="19B66EFE" w14:textId="77777777" w:rsidR="00E227A6" w:rsidRDefault="00E227A6" w:rsidP="00052FB0">
      <w:pPr>
        <w:jc w:val="both"/>
        <w:rPr>
          <w:rFonts w:ascii="Book Antiqua" w:hAnsi="Book Antiqua" w:cs="Times New Roman"/>
          <w:b/>
          <w:bCs/>
          <w:sz w:val="16"/>
          <w:szCs w:val="16"/>
          <w:u w:val="single"/>
        </w:rPr>
      </w:pPr>
    </w:p>
    <w:p w14:paraId="7AA50263" w14:textId="77777777" w:rsidR="00E227A6" w:rsidRDefault="00E227A6" w:rsidP="00052FB0">
      <w:pPr>
        <w:jc w:val="both"/>
        <w:rPr>
          <w:rFonts w:ascii="Book Antiqua" w:hAnsi="Book Antiqua" w:cs="Times New Roman"/>
          <w:b/>
          <w:bCs/>
          <w:sz w:val="16"/>
          <w:szCs w:val="16"/>
          <w:u w:val="single"/>
        </w:rPr>
      </w:pPr>
    </w:p>
    <w:p w14:paraId="326CAE66" w14:textId="77777777" w:rsidR="00E227A6" w:rsidRDefault="00E227A6" w:rsidP="00052FB0">
      <w:pPr>
        <w:jc w:val="both"/>
        <w:rPr>
          <w:rFonts w:ascii="Book Antiqua" w:hAnsi="Book Antiqua" w:cs="Times New Roman"/>
          <w:b/>
          <w:bCs/>
          <w:color w:val="0070C0"/>
          <w:sz w:val="18"/>
          <w:szCs w:val="18"/>
        </w:rPr>
      </w:pPr>
    </w:p>
    <w:p w14:paraId="482CB021" w14:textId="77777777" w:rsidR="00E227A6" w:rsidRDefault="00E227A6" w:rsidP="00052FB0">
      <w:pPr>
        <w:jc w:val="both"/>
        <w:rPr>
          <w:rFonts w:ascii="Book Antiqua" w:hAnsi="Book Antiqua" w:cs="Times New Roman"/>
          <w:b/>
          <w:bCs/>
          <w:color w:val="0070C0"/>
          <w:sz w:val="18"/>
          <w:szCs w:val="18"/>
        </w:rPr>
      </w:pPr>
    </w:p>
    <w:p w14:paraId="0E35E0E8" w14:textId="77777777" w:rsidR="00E227A6" w:rsidRDefault="00E227A6" w:rsidP="00052FB0">
      <w:pPr>
        <w:jc w:val="both"/>
        <w:rPr>
          <w:rFonts w:ascii="Book Antiqua" w:hAnsi="Book Antiqua" w:cs="Times New Roman"/>
          <w:b/>
          <w:bCs/>
          <w:color w:val="0070C0"/>
          <w:sz w:val="18"/>
          <w:szCs w:val="18"/>
        </w:rPr>
      </w:pPr>
    </w:p>
    <w:p w14:paraId="15D5FE1E" w14:textId="77777777" w:rsidR="00E227A6" w:rsidRDefault="00E227A6" w:rsidP="00052FB0">
      <w:pPr>
        <w:jc w:val="both"/>
        <w:rPr>
          <w:rFonts w:ascii="Book Antiqua" w:hAnsi="Book Antiqua" w:cs="Times New Roman"/>
          <w:b/>
          <w:bCs/>
          <w:color w:val="0070C0"/>
          <w:sz w:val="18"/>
          <w:szCs w:val="18"/>
        </w:rPr>
      </w:pPr>
    </w:p>
    <w:p w14:paraId="589142DB" w14:textId="77777777" w:rsidR="00E227A6" w:rsidRDefault="00E227A6" w:rsidP="00052FB0">
      <w:pPr>
        <w:jc w:val="both"/>
        <w:rPr>
          <w:rFonts w:ascii="Book Antiqua" w:hAnsi="Book Antiqua" w:cs="Times New Roman"/>
          <w:b/>
          <w:bCs/>
          <w:color w:val="0070C0"/>
          <w:sz w:val="18"/>
          <w:szCs w:val="18"/>
        </w:rPr>
      </w:pPr>
    </w:p>
    <w:p w14:paraId="4B2925B4" w14:textId="77777777" w:rsidR="00E227A6" w:rsidRDefault="00E227A6" w:rsidP="00052FB0">
      <w:pPr>
        <w:jc w:val="both"/>
        <w:rPr>
          <w:rFonts w:ascii="Book Antiqua" w:hAnsi="Book Antiqua" w:cs="Times New Roman"/>
          <w:b/>
          <w:bCs/>
          <w:color w:val="0070C0"/>
          <w:sz w:val="18"/>
          <w:szCs w:val="18"/>
        </w:rPr>
      </w:pPr>
    </w:p>
    <w:p w14:paraId="62D44234" w14:textId="77777777" w:rsidR="00E227A6" w:rsidRDefault="00E227A6" w:rsidP="00052FB0">
      <w:pPr>
        <w:jc w:val="both"/>
        <w:rPr>
          <w:rFonts w:ascii="Book Antiqua" w:hAnsi="Book Antiqua" w:cs="Times New Roman"/>
          <w:b/>
          <w:bCs/>
          <w:color w:val="0070C0"/>
          <w:sz w:val="18"/>
          <w:szCs w:val="18"/>
        </w:rPr>
      </w:pPr>
    </w:p>
    <w:p w14:paraId="1116D2EE" w14:textId="77777777" w:rsidR="00E227A6" w:rsidRDefault="00E227A6" w:rsidP="00052FB0">
      <w:pPr>
        <w:jc w:val="both"/>
        <w:rPr>
          <w:rFonts w:ascii="Book Antiqua" w:hAnsi="Book Antiqua" w:cs="Times New Roman"/>
          <w:b/>
          <w:bCs/>
          <w:color w:val="0070C0"/>
          <w:sz w:val="18"/>
          <w:szCs w:val="18"/>
        </w:rPr>
      </w:pPr>
    </w:p>
    <w:p w14:paraId="1E9ED02B" w14:textId="77777777" w:rsidR="00E227A6" w:rsidRDefault="00E227A6" w:rsidP="00052FB0">
      <w:pPr>
        <w:jc w:val="both"/>
        <w:rPr>
          <w:rFonts w:ascii="Book Antiqua" w:hAnsi="Book Antiqua" w:cs="Times New Roman"/>
          <w:b/>
          <w:bCs/>
          <w:color w:val="0070C0"/>
          <w:sz w:val="18"/>
          <w:szCs w:val="18"/>
        </w:rPr>
      </w:pPr>
    </w:p>
    <w:p w14:paraId="220E8403" w14:textId="77777777" w:rsidR="00E227A6" w:rsidRDefault="00E227A6" w:rsidP="00052FB0">
      <w:pPr>
        <w:jc w:val="both"/>
        <w:rPr>
          <w:rFonts w:ascii="Book Antiqua" w:hAnsi="Book Antiqua" w:cs="Times New Roman"/>
          <w:b/>
          <w:bCs/>
          <w:color w:val="0070C0"/>
          <w:sz w:val="18"/>
          <w:szCs w:val="18"/>
        </w:rPr>
      </w:pPr>
    </w:p>
    <w:p w14:paraId="253D9109" w14:textId="4D827D52" w:rsidR="00E86A7E" w:rsidRDefault="00C6481C" w:rsidP="001F4664">
      <w:pPr>
        <w:spacing w:after="0"/>
        <w:jc w:val="both"/>
        <w:rPr>
          <w:rFonts w:ascii="Book Antiqua" w:hAnsi="Book Antiqua" w:cs="Times New Roman"/>
          <w:b/>
          <w:bCs/>
          <w:color w:val="0070C0"/>
          <w:sz w:val="18"/>
          <w:szCs w:val="18"/>
        </w:rPr>
      </w:pPr>
      <w:r w:rsidRPr="00C6481C">
        <w:rPr>
          <w:rFonts w:ascii="Book Antiqua" w:hAnsi="Book Antiqua" w:cs="Times New Roman"/>
          <w:b/>
          <w:bCs/>
          <w:color w:val="0070C0"/>
          <w:sz w:val="18"/>
          <w:szCs w:val="18"/>
        </w:rPr>
        <w:lastRenderedPageBreak/>
        <w:t xml:space="preserve">8. </w:t>
      </w:r>
      <w:r w:rsidR="00940018">
        <w:rPr>
          <w:rFonts w:ascii="Book Antiqua" w:hAnsi="Book Antiqua" w:cs="Times New Roman"/>
          <w:b/>
          <w:bCs/>
          <w:color w:val="0070C0"/>
          <w:sz w:val="18"/>
          <w:szCs w:val="18"/>
        </w:rPr>
        <w:t>Bibliography</w:t>
      </w:r>
    </w:p>
    <w:p w14:paraId="39F6EA8A" w14:textId="77777777" w:rsidR="001F4664" w:rsidRPr="00C6481C" w:rsidRDefault="001F4664" w:rsidP="001F4664">
      <w:pPr>
        <w:spacing w:after="0"/>
        <w:jc w:val="both"/>
        <w:rPr>
          <w:rFonts w:ascii="Book Antiqua" w:hAnsi="Book Antiqua" w:cs="Times New Roman"/>
          <w:b/>
          <w:bCs/>
          <w:color w:val="0070C0"/>
          <w:sz w:val="18"/>
          <w:szCs w:val="18"/>
        </w:rPr>
      </w:pPr>
    </w:p>
    <w:p w14:paraId="159CF41D"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Asongu, S.A. and Nwachukwu, J.C. (2018) 'Comparative human development thresholds for absolute and relative pro-poor mobile banking in developing countries', </w:t>
      </w:r>
      <w:r w:rsidRPr="00D97811">
        <w:rPr>
          <w:rFonts w:ascii="Book Antiqua" w:eastAsia="Times New Roman" w:hAnsi="Book Antiqua" w:cs="Times New Roman"/>
          <w:i/>
          <w:iCs/>
          <w:kern w:val="0"/>
          <w:sz w:val="16"/>
          <w:szCs w:val="16"/>
          <w:lang w:eastAsia="en-GB"/>
          <w14:ligatures w14:val="none"/>
        </w:rPr>
        <w:t>Information Technology &amp; People</w:t>
      </w:r>
      <w:r w:rsidRPr="00D97811">
        <w:rPr>
          <w:rFonts w:ascii="Book Antiqua" w:eastAsia="Times New Roman" w:hAnsi="Book Antiqua" w:cs="Times New Roman"/>
          <w:kern w:val="0"/>
          <w:sz w:val="16"/>
          <w:szCs w:val="16"/>
          <w:lang w:eastAsia="en-GB"/>
          <w14:ligatures w14:val="none"/>
        </w:rPr>
        <w:t>, 31(1), pp. 63–83.</w:t>
      </w:r>
    </w:p>
    <w:p w14:paraId="414DC7FD"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Aziz, F., Sheikh, S.M. and Shah, I.H. (2022) 'Financial inclusion for women empowerment in South Asian countries', </w:t>
      </w:r>
      <w:r w:rsidRPr="00D97811">
        <w:rPr>
          <w:rFonts w:ascii="Book Antiqua" w:eastAsia="Times New Roman" w:hAnsi="Book Antiqua" w:cs="Times New Roman"/>
          <w:i/>
          <w:iCs/>
          <w:kern w:val="0"/>
          <w:sz w:val="16"/>
          <w:szCs w:val="16"/>
          <w:lang w:eastAsia="en-GB"/>
          <w14:ligatures w14:val="none"/>
        </w:rPr>
        <w:t>Journal of Financial Regulation and Compliance</w:t>
      </w:r>
      <w:r w:rsidRPr="00D97811">
        <w:rPr>
          <w:rFonts w:ascii="Book Antiqua" w:eastAsia="Times New Roman" w:hAnsi="Book Antiqua" w:cs="Times New Roman"/>
          <w:kern w:val="0"/>
          <w:sz w:val="16"/>
          <w:szCs w:val="16"/>
          <w:lang w:eastAsia="en-GB"/>
          <w14:ligatures w14:val="none"/>
        </w:rPr>
        <w:t>, 30(4), pp. 489–502.</w:t>
      </w:r>
    </w:p>
    <w:p w14:paraId="5FFE0B60"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Brody, C., de Hoop, T., Vojtkova, M., Warnock, R., Dunbar, M., Murthy, P. and Dworkin, S.L. (2017) 'Can self-help group programmes improve women's empowerment? A systematic review', </w:t>
      </w:r>
      <w:r w:rsidRPr="00D97811">
        <w:rPr>
          <w:rFonts w:ascii="Book Antiqua" w:eastAsia="Times New Roman" w:hAnsi="Book Antiqua" w:cs="Times New Roman"/>
          <w:i/>
          <w:iCs/>
          <w:kern w:val="0"/>
          <w:sz w:val="16"/>
          <w:szCs w:val="16"/>
          <w:lang w:eastAsia="en-GB"/>
          <w14:ligatures w14:val="none"/>
        </w:rPr>
        <w:t>Journal of Development Effectiveness</w:t>
      </w:r>
      <w:r w:rsidRPr="00D97811">
        <w:rPr>
          <w:rFonts w:ascii="Book Antiqua" w:eastAsia="Times New Roman" w:hAnsi="Book Antiqua" w:cs="Times New Roman"/>
          <w:kern w:val="0"/>
          <w:sz w:val="16"/>
          <w:szCs w:val="16"/>
          <w:lang w:eastAsia="en-GB"/>
          <w14:ligatures w14:val="none"/>
        </w:rPr>
        <w:t>, 9(1), pp. 15–40.</w:t>
      </w:r>
    </w:p>
    <w:p w14:paraId="3007533E"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Chauhan, S., Akhtar, A. and Gupta, A. (2022) 'Customer experience in digital banking: A review and future research directions', </w:t>
      </w:r>
      <w:r w:rsidRPr="00D97811">
        <w:rPr>
          <w:rFonts w:ascii="Book Antiqua" w:eastAsia="Times New Roman" w:hAnsi="Book Antiqua" w:cs="Times New Roman"/>
          <w:i/>
          <w:iCs/>
          <w:kern w:val="0"/>
          <w:sz w:val="16"/>
          <w:szCs w:val="16"/>
          <w:lang w:eastAsia="en-GB"/>
          <w14:ligatures w14:val="none"/>
        </w:rPr>
        <w:t>International Journal of Quality and Service Sciences</w:t>
      </w:r>
      <w:r w:rsidRPr="00D97811">
        <w:rPr>
          <w:rFonts w:ascii="Book Antiqua" w:eastAsia="Times New Roman" w:hAnsi="Book Antiqua" w:cs="Times New Roman"/>
          <w:kern w:val="0"/>
          <w:sz w:val="16"/>
          <w:szCs w:val="16"/>
          <w:lang w:eastAsia="en-GB"/>
          <w14:ligatures w14:val="none"/>
        </w:rPr>
        <w:t>, 14(2), pp. 311–348.</w:t>
      </w:r>
    </w:p>
    <w:p w14:paraId="2411448C"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Chowdhury, S., Islam, M.T. and Hasan, M.M. (2023) 'Factors influencing the adoption of mobile financial services in rural Bangladesh', </w:t>
      </w:r>
      <w:r w:rsidRPr="00D97811">
        <w:rPr>
          <w:rFonts w:ascii="Book Antiqua" w:eastAsia="Times New Roman" w:hAnsi="Book Antiqua" w:cs="Times New Roman"/>
          <w:i/>
          <w:iCs/>
          <w:kern w:val="0"/>
          <w:sz w:val="16"/>
          <w:szCs w:val="16"/>
          <w:lang w:eastAsia="en-GB"/>
          <w14:ligatures w14:val="none"/>
        </w:rPr>
        <w:t>International Journal of Financial Studies</w:t>
      </w:r>
      <w:r w:rsidRPr="00D97811">
        <w:rPr>
          <w:rFonts w:ascii="Book Antiqua" w:eastAsia="Times New Roman" w:hAnsi="Book Antiqua" w:cs="Times New Roman"/>
          <w:kern w:val="0"/>
          <w:sz w:val="16"/>
          <w:szCs w:val="16"/>
          <w:lang w:eastAsia="en-GB"/>
          <w14:ligatures w14:val="none"/>
        </w:rPr>
        <w:t>, 11(1), pp. 89–102.</w:t>
      </w:r>
    </w:p>
    <w:p w14:paraId="457F6C3A"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Davis, F.D. (1989) 'Perceived usefulness, perceived ease of use, and user acceptance of information technology', </w:t>
      </w:r>
      <w:r w:rsidRPr="00D97811">
        <w:rPr>
          <w:rFonts w:ascii="Book Antiqua" w:eastAsia="Times New Roman" w:hAnsi="Book Antiqua" w:cs="Times New Roman"/>
          <w:i/>
          <w:iCs/>
          <w:kern w:val="0"/>
          <w:sz w:val="16"/>
          <w:szCs w:val="16"/>
          <w:lang w:eastAsia="en-GB"/>
          <w14:ligatures w14:val="none"/>
        </w:rPr>
        <w:t>MIS Quarterly</w:t>
      </w:r>
      <w:r w:rsidRPr="00D97811">
        <w:rPr>
          <w:rFonts w:ascii="Book Antiqua" w:eastAsia="Times New Roman" w:hAnsi="Book Antiqua" w:cs="Times New Roman"/>
          <w:kern w:val="0"/>
          <w:sz w:val="16"/>
          <w:szCs w:val="16"/>
          <w:lang w:eastAsia="en-GB"/>
          <w14:ligatures w14:val="none"/>
        </w:rPr>
        <w:t>, 13(3), pp. 319–340.</w:t>
      </w:r>
    </w:p>
    <w:p w14:paraId="4467BDD8"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Demirgüç-Kunt, A., Klapper, L., Singer, D., Ansar, S. and Hess, J. (2018) </w:t>
      </w:r>
      <w:r w:rsidRPr="00D97811">
        <w:rPr>
          <w:rFonts w:ascii="Book Antiqua" w:eastAsia="Times New Roman" w:hAnsi="Book Antiqua" w:cs="Times New Roman"/>
          <w:i/>
          <w:iCs/>
          <w:kern w:val="0"/>
          <w:sz w:val="16"/>
          <w:szCs w:val="16"/>
          <w:lang w:eastAsia="en-GB"/>
          <w14:ligatures w14:val="none"/>
        </w:rPr>
        <w:t>The Global Findex Database 2017: Measuring financial inclusion and the FinTech revolution</w:t>
      </w:r>
      <w:r w:rsidRPr="00D97811">
        <w:rPr>
          <w:rFonts w:ascii="Book Antiqua" w:eastAsia="Times New Roman" w:hAnsi="Book Antiqua" w:cs="Times New Roman"/>
          <w:kern w:val="0"/>
          <w:sz w:val="16"/>
          <w:szCs w:val="16"/>
          <w:lang w:eastAsia="en-GB"/>
          <w14:ligatures w14:val="none"/>
        </w:rPr>
        <w:t>. Washington, DC: World Bank.</w:t>
      </w:r>
    </w:p>
    <w:p w14:paraId="5AEAD9F7"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Demirgüç-Kunt, A., Klapper, L., Singer, D. and Ansar, S. (2022) </w:t>
      </w:r>
      <w:r w:rsidRPr="00D97811">
        <w:rPr>
          <w:rFonts w:ascii="Book Antiqua" w:eastAsia="Times New Roman" w:hAnsi="Book Antiqua" w:cs="Times New Roman"/>
          <w:i/>
          <w:iCs/>
          <w:kern w:val="0"/>
          <w:sz w:val="16"/>
          <w:szCs w:val="16"/>
          <w:lang w:eastAsia="en-GB"/>
          <w14:ligatures w14:val="none"/>
        </w:rPr>
        <w:t>The Global Findex Database 2021: Financial inclusion, digital payments, and resilience in the age of COVID-19</w:t>
      </w:r>
      <w:r w:rsidRPr="00D97811">
        <w:rPr>
          <w:rFonts w:ascii="Book Antiqua" w:eastAsia="Times New Roman" w:hAnsi="Book Antiqua" w:cs="Times New Roman"/>
          <w:kern w:val="0"/>
          <w:sz w:val="16"/>
          <w:szCs w:val="16"/>
          <w:lang w:eastAsia="en-GB"/>
          <w14:ligatures w14:val="none"/>
        </w:rPr>
        <w:t>. Washington, DC: World Bank.</w:t>
      </w:r>
    </w:p>
    <w:p w14:paraId="7EB8B20B"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Denyer, D., Tranfield, D. and van Aken, J.E. (2008) 'Developing design propositions through research synthesis', </w:t>
      </w:r>
      <w:r w:rsidRPr="00D97811">
        <w:rPr>
          <w:rFonts w:ascii="Book Antiqua" w:eastAsia="Times New Roman" w:hAnsi="Book Antiqua" w:cs="Times New Roman"/>
          <w:i/>
          <w:iCs/>
          <w:kern w:val="0"/>
          <w:sz w:val="16"/>
          <w:szCs w:val="16"/>
          <w:lang w:eastAsia="en-GB"/>
          <w14:ligatures w14:val="none"/>
        </w:rPr>
        <w:t>Organization Studies</w:t>
      </w:r>
      <w:r w:rsidRPr="00D97811">
        <w:rPr>
          <w:rFonts w:ascii="Book Antiqua" w:eastAsia="Times New Roman" w:hAnsi="Book Antiqua" w:cs="Times New Roman"/>
          <w:kern w:val="0"/>
          <w:sz w:val="16"/>
          <w:szCs w:val="16"/>
          <w:lang w:eastAsia="en-GB"/>
          <w14:ligatures w14:val="none"/>
        </w:rPr>
        <w:t>, 29(3), pp. 393–413.</w:t>
      </w:r>
    </w:p>
    <w:p w14:paraId="0E933D9F"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Dey, S. and Majumder, S. (2024) 'Determinants influencing the adoption of mobile banking by women in Bangladesh', </w:t>
      </w:r>
      <w:r w:rsidRPr="00D97811">
        <w:rPr>
          <w:rFonts w:ascii="Book Antiqua" w:eastAsia="Times New Roman" w:hAnsi="Book Antiqua" w:cs="Times New Roman"/>
          <w:i/>
          <w:iCs/>
          <w:kern w:val="0"/>
          <w:sz w:val="16"/>
          <w:szCs w:val="16"/>
          <w:lang w:eastAsia="en-GB"/>
          <w14:ligatures w14:val="none"/>
        </w:rPr>
        <w:t>Journal of Global Business Insights</w:t>
      </w:r>
      <w:r w:rsidRPr="00D97811">
        <w:rPr>
          <w:rFonts w:ascii="Book Antiqua" w:eastAsia="Times New Roman" w:hAnsi="Book Antiqua" w:cs="Times New Roman"/>
          <w:kern w:val="0"/>
          <w:sz w:val="16"/>
          <w:szCs w:val="16"/>
          <w:lang w:eastAsia="en-GB"/>
          <w14:ligatures w14:val="none"/>
        </w:rPr>
        <w:t>, 9(1), pp. 61–76.</w:t>
      </w:r>
    </w:p>
    <w:p w14:paraId="41AFA659"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Ghosh, S. and Vinod, D. (2017) 'What constrains financial inclusion for women? Evidence from Indian micro data', </w:t>
      </w:r>
      <w:r w:rsidRPr="00D97811">
        <w:rPr>
          <w:rFonts w:ascii="Book Antiqua" w:eastAsia="Times New Roman" w:hAnsi="Book Antiqua" w:cs="Times New Roman"/>
          <w:i/>
          <w:iCs/>
          <w:kern w:val="0"/>
          <w:sz w:val="16"/>
          <w:szCs w:val="16"/>
          <w:lang w:eastAsia="en-GB"/>
          <w14:ligatures w14:val="none"/>
        </w:rPr>
        <w:t>World Development</w:t>
      </w:r>
      <w:r w:rsidRPr="00D97811">
        <w:rPr>
          <w:rFonts w:ascii="Book Antiqua" w:eastAsia="Times New Roman" w:hAnsi="Book Antiqua" w:cs="Times New Roman"/>
          <w:kern w:val="0"/>
          <w:sz w:val="16"/>
          <w:szCs w:val="16"/>
          <w:lang w:eastAsia="en-GB"/>
          <w14:ligatures w14:val="none"/>
        </w:rPr>
        <w:t>, 92, pp. 60–81.</w:t>
      </w:r>
    </w:p>
    <w:p w14:paraId="0A8D76E8"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Gomber, P., Koch, J.A. and Siering, M. (2017) 'Digital finance and FinTech: Current research and future research directions', </w:t>
      </w:r>
      <w:r w:rsidRPr="00D97811">
        <w:rPr>
          <w:rFonts w:ascii="Book Antiqua" w:eastAsia="Times New Roman" w:hAnsi="Book Antiqua" w:cs="Times New Roman"/>
          <w:i/>
          <w:iCs/>
          <w:kern w:val="0"/>
          <w:sz w:val="16"/>
          <w:szCs w:val="16"/>
          <w:lang w:eastAsia="en-GB"/>
          <w14:ligatures w14:val="none"/>
        </w:rPr>
        <w:t>Journal of Business Economics</w:t>
      </w:r>
      <w:r w:rsidRPr="00D97811">
        <w:rPr>
          <w:rFonts w:ascii="Book Antiqua" w:eastAsia="Times New Roman" w:hAnsi="Book Antiqua" w:cs="Times New Roman"/>
          <w:kern w:val="0"/>
          <w:sz w:val="16"/>
          <w:szCs w:val="16"/>
          <w:lang w:eastAsia="en-GB"/>
          <w14:ligatures w14:val="none"/>
        </w:rPr>
        <w:t>, 87(5), pp. 537–580.</w:t>
      </w:r>
    </w:p>
    <w:p w14:paraId="70175C33" w14:textId="77777777" w:rsidR="00802188" w:rsidRPr="00D97811" w:rsidRDefault="00802188"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D97811">
        <w:rPr>
          <w:rFonts w:ascii="Book Antiqua" w:eastAsia="Times New Roman" w:hAnsi="Book Antiqua" w:cs="Times New Roman"/>
          <w:kern w:val="0"/>
          <w:sz w:val="16"/>
          <w:szCs w:val="16"/>
          <w:lang w:eastAsia="en-GB"/>
          <w14:ligatures w14:val="none"/>
        </w:rPr>
        <w:t xml:space="preserve">GSMA (2025) </w:t>
      </w:r>
      <w:r w:rsidRPr="00D97811">
        <w:rPr>
          <w:rFonts w:ascii="Book Antiqua" w:eastAsia="Times New Roman" w:hAnsi="Book Antiqua" w:cs="Times New Roman"/>
          <w:i/>
          <w:iCs/>
          <w:kern w:val="0"/>
          <w:sz w:val="16"/>
          <w:szCs w:val="16"/>
          <w:lang w:eastAsia="en-GB"/>
          <w14:ligatures w14:val="none"/>
        </w:rPr>
        <w:t>The Mobile Gender Gap Report 2025</w:t>
      </w:r>
      <w:r w:rsidRPr="00D97811">
        <w:rPr>
          <w:rFonts w:ascii="Book Antiqua" w:eastAsia="Times New Roman" w:hAnsi="Book Antiqua" w:cs="Times New Roman"/>
          <w:kern w:val="0"/>
          <w:sz w:val="16"/>
          <w:szCs w:val="16"/>
          <w:lang w:eastAsia="en-GB"/>
          <w14:ligatures w14:val="none"/>
        </w:rPr>
        <w:t>. London: GSMA.</w:t>
      </w:r>
    </w:p>
    <w:p w14:paraId="17D466DD" w14:textId="521D392F"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Guérin, I., Kumar, S. and Agier, I. (2013) 'Women's empowerment: Power to act or power over other women? Lessons from Indian microfinance', Oxford Development Studies, 41(Suppl. 1), pp. S76–S94.</w:t>
      </w:r>
    </w:p>
    <w:p w14:paraId="6A8783BD" w14:textId="600968C8"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Hendriks, S. (2019) 'The role of financial inclusion in driving women's economic empowerment', Development in Practice, 29(8), pp. 1029–1038.</w:t>
      </w:r>
    </w:p>
    <w:p w14:paraId="046623E8" w14:textId="18D1C064"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Hoque, M.Z., Chowdhury, N.J., Hossain, A.A. and Tabassum, T. (2024) 'Social and facilitating influences in FinTech user intention and the FinTech gender gap', Heliyon, 10(1).</w:t>
      </w:r>
    </w:p>
    <w:p w14:paraId="00039B30" w14:textId="1914DC7B"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Ibtasam, S., Mehmood, H., Razaq, L., Webster, J., Yu, S. and Anderson, R. (2017) 'An exploration of smartphone-based mobile money applications in Pakistan', in Proceedings of the Ninth International Conference on Information and Communication Technologies and Development (ICTD 2017). New York: Association for Computing Machinery, pp. 1–11.</w:t>
      </w:r>
    </w:p>
    <w:p w14:paraId="35A533C5" w14:textId="7A5F0751"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Ibtasam, S., Razaq, L., Anwar, H.W., Mehmood, H., Shah, K., Webster, J., Kumar, N. and Anderson, R. (2018) 'Knowledge, access and decision-making: Women's financial inclusion in Pakistan', in Proceedings of the 2018 ACM SIGCAS Conference on Computing and Sustainable Societies (COMPASS). New York: Association for Computing Machinery, pp. 1–12.</w:t>
      </w:r>
    </w:p>
    <w:p w14:paraId="6465F774" w14:textId="48E1157A"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Jack, W. and Suri, T. (2014) 'Risk sharing and transactions costs: Evidence from Kenya's mobile money revolution', American Economic Review, 104(1), pp. 183–223.</w:t>
      </w:r>
    </w:p>
    <w:p w14:paraId="5B6D1266" w14:textId="4B8A1409"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Kabeer, N. (1999) 'Resources, agency, achievements: Reflections on the measurement of women's empowerment', Development and Change, 30(3), pp. 435–464.</w:t>
      </w:r>
    </w:p>
    <w:p w14:paraId="60DEC227" w14:textId="5D9FE93B"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Kabeer, N. (202</w:t>
      </w:r>
      <w:r>
        <w:rPr>
          <w:rFonts w:ascii="Book Antiqua" w:eastAsia="Times New Roman" w:hAnsi="Book Antiqua" w:cs="Times New Roman"/>
          <w:kern w:val="0"/>
          <w:sz w:val="16"/>
          <w:szCs w:val="16"/>
          <w:lang w:eastAsia="en-GB"/>
          <w14:ligatures w14:val="none"/>
        </w:rPr>
        <w:t>0</w:t>
      </w:r>
      <w:r w:rsidRPr="00607980">
        <w:rPr>
          <w:rFonts w:ascii="Book Antiqua" w:eastAsia="Times New Roman" w:hAnsi="Book Antiqua" w:cs="Times New Roman"/>
          <w:kern w:val="0"/>
          <w:sz w:val="16"/>
          <w:szCs w:val="16"/>
          <w:lang w:eastAsia="en-GB"/>
          <w14:ligatures w14:val="none"/>
        </w:rPr>
        <w:t>) 'Women's empowerment and economic development: A feminist critique of storytelling practices in "randomista" economics', Feminist Economics, 27(2), pp. 1–26.</w:t>
      </w:r>
    </w:p>
    <w:p w14:paraId="7A332816" w14:textId="722E3FEF"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Kaur, S. and Kapuria, C. (2020) 'Determinants of financial inclusion in rural India: Does gender matter?', International Journal of Social Economics, 47(6), pp. 747–767.</w:t>
      </w:r>
    </w:p>
    <w:p w14:paraId="6A1432AB" w14:textId="39DB8C99"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Koomson, I., Villano, R.A. and Hadley, D. (2020) 'Intensifying financial inclusion through the provision of financial literacy training: A gendered perspective', Applied Economics, 52(4), pp. 375–387.</w:t>
      </w:r>
    </w:p>
    <w:p w14:paraId="23E8CB26" w14:textId="77777777" w:rsidR="00607980" w:rsidRP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Kulkarni, L. and Ghosh, A. (2021) 'Gender disparity in the digitalization of financial services: Challenges and promises for women's financial inclusion in India', Gender, Technology and Development, 25(2), pp. 233–250.</w:t>
      </w:r>
    </w:p>
    <w:p w14:paraId="34EE3BD7" w14:textId="77777777" w:rsidR="00607980" w:rsidRDefault="00607980"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607980">
        <w:rPr>
          <w:rFonts w:ascii="Book Antiqua" w:eastAsia="Times New Roman" w:hAnsi="Book Antiqua" w:cs="Times New Roman"/>
          <w:kern w:val="0"/>
          <w:sz w:val="16"/>
          <w:szCs w:val="16"/>
          <w:lang w:eastAsia="en-GB"/>
          <w14:ligatures w14:val="none"/>
        </w:rPr>
        <w:t>Kumar, N., Raghunathan, K., Arrieta, A., Jilani, A. and Pandey, S. (2021) 'The power of the collective empowers women: Evidence from self-help groups in India', World Development, 146, Article 105579.</w:t>
      </w:r>
    </w:p>
    <w:p w14:paraId="07E1B63D"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Lee, J.N., Morduch, J., Ravindran, S., Shonchoy, A. and Zaman, H. (2021) 'Poverty and migration in the digital age: Experimental evidence on mobile banking in Bangladesh', </w:t>
      </w:r>
      <w:r w:rsidRPr="001A58CC">
        <w:rPr>
          <w:rFonts w:ascii="Book Antiqua" w:eastAsia="Times New Roman" w:hAnsi="Book Antiqua" w:cs="Times New Roman"/>
          <w:i/>
          <w:iCs/>
          <w:kern w:val="0"/>
          <w:sz w:val="16"/>
          <w:szCs w:val="16"/>
          <w:lang w:eastAsia="en-GB"/>
          <w14:ligatures w14:val="none"/>
        </w:rPr>
        <w:t>American Economic Journal: Applied Economics</w:t>
      </w:r>
      <w:r w:rsidRPr="001A58CC">
        <w:rPr>
          <w:rFonts w:ascii="Book Antiqua" w:eastAsia="Times New Roman" w:hAnsi="Book Antiqua" w:cs="Times New Roman"/>
          <w:kern w:val="0"/>
          <w:sz w:val="16"/>
          <w:szCs w:val="16"/>
          <w:lang w:eastAsia="en-GB"/>
          <w14:ligatures w14:val="none"/>
        </w:rPr>
        <w:t>, 13(1), pp. 38–71.</w:t>
      </w:r>
    </w:p>
    <w:p w14:paraId="7918FFAC"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Mishra, S. and Sahoo, C.K. (2025) 'Does mobile FinTech utilization mediate the relationship between access to finance and sustainable entrepreneurial performance of women entrepreneurs in India?', </w:t>
      </w:r>
      <w:r w:rsidRPr="001A58CC">
        <w:rPr>
          <w:rFonts w:ascii="Book Antiqua" w:eastAsia="Times New Roman" w:hAnsi="Book Antiqua" w:cs="Times New Roman"/>
          <w:i/>
          <w:iCs/>
          <w:kern w:val="0"/>
          <w:sz w:val="16"/>
          <w:szCs w:val="16"/>
          <w:lang w:eastAsia="en-GB"/>
          <w14:ligatures w14:val="none"/>
        </w:rPr>
        <w:t>Journal of Enterprising Communities: People and Places in the Global Economy</w:t>
      </w:r>
      <w:r w:rsidRPr="001A58CC">
        <w:rPr>
          <w:rFonts w:ascii="Book Antiqua" w:eastAsia="Times New Roman" w:hAnsi="Book Antiqua" w:cs="Times New Roman"/>
          <w:kern w:val="0"/>
          <w:sz w:val="16"/>
          <w:szCs w:val="16"/>
          <w:lang w:eastAsia="en-GB"/>
          <w14:ligatures w14:val="none"/>
        </w:rPr>
        <w:t>, pp. 1–25.</w:t>
      </w:r>
    </w:p>
    <w:p w14:paraId="4F156E8E"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Mustafa, M., Mazhar, N., Asghar, A., Usmani, M.Z., Razaq, L. and Anderson, R. (2019) 'Digital financial needs of micro-entrepreneur women in Pakistan: Is mobile money the answer?', in </w:t>
      </w:r>
      <w:r w:rsidRPr="001A58CC">
        <w:rPr>
          <w:rFonts w:ascii="Book Antiqua" w:eastAsia="Times New Roman" w:hAnsi="Book Antiqua" w:cs="Times New Roman"/>
          <w:i/>
          <w:iCs/>
          <w:kern w:val="0"/>
          <w:sz w:val="16"/>
          <w:szCs w:val="16"/>
          <w:lang w:eastAsia="en-GB"/>
          <w14:ligatures w14:val="none"/>
        </w:rPr>
        <w:t>Proceedings of the 2019 CHI Conference on Human Factors in Computing Systems</w:t>
      </w:r>
      <w:r w:rsidRPr="001A58CC">
        <w:rPr>
          <w:rFonts w:ascii="Book Antiqua" w:eastAsia="Times New Roman" w:hAnsi="Book Antiqua" w:cs="Times New Roman"/>
          <w:kern w:val="0"/>
          <w:sz w:val="16"/>
          <w:szCs w:val="16"/>
          <w:lang w:eastAsia="en-GB"/>
          <w14:ligatures w14:val="none"/>
        </w:rPr>
        <w:t>. New York: Association for Computing Machinery, pp. 1–12.</w:t>
      </w:r>
    </w:p>
    <w:p w14:paraId="043F2E35"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Natile, S. (2019) 'Regulating exclusions? Gender, development and the limits of inclusionary financial platforms', </w:t>
      </w:r>
      <w:r w:rsidRPr="001A58CC">
        <w:rPr>
          <w:rFonts w:ascii="Book Antiqua" w:eastAsia="Times New Roman" w:hAnsi="Book Antiqua" w:cs="Times New Roman"/>
          <w:i/>
          <w:iCs/>
          <w:kern w:val="0"/>
          <w:sz w:val="16"/>
          <w:szCs w:val="16"/>
          <w:lang w:eastAsia="en-GB"/>
          <w14:ligatures w14:val="none"/>
        </w:rPr>
        <w:t>International Journal of Law in Context</w:t>
      </w:r>
      <w:r w:rsidRPr="001A58CC">
        <w:rPr>
          <w:rFonts w:ascii="Book Antiqua" w:eastAsia="Times New Roman" w:hAnsi="Book Antiqua" w:cs="Times New Roman"/>
          <w:kern w:val="0"/>
          <w:sz w:val="16"/>
          <w:szCs w:val="16"/>
          <w:lang w:eastAsia="en-GB"/>
          <w14:ligatures w14:val="none"/>
        </w:rPr>
        <w:t>, 15(4), pp. 461–478.</w:t>
      </w:r>
    </w:p>
    <w:p w14:paraId="06DC5AF5"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Ozili, P.K. (2018) 'Impact of digital finance on financial inclusion and stability', </w:t>
      </w:r>
      <w:r w:rsidRPr="001A58CC">
        <w:rPr>
          <w:rFonts w:ascii="Book Antiqua" w:eastAsia="Times New Roman" w:hAnsi="Book Antiqua" w:cs="Times New Roman"/>
          <w:i/>
          <w:iCs/>
          <w:kern w:val="0"/>
          <w:sz w:val="16"/>
          <w:szCs w:val="16"/>
          <w:lang w:eastAsia="en-GB"/>
          <w14:ligatures w14:val="none"/>
        </w:rPr>
        <w:t>Borsa Istanbul Review</w:t>
      </w:r>
      <w:r w:rsidRPr="001A58CC">
        <w:rPr>
          <w:rFonts w:ascii="Book Antiqua" w:eastAsia="Times New Roman" w:hAnsi="Book Antiqua" w:cs="Times New Roman"/>
          <w:kern w:val="0"/>
          <w:sz w:val="16"/>
          <w:szCs w:val="16"/>
          <w:lang w:eastAsia="en-GB"/>
          <w14:ligatures w14:val="none"/>
        </w:rPr>
        <w:t>, 18(4), pp. 329–340.</w:t>
      </w:r>
    </w:p>
    <w:p w14:paraId="4E9A2938"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Ozili, P.K. (2020) 'Contesting digital finance for the poor', </w:t>
      </w:r>
      <w:r w:rsidRPr="001A58CC">
        <w:rPr>
          <w:rFonts w:ascii="Book Antiqua" w:eastAsia="Times New Roman" w:hAnsi="Book Antiqua" w:cs="Times New Roman"/>
          <w:i/>
          <w:iCs/>
          <w:kern w:val="0"/>
          <w:sz w:val="16"/>
          <w:szCs w:val="16"/>
          <w:lang w:eastAsia="en-GB"/>
          <w14:ligatures w14:val="none"/>
        </w:rPr>
        <w:t>Financial Innovation</w:t>
      </w:r>
      <w:r w:rsidRPr="001A58CC">
        <w:rPr>
          <w:rFonts w:ascii="Book Antiqua" w:eastAsia="Times New Roman" w:hAnsi="Book Antiqua" w:cs="Times New Roman"/>
          <w:kern w:val="0"/>
          <w:sz w:val="16"/>
          <w:szCs w:val="16"/>
          <w:lang w:eastAsia="en-GB"/>
          <w14:ligatures w14:val="none"/>
        </w:rPr>
        <w:t>, 6(1), Article 32.</w:t>
      </w:r>
    </w:p>
    <w:p w14:paraId="0B2C1660"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Padma Kiran, K. and Vedala, N.S. (2025) 'Assessing Unified Payments Interface (UPI) adoption and usage through the interplay of UTAUT factors', </w:t>
      </w:r>
      <w:r w:rsidRPr="001A58CC">
        <w:rPr>
          <w:rFonts w:ascii="Book Antiqua" w:eastAsia="Times New Roman" w:hAnsi="Book Antiqua" w:cs="Times New Roman"/>
          <w:i/>
          <w:iCs/>
          <w:kern w:val="0"/>
          <w:sz w:val="16"/>
          <w:szCs w:val="16"/>
          <w:lang w:eastAsia="en-GB"/>
          <w14:ligatures w14:val="none"/>
        </w:rPr>
        <w:t>Humanities and Social Sciences Communications</w:t>
      </w:r>
      <w:r w:rsidRPr="001A58CC">
        <w:rPr>
          <w:rFonts w:ascii="Book Antiqua" w:eastAsia="Times New Roman" w:hAnsi="Book Antiqua" w:cs="Times New Roman"/>
          <w:kern w:val="0"/>
          <w:sz w:val="16"/>
          <w:szCs w:val="16"/>
          <w:lang w:eastAsia="en-GB"/>
          <w14:ligatures w14:val="none"/>
        </w:rPr>
        <w:t>, 12(1), Article 1060.</w:t>
      </w:r>
    </w:p>
    <w:p w14:paraId="356309DD"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lastRenderedPageBreak/>
        <w:t xml:space="preserve">Pazarbasioglu, C., Garcia Mora, A., Uttamchandani, M., Natarajan, H., Feyen, E. and Saal, M. (2020) </w:t>
      </w:r>
      <w:r w:rsidRPr="001A58CC">
        <w:rPr>
          <w:rFonts w:ascii="Book Antiqua" w:eastAsia="Times New Roman" w:hAnsi="Book Antiqua" w:cs="Times New Roman"/>
          <w:i/>
          <w:iCs/>
          <w:kern w:val="0"/>
          <w:sz w:val="16"/>
          <w:szCs w:val="16"/>
          <w:lang w:eastAsia="en-GB"/>
          <w14:ligatures w14:val="none"/>
        </w:rPr>
        <w:t>Digital financial services</w:t>
      </w:r>
      <w:r w:rsidRPr="001A58CC">
        <w:rPr>
          <w:rFonts w:ascii="Book Antiqua" w:eastAsia="Times New Roman" w:hAnsi="Book Antiqua" w:cs="Times New Roman"/>
          <w:kern w:val="0"/>
          <w:sz w:val="16"/>
          <w:szCs w:val="16"/>
          <w:lang w:eastAsia="en-GB"/>
          <w14:ligatures w14:val="none"/>
        </w:rPr>
        <w:t>. Washington, DC: World Bank Group.</w:t>
      </w:r>
    </w:p>
    <w:p w14:paraId="337E2479"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Pluye, P. and Hong, Q.N. (2014) 'Combining the power of stories and the power of numbers: Mixed methods research and mixed studies reviews', </w:t>
      </w:r>
      <w:r w:rsidRPr="001A58CC">
        <w:rPr>
          <w:rFonts w:ascii="Book Antiqua" w:eastAsia="Times New Roman" w:hAnsi="Book Antiqua" w:cs="Times New Roman"/>
          <w:i/>
          <w:iCs/>
          <w:kern w:val="0"/>
          <w:sz w:val="16"/>
          <w:szCs w:val="16"/>
          <w:lang w:eastAsia="en-GB"/>
          <w14:ligatures w14:val="none"/>
        </w:rPr>
        <w:t>Annual Review of Public Health</w:t>
      </w:r>
      <w:r w:rsidRPr="001A58CC">
        <w:rPr>
          <w:rFonts w:ascii="Book Antiqua" w:eastAsia="Times New Roman" w:hAnsi="Book Antiqua" w:cs="Times New Roman"/>
          <w:kern w:val="0"/>
          <w:sz w:val="16"/>
          <w:szCs w:val="16"/>
          <w:lang w:eastAsia="en-GB"/>
          <w14:ligatures w14:val="none"/>
        </w:rPr>
        <w:t>, 35, pp. 29–45.</w:t>
      </w:r>
    </w:p>
    <w:p w14:paraId="094A10D9"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Rasheduzzaman, M., Palash, M.S., Rahman, M.M., Samria, N.J. and Farid, M.S. (2025) 'Bridging the gender gap in mobile payment services: Insights from consumers of Bangladesh', </w:t>
      </w:r>
      <w:r w:rsidRPr="001A58CC">
        <w:rPr>
          <w:rFonts w:ascii="Book Antiqua" w:eastAsia="Times New Roman" w:hAnsi="Book Antiqua" w:cs="Times New Roman"/>
          <w:i/>
          <w:iCs/>
          <w:kern w:val="0"/>
          <w:sz w:val="16"/>
          <w:szCs w:val="16"/>
          <w:lang w:eastAsia="en-GB"/>
          <w14:ligatures w14:val="none"/>
        </w:rPr>
        <w:t>Scientific Reports</w:t>
      </w:r>
      <w:r w:rsidRPr="001A58CC">
        <w:rPr>
          <w:rFonts w:ascii="Book Antiqua" w:eastAsia="Times New Roman" w:hAnsi="Book Antiqua" w:cs="Times New Roman"/>
          <w:kern w:val="0"/>
          <w:sz w:val="16"/>
          <w:szCs w:val="16"/>
          <w:lang w:eastAsia="en-GB"/>
          <w14:ligatures w14:val="none"/>
        </w:rPr>
        <w:t>, 15(1), Article 33838.</w:t>
      </w:r>
    </w:p>
    <w:p w14:paraId="797514F8"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Reynolds, T.W., Biscaye, P.E., Leigh Anderson, C., O'Brien-Carelli, C. and Keel, J. (2023) 'Exploring the gender gap in mobile money awareness and use: Evidence from eight low- and middle-income countries', </w:t>
      </w:r>
      <w:r w:rsidRPr="001A58CC">
        <w:rPr>
          <w:rFonts w:ascii="Book Antiqua" w:eastAsia="Times New Roman" w:hAnsi="Book Antiqua" w:cs="Times New Roman"/>
          <w:i/>
          <w:iCs/>
          <w:kern w:val="0"/>
          <w:sz w:val="16"/>
          <w:szCs w:val="16"/>
          <w:lang w:eastAsia="en-GB"/>
          <w14:ligatures w14:val="none"/>
        </w:rPr>
        <w:t>Information Technology for Development</w:t>
      </w:r>
      <w:r w:rsidRPr="001A58CC">
        <w:rPr>
          <w:rFonts w:ascii="Book Antiqua" w:eastAsia="Times New Roman" w:hAnsi="Book Antiqua" w:cs="Times New Roman"/>
          <w:kern w:val="0"/>
          <w:sz w:val="16"/>
          <w:szCs w:val="16"/>
          <w:lang w:eastAsia="en-GB"/>
          <w14:ligatures w14:val="none"/>
        </w:rPr>
        <w:t>, 29(2–3), pp. 228–255.</w:t>
      </w:r>
    </w:p>
    <w:p w14:paraId="1BB25A84"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Roy, B.D., Ritu, S.A., Mrittika, A.P. and Noor, J. (2024) 'Bridging the gap: Exploring the factors influencing women's adoption of mobile financial services (MFS) in rural areas of Bangladesh', in </w:t>
      </w:r>
      <w:r w:rsidRPr="001A58CC">
        <w:rPr>
          <w:rFonts w:ascii="Book Antiqua" w:eastAsia="Times New Roman" w:hAnsi="Book Antiqua" w:cs="Times New Roman"/>
          <w:i/>
          <w:iCs/>
          <w:kern w:val="0"/>
          <w:sz w:val="16"/>
          <w:szCs w:val="16"/>
          <w:lang w:eastAsia="en-GB"/>
          <w14:ligatures w14:val="none"/>
        </w:rPr>
        <w:t>Proceedings of the 7th ACM SIGCAS/SIGCHI Conference on Computing and Sustainable Societies (COMPASS 2024)</w:t>
      </w:r>
      <w:r w:rsidRPr="001A58CC">
        <w:rPr>
          <w:rFonts w:ascii="Book Antiqua" w:eastAsia="Times New Roman" w:hAnsi="Book Antiqua" w:cs="Times New Roman"/>
          <w:kern w:val="0"/>
          <w:sz w:val="16"/>
          <w:szCs w:val="16"/>
          <w:lang w:eastAsia="en-GB"/>
          <w14:ligatures w14:val="none"/>
        </w:rPr>
        <w:t>. New York: Association for Computing Machinery, pp. 268–277.</w:t>
      </w:r>
    </w:p>
    <w:p w14:paraId="24474D80" w14:textId="77777777" w:rsidR="001A58CC" w:rsidRPr="001A58CC" w:rsidRDefault="001A58CC"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1A58CC">
        <w:rPr>
          <w:rFonts w:ascii="Book Antiqua" w:eastAsia="Times New Roman" w:hAnsi="Book Antiqua" w:cs="Times New Roman"/>
          <w:kern w:val="0"/>
          <w:sz w:val="16"/>
          <w:szCs w:val="16"/>
          <w:lang w:eastAsia="en-GB"/>
          <w14:ligatures w14:val="none"/>
        </w:rPr>
        <w:t xml:space="preserve">Roy, P. and Patro, B. (2022) 'Financial inclusion of women and gender gap in access to finance: A systematic literature review', </w:t>
      </w:r>
      <w:r w:rsidRPr="001A58CC">
        <w:rPr>
          <w:rFonts w:ascii="Book Antiqua" w:eastAsia="Times New Roman" w:hAnsi="Book Antiqua" w:cs="Times New Roman"/>
          <w:i/>
          <w:iCs/>
          <w:kern w:val="0"/>
          <w:sz w:val="16"/>
          <w:szCs w:val="16"/>
          <w:lang w:eastAsia="en-GB"/>
          <w14:ligatures w14:val="none"/>
        </w:rPr>
        <w:t>Vision</w:t>
      </w:r>
      <w:r w:rsidRPr="001A58CC">
        <w:rPr>
          <w:rFonts w:ascii="Book Antiqua" w:eastAsia="Times New Roman" w:hAnsi="Book Antiqua" w:cs="Times New Roman"/>
          <w:kern w:val="0"/>
          <w:sz w:val="16"/>
          <w:szCs w:val="16"/>
          <w:lang w:eastAsia="en-GB"/>
          <w14:ligatures w14:val="none"/>
        </w:rPr>
        <w:t>, 26(3), pp. 282–299.</w:t>
      </w:r>
    </w:p>
    <w:p w14:paraId="0D616E81"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Sabates-Wheeler, R., Lind, J. and Holland-Szyp, C. (2025) 'The limits to cash-plus provision in protracted crises', </w:t>
      </w:r>
      <w:r w:rsidRPr="00886F74">
        <w:rPr>
          <w:rFonts w:ascii="Book Antiqua" w:eastAsia="Times New Roman" w:hAnsi="Book Antiqua" w:cs="Times New Roman"/>
          <w:i/>
          <w:iCs/>
          <w:kern w:val="0"/>
          <w:sz w:val="16"/>
          <w:szCs w:val="16"/>
          <w:lang w:eastAsia="en-GB"/>
          <w14:ligatures w14:val="none"/>
        </w:rPr>
        <w:t>Development Policy Review</w:t>
      </w:r>
      <w:r w:rsidRPr="00886F74">
        <w:rPr>
          <w:rFonts w:ascii="Book Antiqua" w:eastAsia="Times New Roman" w:hAnsi="Book Antiqua" w:cs="Times New Roman"/>
          <w:kern w:val="0"/>
          <w:sz w:val="16"/>
          <w:szCs w:val="16"/>
          <w:lang w:eastAsia="en-GB"/>
          <w14:ligatures w14:val="none"/>
        </w:rPr>
        <w:t>, 43(4), Article e70020.</w:t>
      </w:r>
    </w:p>
    <w:p w14:paraId="6DD8F9EA"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Scott, K., Shinde, A., Ummer, O., Yadav, S., Sharma, M., Purty, N., Jairath, A., Chamberlain, S. and LeFevre, A.E. (2021) 'Freedom within a cage: How patriarchal gender norms limit women's use of mobile phones in rural central India', </w:t>
      </w:r>
      <w:r w:rsidRPr="00886F74">
        <w:rPr>
          <w:rFonts w:ascii="Book Antiqua" w:eastAsia="Times New Roman" w:hAnsi="Book Antiqua" w:cs="Times New Roman"/>
          <w:i/>
          <w:iCs/>
          <w:kern w:val="0"/>
          <w:sz w:val="16"/>
          <w:szCs w:val="16"/>
          <w:lang w:eastAsia="en-GB"/>
          <w14:ligatures w14:val="none"/>
        </w:rPr>
        <w:t>BMJ Global Health</w:t>
      </w:r>
      <w:r w:rsidRPr="00886F74">
        <w:rPr>
          <w:rFonts w:ascii="Book Antiqua" w:eastAsia="Times New Roman" w:hAnsi="Book Antiqua" w:cs="Times New Roman"/>
          <w:kern w:val="0"/>
          <w:sz w:val="16"/>
          <w:szCs w:val="16"/>
          <w:lang w:eastAsia="en-GB"/>
          <w14:ligatures w14:val="none"/>
        </w:rPr>
        <w:t>, 6(Suppl. 5), Article e005596.</w:t>
      </w:r>
    </w:p>
    <w:p w14:paraId="37F888E9"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Siddique, N. and Jahan, F. (2025) 'Mobile financial services and household resilience: An empirical analysis of female-headed households in Bangladesh', </w:t>
      </w:r>
      <w:r w:rsidRPr="00886F74">
        <w:rPr>
          <w:rFonts w:ascii="Book Antiqua" w:eastAsia="Times New Roman" w:hAnsi="Book Antiqua" w:cs="Times New Roman"/>
          <w:i/>
          <w:iCs/>
          <w:kern w:val="0"/>
          <w:sz w:val="16"/>
          <w:szCs w:val="16"/>
          <w:lang w:eastAsia="en-GB"/>
          <w14:ligatures w14:val="none"/>
        </w:rPr>
        <w:t>Journal of Emerging Market Finance</w:t>
      </w:r>
      <w:r w:rsidRPr="00886F74">
        <w:rPr>
          <w:rFonts w:ascii="Book Antiqua" w:eastAsia="Times New Roman" w:hAnsi="Book Antiqua" w:cs="Times New Roman"/>
          <w:kern w:val="0"/>
          <w:sz w:val="16"/>
          <w:szCs w:val="16"/>
          <w:lang w:eastAsia="en-GB"/>
          <w14:ligatures w14:val="none"/>
        </w:rPr>
        <w:t>, 24(1), pp. 45–68.</w:t>
      </w:r>
    </w:p>
    <w:p w14:paraId="54A912B5"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Suri, T. and Jack, W. (2016) 'The long-run poverty and gender impacts of mobile money', </w:t>
      </w:r>
      <w:r w:rsidRPr="00886F74">
        <w:rPr>
          <w:rFonts w:ascii="Book Antiqua" w:eastAsia="Times New Roman" w:hAnsi="Book Antiqua" w:cs="Times New Roman"/>
          <w:i/>
          <w:iCs/>
          <w:kern w:val="0"/>
          <w:sz w:val="16"/>
          <w:szCs w:val="16"/>
          <w:lang w:eastAsia="en-GB"/>
          <w14:ligatures w14:val="none"/>
        </w:rPr>
        <w:t>Science</w:t>
      </w:r>
      <w:r w:rsidRPr="00886F74">
        <w:rPr>
          <w:rFonts w:ascii="Book Antiqua" w:eastAsia="Times New Roman" w:hAnsi="Book Antiqua" w:cs="Times New Roman"/>
          <w:kern w:val="0"/>
          <w:sz w:val="16"/>
          <w:szCs w:val="16"/>
          <w:lang w:eastAsia="en-GB"/>
          <w14:ligatures w14:val="none"/>
        </w:rPr>
        <w:t>, 354(6317), pp. 1288–1292.</w:t>
      </w:r>
    </w:p>
    <w:p w14:paraId="753F8F34"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Swamy, V. (2014) 'Financial inclusion, gender dimension and economic impact on poor households', </w:t>
      </w:r>
      <w:r w:rsidRPr="00886F74">
        <w:rPr>
          <w:rFonts w:ascii="Book Antiqua" w:eastAsia="Times New Roman" w:hAnsi="Book Antiqua" w:cs="Times New Roman"/>
          <w:i/>
          <w:iCs/>
          <w:kern w:val="0"/>
          <w:sz w:val="16"/>
          <w:szCs w:val="16"/>
          <w:lang w:eastAsia="en-GB"/>
          <w14:ligatures w14:val="none"/>
        </w:rPr>
        <w:t>World Development</w:t>
      </w:r>
      <w:r w:rsidRPr="00886F74">
        <w:rPr>
          <w:rFonts w:ascii="Book Antiqua" w:eastAsia="Times New Roman" w:hAnsi="Book Antiqua" w:cs="Times New Roman"/>
          <w:kern w:val="0"/>
          <w:sz w:val="16"/>
          <w:szCs w:val="16"/>
          <w:lang w:eastAsia="en-GB"/>
          <w14:ligatures w14:val="none"/>
        </w:rPr>
        <w:t>, 56, pp. 1–15.</w:t>
      </w:r>
    </w:p>
    <w:p w14:paraId="2265BBD9"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Thomas, J. and Harden, A. (2008) 'Methods for the thematic synthesis of qualitative research in systematic reviews', </w:t>
      </w:r>
      <w:r w:rsidRPr="00886F74">
        <w:rPr>
          <w:rFonts w:ascii="Book Antiqua" w:eastAsia="Times New Roman" w:hAnsi="Book Antiqua" w:cs="Times New Roman"/>
          <w:i/>
          <w:iCs/>
          <w:kern w:val="0"/>
          <w:sz w:val="16"/>
          <w:szCs w:val="16"/>
          <w:lang w:eastAsia="en-GB"/>
          <w14:ligatures w14:val="none"/>
        </w:rPr>
        <w:t>BMC Medical Research Methodology</w:t>
      </w:r>
      <w:r w:rsidRPr="00886F74">
        <w:rPr>
          <w:rFonts w:ascii="Book Antiqua" w:eastAsia="Times New Roman" w:hAnsi="Book Antiqua" w:cs="Times New Roman"/>
          <w:kern w:val="0"/>
          <w:sz w:val="16"/>
          <w:szCs w:val="16"/>
          <w:lang w:eastAsia="en-GB"/>
          <w14:ligatures w14:val="none"/>
        </w:rPr>
        <w:t>, 8, Article 45.</w:t>
      </w:r>
    </w:p>
    <w:p w14:paraId="33E43459"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Tranfield, D., Denyer, D. and Smart, P. (2003) 'Towards a methodology for developing evidence-informed management knowledge by means of systematic review', </w:t>
      </w:r>
      <w:r w:rsidRPr="00886F74">
        <w:rPr>
          <w:rFonts w:ascii="Book Antiqua" w:eastAsia="Times New Roman" w:hAnsi="Book Antiqua" w:cs="Times New Roman"/>
          <w:i/>
          <w:iCs/>
          <w:kern w:val="0"/>
          <w:sz w:val="16"/>
          <w:szCs w:val="16"/>
          <w:lang w:eastAsia="en-GB"/>
          <w14:ligatures w14:val="none"/>
        </w:rPr>
        <w:t>British Journal of Management</w:t>
      </w:r>
      <w:r w:rsidRPr="00886F74">
        <w:rPr>
          <w:rFonts w:ascii="Book Antiqua" w:eastAsia="Times New Roman" w:hAnsi="Book Antiqua" w:cs="Times New Roman"/>
          <w:kern w:val="0"/>
          <w:sz w:val="16"/>
          <w:szCs w:val="16"/>
          <w:lang w:eastAsia="en-GB"/>
          <w14:ligatures w14:val="none"/>
        </w:rPr>
        <w:t>, 14(3), pp. 207–222.</w:t>
      </w:r>
    </w:p>
    <w:p w14:paraId="54B8FCDE"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Venkatesh, V., Morris, M.G., Davis, G.B. and Davis, F.D. (2003) 'User acceptance of information technology: Toward a unified view', </w:t>
      </w:r>
      <w:r w:rsidRPr="00886F74">
        <w:rPr>
          <w:rFonts w:ascii="Book Antiqua" w:eastAsia="Times New Roman" w:hAnsi="Book Antiqua" w:cs="Times New Roman"/>
          <w:i/>
          <w:iCs/>
          <w:kern w:val="0"/>
          <w:sz w:val="16"/>
          <w:szCs w:val="16"/>
          <w:lang w:eastAsia="en-GB"/>
          <w14:ligatures w14:val="none"/>
        </w:rPr>
        <w:t>MIS Quarterly</w:t>
      </w:r>
      <w:r w:rsidRPr="00886F74">
        <w:rPr>
          <w:rFonts w:ascii="Book Antiqua" w:eastAsia="Times New Roman" w:hAnsi="Book Antiqua" w:cs="Times New Roman"/>
          <w:kern w:val="0"/>
          <w:sz w:val="16"/>
          <w:szCs w:val="16"/>
          <w:lang w:eastAsia="en-GB"/>
          <w14:ligatures w14:val="none"/>
        </w:rPr>
        <w:t>, 27(3), pp. 425–478.</w:t>
      </w:r>
    </w:p>
    <w:p w14:paraId="57C9B5E0" w14:textId="77777777" w:rsidR="00886F74" w:rsidRPr="00886F74" w:rsidRDefault="00886F74" w:rsidP="004D1B06">
      <w:pPr>
        <w:spacing w:after="0"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World Bank (2022) </w:t>
      </w:r>
      <w:r w:rsidRPr="00886F74">
        <w:rPr>
          <w:rFonts w:ascii="Book Antiqua" w:eastAsia="Times New Roman" w:hAnsi="Book Antiqua" w:cs="Times New Roman"/>
          <w:i/>
          <w:iCs/>
          <w:kern w:val="0"/>
          <w:sz w:val="16"/>
          <w:szCs w:val="16"/>
          <w:lang w:eastAsia="en-GB"/>
          <w14:ligatures w14:val="none"/>
        </w:rPr>
        <w:t>Financial inclusion overview</w:t>
      </w:r>
      <w:r w:rsidRPr="00886F74">
        <w:rPr>
          <w:rFonts w:ascii="Book Antiqua" w:eastAsia="Times New Roman" w:hAnsi="Book Antiqua" w:cs="Times New Roman"/>
          <w:kern w:val="0"/>
          <w:sz w:val="16"/>
          <w:szCs w:val="16"/>
          <w:lang w:eastAsia="en-GB"/>
          <w14:ligatures w14:val="none"/>
        </w:rPr>
        <w:t>. Washington, DC: World Bank.</w:t>
      </w:r>
    </w:p>
    <w:p w14:paraId="70533B6C" w14:textId="77777777" w:rsidR="00886F74" w:rsidRPr="00886F74" w:rsidRDefault="00886F74" w:rsidP="00D41413">
      <w:pPr>
        <w:spacing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World Economic Forum (2023) </w:t>
      </w:r>
      <w:r w:rsidRPr="00886F74">
        <w:rPr>
          <w:rFonts w:ascii="Book Antiqua" w:eastAsia="Times New Roman" w:hAnsi="Book Antiqua" w:cs="Times New Roman"/>
          <w:i/>
          <w:iCs/>
          <w:kern w:val="0"/>
          <w:sz w:val="16"/>
          <w:szCs w:val="16"/>
          <w:lang w:eastAsia="en-GB"/>
          <w14:ligatures w14:val="none"/>
        </w:rPr>
        <w:t>The Global Gender Gap Report 2023</w:t>
      </w:r>
      <w:r w:rsidRPr="00886F74">
        <w:rPr>
          <w:rFonts w:ascii="Book Antiqua" w:eastAsia="Times New Roman" w:hAnsi="Book Antiqua" w:cs="Times New Roman"/>
          <w:kern w:val="0"/>
          <w:sz w:val="16"/>
          <w:szCs w:val="16"/>
          <w:lang w:eastAsia="en-GB"/>
          <w14:ligatures w14:val="none"/>
        </w:rPr>
        <w:t>. Geneva: World Economic Forum.</w:t>
      </w:r>
    </w:p>
    <w:p w14:paraId="441B9166" w14:textId="77777777" w:rsidR="00886F74" w:rsidRPr="00886F74" w:rsidRDefault="00886F74" w:rsidP="00D41413">
      <w:pPr>
        <w:spacing w:line="240" w:lineRule="auto"/>
        <w:ind w:left="720" w:hanging="720"/>
        <w:jc w:val="both"/>
        <w:rPr>
          <w:rFonts w:ascii="Book Antiqua" w:eastAsia="Times New Roman" w:hAnsi="Book Antiqua" w:cs="Times New Roman"/>
          <w:kern w:val="0"/>
          <w:sz w:val="16"/>
          <w:szCs w:val="16"/>
          <w:lang w:eastAsia="en-GB"/>
          <w14:ligatures w14:val="none"/>
        </w:rPr>
      </w:pPr>
      <w:r w:rsidRPr="00886F74">
        <w:rPr>
          <w:rFonts w:ascii="Book Antiqua" w:eastAsia="Times New Roman" w:hAnsi="Book Antiqua" w:cs="Times New Roman"/>
          <w:kern w:val="0"/>
          <w:sz w:val="16"/>
          <w:szCs w:val="16"/>
          <w:lang w:eastAsia="en-GB"/>
          <w14:ligatures w14:val="none"/>
        </w:rPr>
        <w:t xml:space="preserve">Zhang, W., Siyal, S., Riaz, S., Ahmad, R., Hilmi, M.F. and Li, Z. (2023) 'Data security, customer trust and intention for adoption of FinTech services: An empirical analysis from commercial bank users in Pakistan', </w:t>
      </w:r>
      <w:r w:rsidRPr="00886F74">
        <w:rPr>
          <w:rFonts w:ascii="Book Antiqua" w:eastAsia="Times New Roman" w:hAnsi="Book Antiqua" w:cs="Times New Roman"/>
          <w:i/>
          <w:iCs/>
          <w:kern w:val="0"/>
          <w:sz w:val="16"/>
          <w:szCs w:val="16"/>
          <w:lang w:eastAsia="en-GB"/>
          <w14:ligatures w14:val="none"/>
        </w:rPr>
        <w:t>SAGE Open</w:t>
      </w:r>
      <w:r w:rsidRPr="00886F74">
        <w:rPr>
          <w:rFonts w:ascii="Book Antiqua" w:eastAsia="Times New Roman" w:hAnsi="Book Antiqua" w:cs="Times New Roman"/>
          <w:kern w:val="0"/>
          <w:sz w:val="16"/>
          <w:szCs w:val="16"/>
          <w:lang w:eastAsia="en-GB"/>
          <w14:ligatures w14:val="none"/>
        </w:rPr>
        <w:t>, 13(3), pp. 1–17.</w:t>
      </w:r>
    </w:p>
    <w:p w14:paraId="44E72EEC" w14:textId="77777777" w:rsidR="001A58CC" w:rsidRPr="00607980" w:rsidRDefault="001A58CC" w:rsidP="00D41413">
      <w:pPr>
        <w:spacing w:after="100" w:afterAutospacing="1" w:line="240" w:lineRule="auto"/>
        <w:ind w:left="720" w:hanging="720"/>
        <w:jc w:val="both"/>
        <w:rPr>
          <w:rFonts w:ascii="Book Antiqua" w:eastAsia="Times New Roman" w:hAnsi="Book Antiqua" w:cs="Times New Roman"/>
          <w:kern w:val="0"/>
          <w:sz w:val="16"/>
          <w:szCs w:val="16"/>
          <w:lang w:eastAsia="en-GB"/>
          <w14:ligatures w14:val="none"/>
        </w:rPr>
      </w:pPr>
    </w:p>
    <w:p w14:paraId="59F446E5" w14:textId="77777777" w:rsidR="006F6B27" w:rsidRPr="00607980" w:rsidRDefault="006F6B27" w:rsidP="00D41413">
      <w:pPr>
        <w:spacing w:after="100" w:afterAutospacing="1" w:line="240" w:lineRule="auto"/>
        <w:ind w:left="720" w:hanging="720"/>
        <w:jc w:val="both"/>
        <w:rPr>
          <w:rFonts w:ascii="Book Antiqua" w:eastAsia="Times New Roman" w:hAnsi="Book Antiqua" w:cs="Times New Roman"/>
          <w:kern w:val="0"/>
          <w:sz w:val="16"/>
          <w:szCs w:val="16"/>
          <w:lang w:eastAsia="en-GB"/>
          <w14:ligatures w14:val="none"/>
        </w:rPr>
      </w:pPr>
    </w:p>
    <w:p w14:paraId="2ECC30EA" w14:textId="77777777" w:rsidR="006F6B27" w:rsidRPr="00607980" w:rsidRDefault="006F6B27"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64DF7657" w14:textId="77777777" w:rsidR="006F6B27" w:rsidRDefault="006F6B27"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49D04131" w14:textId="77777777" w:rsidR="00FF436C" w:rsidRDefault="00FF436C"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24F6531B" w14:textId="77777777" w:rsidR="00FF436C" w:rsidRDefault="00FF436C"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46D2D05D" w14:textId="77777777" w:rsidR="003B14F3" w:rsidRDefault="003B14F3"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5F2F6540" w14:textId="77777777" w:rsidR="003B14F3" w:rsidRDefault="003B14F3"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3B7A2194" w14:textId="77777777" w:rsidR="00FF436C" w:rsidRDefault="00FF436C"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17CCFCE3" w14:textId="77777777" w:rsidR="00FF436C" w:rsidRDefault="00FF436C"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187B966B" w14:textId="77777777" w:rsidR="00746364" w:rsidRDefault="00746364" w:rsidP="00607980">
      <w:pPr>
        <w:spacing w:after="100" w:afterAutospacing="1" w:line="240" w:lineRule="auto"/>
        <w:ind w:left="720" w:hanging="720"/>
        <w:rPr>
          <w:rFonts w:ascii="Book Antiqua" w:eastAsia="Times New Roman" w:hAnsi="Book Antiqua" w:cs="Times New Roman"/>
          <w:kern w:val="0"/>
          <w:sz w:val="16"/>
          <w:szCs w:val="16"/>
          <w:lang w:eastAsia="en-GB"/>
          <w14:ligatures w14:val="none"/>
        </w:rPr>
      </w:pPr>
    </w:p>
    <w:p w14:paraId="5A299C7C" w14:textId="77777777" w:rsidR="0015204D" w:rsidRDefault="0015204D" w:rsidP="006F6B27">
      <w:pPr>
        <w:tabs>
          <w:tab w:val="left" w:pos="993"/>
        </w:tabs>
        <w:jc w:val="both"/>
        <w:rPr>
          <w:rFonts w:ascii="Book Antiqua" w:eastAsia="Times New Roman" w:hAnsi="Book Antiqua" w:cs="Times New Roman"/>
          <w:kern w:val="0"/>
          <w:sz w:val="16"/>
          <w:szCs w:val="16"/>
          <w:lang w:eastAsia="en-GB"/>
          <w14:ligatures w14:val="none"/>
        </w:rPr>
      </w:pPr>
    </w:p>
    <w:p w14:paraId="50A9AC95" w14:textId="77777777" w:rsidR="004D1B06" w:rsidRDefault="004D1B06" w:rsidP="006F6B27">
      <w:pPr>
        <w:tabs>
          <w:tab w:val="left" w:pos="993"/>
        </w:tabs>
        <w:jc w:val="both"/>
        <w:rPr>
          <w:rFonts w:ascii="Book Antiqua" w:eastAsia="Times New Roman" w:hAnsi="Book Antiqua" w:cs="Times New Roman"/>
          <w:kern w:val="0"/>
          <w:sz w:val="16"/>
          <w:szCs w:val="16"/>
          <w:lang w:eastAsia="en-GB"/>
          <w14:ligatures w14:val="none"/>
        </w:rPr>
      </w:pPr>
    </w:p>
    <w:p w14:paraId="1BB06E38" w14:textId="77777777" w:rsidR="004D1B06" w:rsidRDefault="004D1B06" w:rsidP="006F6B27">
      <w:pPr>
        <w:tabs>
          <w:tab w:val="left" w:pos="993"/>
        </w:tabs>
        <w:jc w:val="both"/>
        <w:rPr>
          <w:rFonts w:ascii="Book Antiqua" w:hAnsi="Book Antiqua" w:cs="Times New Roman"/>
          <w:sz w:val="16"/>
          <w:szCs w:val="16"/>
        </w:rPr>
      </w:pPr>
    </w:p>
    <w:p w14:paraId="3C75F691" w14:textId="77777777" w:rsidR="003B06A6" w:rsidRDefault="003B06A6" w:rsidP="003B06A6">
      <w:pPr>
        <w:rPr>
          <w:rFonts w:ascii="Book Antiqua" w:hAnsi="Book Antiqua" w:cs="Times New Roman"/>
          <w:sz w:val="16"/>
          <w:szCs w:val="16"/>
        </w:rPr>
      </w:pPr>
    </w:p>
    <w:p w14:paraId="1E520F16" w14:textId="1906FF1F" w:rsidR="0003219F" w:rsidRPr="00454BFD" w:rsidRDefault="001226A4" w:rsidP="003B06A6">
      <w:pPr>
        <w:jc w:val="center"/>
        <w:rPr>
          <w:rFonts w:ascii="Book Antiqua" w:hAnsi="Book Antiqua" w:cs="Times New Roman"/>
          <w:b/>
          <w:bCs/>
          <w:color w:val="0070C0"/>
          <w:sz w:val="18"/>
          <w:szCs w:val="18"/>
        </w:rPr>
      </w:pPr>
      <w:r w:rsidRPr="00454BFD">
        <w:rPr>
          <w:rFonts w:ascii="Book Antiqua" w:hAnsi="Book Antiqua" w:cs="Times New Roman"/>
          <w:b/>
          <w:bCs/>
          <w:color w:val="0070C0"/>
          <w:sz w:val="18"/>
          <w:szCs w:val="18"/>
        </w:rPr>
        <w:lastRenderedPageBreak/>
        <w:t xml:space="preserve">APPENDIX 1: </w:t>
      </w:r>
      <w:r w:rsidR="00DD6053" w:rsidRPr="00454BFD">
        <w:rPr>
          <w:rFonts w:ascii="Book Antiqua" w:hAnsi="Book Antiqua" w:cs="Times New Roman"/>
          <w:b/>
          <w:bCs/>
          <w:color w:val="0070C0"/>
          <w:sz w:val="18"/>
          <w:szCs w:val="18"/>
        </w:rPr>
        <w:t xml:space="preserve">SYSTEMATIC LITERATURE REVIEW - </w:t>
      </w:r>
      <w:r w:rsidR="005957AB" w:rsidRPr="00454BFD">
        <w:rPr>
          <w:rFonts w:ascii="Book Antiqua" w:hAnsi="Book Antiqua" w:cs="Times New Roman"/>
          <w:b/>
          <w:bCs/>
          <w:color w:val="0070C0"/>
          <w:sz w:val="18"/>
          <w:szCs w:val="18"/>
        </w:rPr>
        <w:t>DATA EXTRACTION TABLE</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8"/>
        <w:gridCol w:w="1592"/>
        <w:gridCol w:w="1134"/>
        <w:gridCol w:w="1276"/>
        <w:gridCol w:w="2551"/>
        <w:gridCol w:w="2268"/>
      </w:tblGrid>
      <w:tr w:rsidR="006F6B27" w:rsidRPr="006F6B27" w14:paraId="0940B68E" w14:textId="77777777" w:rsidTr="00D4200E">
        <w:trPr>
          <w:trHeight w:val="300"/>
        </w:trPr>
        <w:tc>
          <w:tcPr>
            <w:tcW w:w="388" w:type="dxa"/>
            <w:shd w:val="clear" w:color="000000" w:fill="1F4E78"/>
            <w:vAlign w:val="center"/>
            <w:hideMark/>
          </w:tcPr>
          <w:p w14:paraId="73D5AEF2"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ID</w:t>
            </w:r>
          </w:p>
        </w:tc>
        <w:tc>
          <w:tcPr>
            <w:tcW w:w="1592" w:type="dxa"/>
            <w:shd w:val="clear" w:color="000000" w:fill="1F4E78"/>
            <w:vAlign w:val="center"/>
            <w:hideMark/>
          </w:tcPr>
          <w:p w14:paraId="67A5764B"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Author, Year</w:t>
            </w:r>
          </w:p>
        </w:tc>
        <w:tc>
          <w:tcPr>
            <w:tcW w:w="1134" w:type="dxa"/>
            <w:shd w:val="clear" w:color="000000" w:fill="1F4E78"/>
            <w:vAlign w:val="center"/>
            <w:hideMark/>
          </w:tcPr>
          <w:p w14:paraId="51B8092A"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Methodology</w:t>
            </w:r>
          </w:p>
        </w:tc>
        <w:tc>
          <w:tcPr>
            <w:tcW w:w="1276" w:type="dxa"/>
            <w:shd w:val="clear" w:color="000000" w:fill="1F4E78"/>
            <w:vAlign w:val="center"/>
            <w:hideMark/>
          </w:tcPr>
          <w:p w14:paraId="1C447C02"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Theoretical Lens</w:t>
            </w:r>
          </w:p>
        </w:tc>
        <w:tc>
          <w:tcPr>
            <w:tcW w:w="2551" w:type="dxa"/>
            <w:shd w:val="clear" w:color="000000" w:fill="1F4E78"/>
            <w:vAlign w:val="center"/>
            <w:hideMark/>
          </w:tcPr>
          <w:p w14:paraId="0A5613D9"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Principal Findings</w:t>
            </w:r>
          </w:p>
        </w:tc>
        <w:tc>
          <w:tcPr>
            <w:tcW w:w="2268" w:type="dxa"/>
            <w:shd w:val="clear" w:color="000000" w:fill="1F4E78"/>
            <w:vAlign w:val="center"/>
            <w:hideMark/>
          </w:tcPr>
          <w:p w14:paraId="23442B60" w14:textId="77777777" w:rsidR="006F6B27" w:rsidRPr="006F6B27" w:rsidRDefault="006F6B27" w:rsidP="006F6B27">
            <w:pPr>
              <w:spacing w:after="0" w:line="240" w:lineRule="auto"/>
              <w:rPr>
                <w:rFonts w:ascii="Book Antiqua" w:eastAsia="Times New Roman" w:hAnsi="Book Antiqua" w:cs="Times New Roman"/>
                <w:b/>
                <w:bCs/>
                <w:color w:val="FFFFFF"/>
                <w:kern w:val="0"/>
                <w:sz w:val="14"/>
                <w:szCs w:val="14"/>
                <w:lang w:eastAsia="en-GB"/>
                <w14:ligatures w14:val="none"/>
              </w:rPr>
            </w:pPr>
            <w:r w:rsidRPr="006F6B27">
              <w:rPr>
                <w:rFonts w:ascii="Book Antiqua" w:eastAsia="Times New Roman" w:hAnsi="Book Antiqua" w:cs="Times New Roman"/>
                <w:b/>
                <w:bCs/>
                <w:color w:val="FFFFFF"/>
                <w:kern w:val="0"/>
                <w:sz w:val="14"/>
                <w:szCs w:val="14"/>
                <w:lang w:eastAsia="en-GB"/>
                <w14:ligatures w14:val="none"/>
              </w:rPr>
              <w:t>Research Gaps</w:t>
            </w:r>
          </w:p>
        </w:tc>
      </w:tr>
      <w:tr w:rsidR="006F6B27" w:rsidRPr="006F6B27" w14:paraId="4A770C73" w14:textId="77777777" w:rsidTr="00D4200E">
        <w:trPr>
          <w:trHeight w:val="284"/>
        </w:trPr>
        <w:tc>
          <w:tcPr>
            <w:tcW w:w="388" w:type="dxa"/>
            <w:shd w:val="clear" w:color="000000" w:fill="FFFFFF"/>
            <w:vAlign w:val="center"/>
            <w:hideMark/>
          </w:tcPr>
          <w:p w14:paraId="12A80D4D"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w:t>
            </w:r>
          </w:p>
        </w:tc>
        <w:tc>
          <w:tcPr>
            <w:tcW w:w="1592" w:type="dxa"/>
            <w:shd w:val="clear" w:color="000000" w:fill="FFFFFF"/>
            <w:vAlign w:val="center"/>
            <w:hideMark/>
          </w:tcPr>
          <w:p w14:paraId="541300C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Ajzen (1991)</w:t>
            </w:r>
          </w:p>
        </w:tc>
        <w:tc>
          <w:tcPr>
            <w:tcW w:w="1134" w:type="dxa"/>
            <w:shd w:val="clear" w:color="000000" w:fill="FFFFFF"/>
            <w:vAlign w:val="center"/>
            <w:hideMark/>
          </w:tcPr>
          <w:p w14:paraId="7812199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Review</w:t>
            </w:r>
          </w:p>
        </w:tc>
        <w:tc>
          <w:tcPr>
            <w:tcW w:w="1276" w:type="dxa"/>
            <w:shd w:val="clear" w:color="000000" w:fill="FFFFFF"/>
            <w:vAlign w:val="center"/>
            <w:hideMark/>
          </w:tcPr>
          <w:p w14:paraId="696D091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Theory of Planned Behaviour</w:t>
            </w:r>
          </w:p>
        </w:tc>
        <w:tc>
          <w:tcPr>
            <w:tcW w:w="2551" w:type="dxa"/>
            <w:shd w:val="clear" w:color="000000" w:fill="FFFFFF"/>
            <w:vAlign w:val="center"/>
            <w:hideMark/>
          </w:tcPr>
          <w:p w14:paraId="17021FE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Behavioural intention predicts technology adoption.</w:t>
            </w:r>
          </w:p>
        </w:tc>
        <w:tc>
          <w:tcPr>
            <w:tcW w:w="2268" w:type="dxa"/>
            <w:shd w:val="clear" w:color="000000" w:fill="FFFFFF"/>
            <w:vAlign w:val="center"/>
            <w:hideMark/>
          </w:tcPr>
          <w:p w14:paraId="478EC060" w14:textId="1E577F34"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Does not account for digital infrastructure, trust, financial capability or regulatory </w:t>
            </w:r>
            <w:r w:rsidR="0034386D" w:rsidRPr="006F6B27">
              <w:rPr>
                <w:rFonts w:ascii="Book Antiqua" w:eastAsia="Times New Roman" w:hAnsi="Book Antiqua" w:cs="Times New Roman"/>
                <w:color w:val="000000"/>
                <w:kern w:val="0"/>
                <w:sz w:val="14"/>
                <w:szCs w:val="14"/>
                <w:lang w:eastAsia="en-GB"/>
                <w14:ligatures w14:val="none"/>
              </w:rPr>
              <w:t>settings</w:t>
            </w:r>
            <w:r w:rsidRPr="006F6B27">
              <w:rPr>
                <w:rFonts w:ascii="Book Antiqua" w:eastAsia="Times New Roman" w:hAnsi="Book Antiqua" w:cs="Times New Roman"/>
                <w:color w:val="000000"/>
                <w:kern w:val="0"/>
                <w:sz w:val="14"/>
                <w:szCs w:val="14"/>
                <w:lang w:eastAsia="en-GB"/>
                <w14:ligatures w14:val="none"/>
              </w:rPr>
              <w:t>.</w:t>
            </w:r>
          </w:p>
        </w:tc>
      </w:tr>
      <w:tr w:rsidR="006F6B27" w:rsidRPr="006F6B27" w14:paraId="6B0B3B44" w14:textId="77777777" w:rsidTr="00D4200E">
        <w:trPr>
          <w:trHeight w:val="462"/>
        </w:trPr>
        <w:tc>
          <w:tcPr>
            <w:tcW w:w="388" w:type="dxa"/>
            <w:shd w:val="clear" w:color="000000" w:fill="FFFFFF"/>
            <w:vAlign w:val="center"/>
            <w:hideMark/>
          </w:tcPr>
          <w:p w14:paraId="54256EFE"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w:t>
            </w:r>
          </w:p>
        </w:tc>
        <w:tc>
          <w:tcPr>
            <w:tcW w:w="1592" w:type="dxa"/>
            <w:shd w:val="clear" w:color="000000" w:fill="FFFFFF"/>
            <w:vAlign w:val="center"/>
            <w:hideMark/>
          </w:tcPr>
          <w:p w14:paraId="3B1FF09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Allen, Gu &amp; Jagtiani (2021)</w:t>
            </w:r>
          </w:p>
        </w:tc>
        <w:tc>
          <w:tcPr>
            <w:tcW w:w="1134" w:type="dxa"/>
            <w:shd w:val="clear" w:color="000000" w:fill="FFFFFF"/>
            <w:vAlign w:val="center"/>
            <w:hideMark/>
          </w:tcPr>
          <w:p w14:paraId="535DEDC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Narrative literature review</w:t>
            </w:r>
          </w:p>
        </w:tc>
        <w:tc>
          <w:tcPr>
            <w:tcW w:w="1276" w:type="dxa"/>
            <w:shd w:val="clear" w:color="000000" w:fill="FFFFFF"/>
            <w:vAlign w:val="center"/>
            <w:hideMark/>
          </w:tcPr>
          <w:p w14:paraId="5576EC9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Intermediation Theory</w:t>
            </w:r>
          </w:p>
        </w:tc>
        <w:tc>
          <w:tcPr>
            <w:tcW w:w="2551" w:type="dxa"/>
            <w:shd w:val="clear" w:color="000000" w:fill="FFFFFF"/>
            <w:vAlign w:val="center"/>
            <w:hideMark/>
          </w:tcPr>
          <w:p w14:paraId="4E5F30C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Synthesises fintech research across lending, AI, blockchain, regtech and financial inclusion.</w:t>
            </w:r>
          </w:p>
        </w:tc>
        <w:tc>
          <w:tcPr>
            <w:tcW w:w="2268" w:type="dxa"/>
            <w:shd w:val="clear" w:color="000000" w:fill="FFFFFF"/>
            <w:vAlign w:val="center"/>
            <w:hideMark/>
          </w:tcPr>
          <w:p w14:paraId="34DF068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empirical evidence on how fintech promotes financial deepening among women in developing countries,</w:t>
            </w:r>
          </w:p>
        </w:tc>
      </w:tr>
      <w:tr w:rsidR="006F6B27" w:rsidRPr="006F6B27" w14:paraId="33CDE2F1" w14:textId="77777777" w:rsidTr="00D4200E">
        <w:trPr>
          <w:trHeight w:val="673"/>
        </w:trPr>
        <w:tc>
          <w:tcPr>
            <w:tcW w:w="388" w:type="dxa"/>
            <w:shd w:val="clear" w:color="000000" w:fill="FFFFFF"/>
            <w:vAlign w:val="center"/>
            <w:hideMark/>
          </w:tcPr>
          <w:p w14:paraId="28ED9D0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w:t>
            </w:r>
          </w:p>
        </w:tc>
        <w:tc>
          <w:tcPr>
            <w:tcW w:w="1592" w:type="dxa"/>
            <w:shd w:val="clear" w:color="000000" w:fill="FFFFFF"/>
            <w:vAlign w:val="center"/>
            <w:hideMark/>
          </w:tcPr>
          <w:p w14:paraId="3EAF1DF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Alom et al. (2025) </w:t>
            </w:r>
          </w:p>
        </w:tc>
        <w:tc>
          <w:tcPr>
            <w:tcW w:w="1134" w:type="dxa"/>
            <w:shd w:val="clear" w:color="000000" w:fill="FFFFFF"/>
            <w:vAlign w:val="center"/>
            <w:hideMark/>
          </w:tcPr>
          <w:p w14:paraId="5F1C8A0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Mixed-method empirical study</w:t>
            </w:r>
          </w:p>
        </w:tc>
        <w:tc>
          <w:tcPr>
            <w:tcW w:w="1276" w:type="dxa"/>
            <w:shd w:val="clear" w:color="000000" w:fill="FFFFFF"/>
            <w:vAlign w:val="center"/>
            <w:hideMark/>
          </w:tcPr>
          <w:p w14:paraId="64E91D5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Sustainable Livelihoods Framework; Financial Inclusion</w:t>
            </w:r>
          </w:p>
        </w:tc>
        <w:tc>
          <w:tcPr>
            <w:tcW w:w="2551" w:type="dxa"/>
            <w:shd w:val="clear" w:color="000000" w:fill="FFFFFF"/>
            <w:vAlign w:val="center"/>
            <w:hideMark/>
          </w:tcPr>
          <w:p w14:paraId="5E168B4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finance significantly promotes women's entrepreneurship, financial inclusion and poverty reduction in Bangladesh.</w:t>
            </w:r>
          </w:p>
        </w:tc>
        <w:tc>
          <w:tcPr>
            <w:tcW w:w="2268" w:type="dxa"/>
            <w:shd w:val="clear" w:color="000000" w:fill="FFFFFF"/>
            <w:vAlign w:val="center"/>
            <w:hideMark/>
          </w:tcPr>
          <w:p w14:paraId="21EA47B6" w14:textId="3F015A16"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Longitudinal evidence on sustained business growth remains limited, and institutional quality is not extensively examined.</w:t>
            </w:r>
          </w:p>
        </w:tc>
      </w:tr>
      <w:tr w:rsidR="006F6B27" w:rsidRPr="006F6B27" w14:paraId="67174A40" w14:textId="77777777" w:rsidTr="00D4200E">
        <w:trPr>
          <w:trHeight w:val="385"/>
        </w:trPr>
        <w:tc>
          <w:tcPr>
            <w:tcW w:w="388" w:type="dxa"/>
            <w:shd w:val="clear" w:color="000000" w:fill="FFFFFF"/>
            <w:vAlign w:val="center"/>
            <w:hideMark/>
          </w:tcPr>
          <w:p w14:paraId="7C87F88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w:t>
            </w:r>
          </w:p>
        </w:tc>
        <w:tc>
          <w:tcPr>
            <w:tcW w:w="1592" w:type="dxa"/>
            <w:shd w:val="clear" w:color="000000" w:fill="FFFFFF"/>
            <w:vAlign w:val="center"/>
            <w:hideMark/>
          </w:tcPr>
          <w:p w14:paraId="0755A5F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Arner, Barberis &amp; Buckley (2016)</w:t>
            </w:r>
          </w:p>
        </w:tc>
        <w:tc>
          <w:tcPr>
            <w:tcW w:w="1134" w:type="dxa"/>
            <w:shd w:val="clear" w:color="000000" w:fill="FFFFFF"/>
            <w:vAlign w:val="center"/>
            <w:hideMark/>
          </w:tcPr>
          <w:p w14:paraId="7BCBB4D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Review</w:t>
            </w:r>
          </w:p>
        </w:tc>
        <w:tc>
          <w:tcPr>
            <w:tcW w:w="1276" w:type="dxa"/>
            <w:shd w:val="clear" w:color="000000" w:fill="FFFFFF"/>
            <w:vAlign w:val="center"/>
            <w:hideMark/>
          </w:tcPr>
          <w:p w14:paraId="50E56EF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Innovation Ecosystem Theory</w:t>
            </w:r>
          </w:p>
        </w:tc>
        <w:tc>
          <w:tcPr>
            <w:tcW w:w="2551" w:type="dxa"/>
            <w:shd w:val="clear" w:color="000000" w:fill="FFFFFF"/>
            <w:vAlign w:val="center"/>
            <w:hideMark/>
          </w:tcPr>
          <w:p w14:paraId="0CDF42C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Explains fintech evolution, regulatory technology and digital finance ecosystem.</w:t>
            </w:r>
          </w:p>
        </w:tc>
        <w:tc>
          <w:tcPr>
            <w:tcW w:w="2268" w:type="dxa"/>
            <w:shd w:val="clear" w:color="000000" w:fill="FFFFFF"/>
            <w:vAlign w:val="center"/>
            <w:hideMark/>
          </w:tcPr>
          <w:p w14:paraId="6C1119CA" w14:textId="5A714949"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Limited discussion of consumer adoption, financial inclusion or gender </w:t>
            </w:r>
            <w:r w:rsidR="006A6B75" w:rsidRPr="006F6B27">
              <w:rPr>
                <w:rFonts w:ascii="Book Antiqua" w:eastAsia="Times New Roman" w:hAnsi="Book Antiqua" w:cs="Times New Roman"/>
                <w:color w:val="000000"/>
                <w:kern w:val="0"/>
                <w:sz w:val="14"/>
                <w:szCs w:val="14"/>
                <w:lang w:eastAsia="en-GB"/>
                <w14:ligatures w14:val="none"/>
              </w:rPr>
              <w:t>gaps</w:t>
            </w:r>
            <w:r w:rsidRPr="006F6B27">
              <w:rPr>
                <w:rFonts w:ascii="Book Antiqua" w:eastAsia="Times New Roman" w:hAnsi="Book Antiqua" w:cs="Times New Roman"/>
                <w:color w:val="000000"/>
                <w:kern w:val="0"/>
                <w:sz w:val="14"/>
                <w:szCs w:val="14"/>
                <w:lang w:eastAsia="en-GB"/>
                <w14:ligatures w14:val="none"/>
              </w:rPr>
              <w:t xml:space="preserve"> in </w:t>
            </w:r>
            <w:r w:rsidR="006A6B75" w:rsidRPr="006F6B27">
              <w:rPr>
                <w:rFonts w:ascii="Book Antiqua" w:eastAsia="Times New Roman" w:hAnsi="Book Antiqua" w:cs="Times New Roman"/>
                <w:color w:val="000000"/>
                <w:kern w:val="0"/>
                <w:sz w:val="14"/>
                <w:szCs w:val="14"/>
                <w:lang w:eastAsia="en-GB"/>
                <w14:ligatures w14:val="none"/>
              </w:rPr>
              <w:t>rising</w:t>
            </w:r>
            <w:r w:rsidRPr="006F6B27">
              <w:rPr>
                <w:rFonts w:ascii="Book Antiqua" w:eastAsia="Times New Roman" w:hAnsi="Book Antiqua" w:cs="Times New Roman"/>
                <w:color w:val="000000"/>
                <w:kern w:val="0"/>
                <w:sz w:val="14"/>
                <w:szCs w:val="14"/>
                <w:lang w:eastAsia="en-GB"/>
                <w14:ligatures w14:val="none"/>
              </w:rPr>
              <w:t xml:space="preserve"> economies.</w:t>
            </w:r>
          </w:p>
        </w:tc>
      </w:tr>
      <w:tr w:rsidR="006F6B27" w:rsidRPr="006F6B27" w14:paraId="648A64A0" w14:textId="77777777" w:rsidTr="00D4200E">
        <w:trPr>
          <w:trHeight w:val="466"/>
        </w:trPr>
        <w:tc>
          <w:tcPr>
            <w:tcW w:w="388" w:type="dxa"/>
            <w:shd w:val="clear" w:color="000000" w:fill="FFFFFF"/>
            <w:vAlign w:val="center"/>
            <w:hideMark/>
          </w:tcPr>
          <w:p w14:paraId="03885A70"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w:t>
            </w:r>
          </w:p>
        </w:tc>
        <w:tc>
          <w:tcPr>
            <w:tcW w:w="1592" w:type="dxa"/>
            <w:shd w:val="clear" w:color="000000" w:fill="FFFFFF"/>
            <w:vAlign w:val="center"/>
            <w:hideMark/>
          </w:tcPr>
          <w:p w14:paraId="21021E5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Asaloko, P.P. and Mondjeli, I.M.M.N. (2025)</w:t>
            </w:r>
          </w:p>
        </w:tc>
        <w:tc>
          <w:tcPr>
            <w:tcW w:w="1134" w:type="dxa"/>
            <w:shd w:val="clear" w:color="000000" w:fill="FFFFFF"/>
            <w:vAlign w:val="center"/>
            <w:hideMark/>
          </w:tcPr>
          <w:p w14:paraId="69534E37" w14:textId="0A2702BA"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econometric analysis</w:t>
            </w:r>
          </w:p>
        </w:tc>
        <w:tc>
          <w:tcPr>
            <w:tcW w:w="1276" w:type="dxa"/>
            <w:shd w:val="clear" w:color="000000" w:fill="FFFFFF"/>
            <w:vAlign w:val="center"/>
            <w:hideMark/>
          </w:tcPr>
          <w:p w14:paraId="3BEC86E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Divide Theory</w:t>
            </w:r>
          </w:p>
        </w:tc>
        <w:tc>
          <w:tcPr>
            <w:tcW w:w="2551" w:type="dxa"/>
            <w:shd w:val="clear" w:color="000000" w:fill="FFFFFF"/>
            <w:vAlign w:val="center"/>
            <w:hideMark/>
          </w:tcPr>
          <w:p w14:paraId="7C00D7A2" w14:textId="35A4B0FF"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inequality substantially reduces women's financial inclusion</w:t>
            </w:r>
            <w:r w:rsidR="00F60EC4">
              <w:rPr>
                <w:rFonts w:ascii="Book Antiqua" w:eastAsia="Times New Roman" w:hAnsi="Book Antiqua" w:cs="Times New Roman"/>
                <w:color w:val="000000"/>
                <w:kern w:val="0"/>
                <w:sz w:val="14"/>
                <w:szCs w:val="14"/>
                <w:lang w:eastAsia="en-GB"/>
                <w14:ligatures w14:val="none"/>
              </w:rPr>
              <w:t>.</w:t>
            </w:r>
          </w:p>
        </w:tc>
        <w:tc>
          <w:tcPr>
            <w:tcW w:w="2268" w:type="dxa"/>
            <w:shd w:val="clear" w:color="000000" w:fill="FFFFFF"/>
            <w:vAlign w:val="center"/>
            <w:hideMark/>
          </w:tcPr>
          <w:p w14:paraId="475D622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explore behavioural mechanisms such as trust, financial literacy or social norms.</w:t>
            </w:r>
          </w:p>
        </w:tc>
      </w:tr>
      <w:tr w:rsidR="006F6B27" w:rsidRPr="006F6B27" w14:paraId="7BC1E4C4" w14:textId="77777777" w:rsidTr="00D4200E">
        <w:trPr>
          <w:trHeight w:val="404"/>
        </w:trPr>
        <w:tc>
          <w:tcPr>
            <w:tcW w:w="388" w:type="dxa"/>
            <w:shd w:val="clear" w:color="000000" w:fill="FFFFFF"/>
            <w:vAlign w:val="center"/>
            <w:hideMark/>
          </w:tcPr>
          <w:p w14:paraId="2C4349C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w:t>
            </w:r>
          </w:p>
        </w:tc>
        <w:tc>
          <w:tcPr>
            <w:tcW w:w="1592" w:type="dxa"/>
            <w:shd w:val="clear" w:color="000000" w:fill="FFFFFF"/>
            <w:vAlign w:val="center"/>
            <w:hideMark/>
          </w:tcPr>
          <w:p w14:paraId="2C71661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Asim, M., Shair, W., Hassan, R.U. and Iftikhar, R. (2025) </w:t>
            </w:r>
          </w:p>
        </w:tc>
        <w:tc>
          <w:tcPr>
            <w:tcW w:w="1134" w:type="dxa"/>
            <w:shd w:val="clear" w:color="000000" w:fill="FFFFFF"/>
            <w:vAlign w:val="center"/>
            <w:hideMark/>
          </w:tcPr>
          <w:p w14:paraId="1565D58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Logistic regression using Global Findex 2021</w:t>
            </w:r>
          </w:p>
        </w:tc>
        <w:tc>
          <w:tcPr>
            <w:tcW w:w="1276" w:type="dxa"/>
            <w:shd w:val="clear" w:color="000000" w:fill="FFFFFF"/>
            <w:vAlign w:val="center"/>
            <w:hideMark/>
          </w:tcPr>
          <w:p w14:paraId="7EBC46D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Framework</w:t>
            </w:r>
          </w:p>
        </w:tc>
        <w:tc>
          <w:tcPr>
            <w:tcW w:w="2551" w:type="dxa"/>
            <w:shd w:val="clear" w:color="000000" w:fill="FFFFFF"/>
            <w:vAlign w:val="center"/>
            <w:hideMark/>
          </w:tcPr>
          <w:p w14:paraId="17F7BBC5" w14:textId="6FE13CBA"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Education, digital access and employment significantly increase financial inclusion, while women remain </w:t>
            </w:r>
            <w:r w:rsidR="006A6B75" w:rsidRPr="006F6B27">
              <w:rPr>
                <w:rFonts w:ascii="Book Antiqua" w:eastAsia="Times New Roman" w:hAnsi="Book Antiqua" w:cs="Times New Roman"/>
                <w:color w:val="000000"/>
                <w:kern w:val="0"/>
                <w:sz w:val="14"/>
                <w:szCs w:val="14"/>
                <w:lang w:eastAsia="en-GB"/>
                <w14:ligatures w14:val="none"/>
              </w:rPr>
              <w:t>deprived</w:t>
            </w:r>
            <w:r w:rsidRPr="006F6B27">
              <w:rPr>
                <w:rFonts w:ascii="Book Antiqua" w:eastAsia="Times New Roman" w:hAnsi="Book Antiqua" w:cs="Times New Roman"/>
                <w:color w:val="000000"/>
                <w:kern w:val="0"/>
                <w:sz w:val="14"/>
                <w:szCs w:val="14"/>
                <w:lang w:eastAsia="en-GB"/>
                <w14:ligatures w14:val="none"/>
              </w:rPr>
              <w:t xml:space="preserve"> across all </w:t>
            </w:r>
            <w:r w:rsidR="006A6B75" w:rsidRPr="006F6B27">
              <w:rPr>
                <w:rFonts w:ascii="Book Antiqua" w:eastAsia="Times New Roman" w:hAnsi="Book Antiqua" w:cs="Times New Roman"/>
                <w:color w:val="000000"/>
                <w:kern w:val="0"/>
                <w:sz w:val="14"/>
                <w:szCs w:val="14"/>
                <w:lang w:eastAsia="en-GB"/>
                <w14:ligatures w14:val="none"/>
              </w:rPr>
              <w:t>aspects</w:t>
            </w:r>
            <w:r w:rsidRPr="006F6B27">
              <w:rPr>
                <w:rFonts w:ascii="Book Antiqua" w:eastAsia="Times New Roman" w:hAnsi="Book Antiqua" w:cs="Times New Roman"/>
                <w:color w:val="000000"/>
                <w:kern w:val="0"/>
                <w:sz w:val="14"/>
                <w:szCs w:val="14"/>
                <w:lang w:eastAsia="en-GB"/>
                <w14:ligatures w14:val="none"/>
              </w:rPr>
              <w:t>.</w:t>
            </w:r>
          </w:p>
        </w:tc>
        <w:tc>
          <w:tcPr>
            <w:tcW w:w="2268" w:type="dxa"/>
            <w:shd w:val="clear" w:color="000000" w:fill="FFFFFF"/>
            <w:vAlign w:val="center"/>
            <w:hideMark/>
          </w:tcPr>
          <w:p w14:paraId="15EB37A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to secondary Findex data.</w:t>
            </w:r>
          </w:p>
        </w:tc>
      </w:tr>
      <w:tr w:rsidR="006F6B27" w:rsidRPr="006F6B27" w14:paraId="756C3445" w14:textId="77777777" w:rsidTr="00D4200E">
        <w:trPr>
          <w:trHeight w:val="680"/>
        </w:trPr>
        <w:tc>
          <w:tcPr>
            <w:tcW w:w="388" w:type="dxa"/>
            <w:shd w:val="clear" w:color="000000" w:fill="FFFFFF"/>
            <w:vAlign w:val="center"/>
            <w:hideMark/>
          </w:tcPr>
          <w:p w14:paraId="587225C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w:t>
            </w:r>
          </w:p>
        </w:tc>
        <w:tc>
          <w:tcPr>
            <w:tcW w:w="1592" w:type="dxa"/>
            <w:shd w:val="clear" w:color="000000" w:fill="FFFFFF"/>
            <w:vAlign w:val="center"/>
            <w:hideMark/>
          </w:tcPr>
          <w:p w14:paraId="2E1FC61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Asongu &amp; Nwachukwu (2018)</w:t>
            </w:r>
          </w:p>
        </w:tc>
        <w:tc>
          <w:tcPr>
            <w:tcW w:w="1134" w:type="dxa"/>
            <w:shd w:val="clear" w:color="000000" w:fill="FFFFFF"/>
            <w:vAlign w:val="center"/>
            <w:hideMark/>
          </w:tcPr>
          <w:p w14:paraId="13FE494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Panel data analysis (93 developing countries)</w:t>
            </w:r>
          </w:p>
        </w:tc>
        <w:tc>
          <w:tcPr>
            <w:tcW w:w="1276" w:type="dxa"/>
            <w:shd w:val="clear" w:color="000000" w:fill="FFFFFF"/>
            <w:vAlign w:val="center"/>
            <w:hideMark/>
          </w:tcPr>
          <w:p w14:paraId="1D4EE19F" w14:textId="61C45220" w:rsidR="006F6B27" w:rsidRPr="006F6B27" w:rsidRDefault="001B4F58"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I</w:t>
            </w:r>
            <w:r w:rsidR="006F6B27" w:rsidRPr="006F6B27">
              <w:rPr>
                <w:rFonts w:ascii="Book Antiqua" w:eastAsia="Times New Roman" w:hAnsi="Book Antiqua" w:cs="Times New Roman"/>
                <w:color w:val="000000"/>
                <w:kern w:val="0"/>
                <w:sz w:val="14"/>
                <w:szCs w:val="14"/>
                <w:lang w:eastAsia="en-GB"/>
                <w14:ligatures w14:val="none"/>
              </w:rPr>
              <w:t>nclusive human development framework</w:t>
            </w:r>
          </w:p>
        </w:tc>
        <w:tc>
          <w:tcPr>
            <w:tcW w:w="2551" w:type="dxa"/>
            <w:shd w:val="clear" w:color="000000" w:fill="FFFFFF"/>
            <w:vAlign w:val="center"/>
            <w:hideMark/>
          </w:tcPr>
          <w:p w14:paraId="763251A6" w14:textId="7B2285A2" w:rsidR="006F6B27" w:rsidRPr="006F6B27" w:rsidRDefault="001B4F58"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M</w:t>
            </w:r>
            <w:r w:rsidR="006F6B27" w:rsidRPr="006F6B27">
              <w:rPr>
                <w:rFonts w:ascii="Book Antiqua" w:eastAsia="Times New Roman" w:hAnsi="Book Antiqua" w:cs="Times New Roman"/>
                <w:color w:val="000000"/>
                <w:kern w:val="0"/>
                <w:sz w:val="14"/>
                <w:szCs w:val="14"/>
                <w:lang w:eastAsia="en-GB"/>
                <w14:ligatures w14:val="none"/>
              </w:rPr>
              <w:t>obile banking drives inclusive development, but gender inequality dampens its poverty-reducing impact across developing nations.</w:t>
            </w:r>
          </w:p>
        </w:tc>
        <w:tc>
          <w:tcPr>
            <w:tcW w:w="2268" w:type="dxa"/>
            <w:shd w:val="clear" w:color="000000" w:fill="FFFFFF"/>
            <w:vAlign w:val="center"/>
            <w:hideMark/>
          </w:tcPr>
          <w:p w14:paraId="037332B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Mainly cross-country macro perspective; lacks granular regional socio-cultural tracking in specific households.</w:t>
            </w:r>
          </w:p>
        </w:tc>
      </w:tr>
      <w:tr w:rsidR="006F6B27" w:rsidRPr="006F6B27" w14:paraId="4C4C847B" w14:textId="77777777" w:rsidTr="00D4200E">
        <w:trPr>
          <w:trHeight w:val="551"/>
        </w:trPr>
        <w:tc>
          <w:tcPr>
            <w:tcW w:w="388" w:type="dxa"/>
            <w:shd w:val="clear" w:color="000000" w:fill="FFFFFF"/>
            <w:vAlign w:val="center"/>
            <w:hideMark/>
          </w:tcPr>
          <w:p w14:paraId="531E2CF5"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8</w:t>
            </w:r>
          </w:p>
        </w:tc>
        <w:tc>
          <w:tcPr>
            <w:tcW w:w="1592" w:type="dxa"/>
            <w:shd w:val="clear" w:color="000000" w:fill="FFFFFF"/>
            <w:vAlign w:val="center"/>
            <w:hideMark/>
          </w:tcPr>
          <w:p w14:paraId="47AF907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Aziz, A. and Naima, U. (2021) </w:t>
            </w:r>
          </w:p>
        </w:tc>
        <w:tc>
          <w:tcPr>
            <w:tcW w:w="1134" w:type="dxa"/>
            <w:shd w:val="clear" w:color="000000" w:fill="FFFFFF"/>
            <w:vAlign w:val="center"/>
            <w:hideMark/>
          </w:tcPr>
          <w:p w14:paraId="354505E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Qualitative case study</w:t>
            </w:r>
          </w:p>
        </w:tc>
        <w:tc>
          <w:tcPr>
            <w:tcW w:w="1276" w:type="dxa"/>
            <w:shd w:val="clear" w:color="000000" w:fill="FFFFFF"/>
            <w:vAlign w:val="center"/>
            <w:hideMark/>
          </w:tcPr>
          <w:p w14:paraId="3401753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Inclusion Theory</w:t>
            </w:r>
          </w:p>
        </w:tc>
        <w:tc>
          <w:tcPr>
            <w:tcW w:w="2551" w:type="dxa"/>
            <w:shd w:val="clear" w:color="000000" w:fill="FFFFFF"/>
            <w:vAlign w:val="center"/>
            <w:hideMark/>
          </w:tcPr>
          <w:p w14:paraId="36FAC58D" w14:textId="1F51A2D6" w:rsidR="006F6B27" w:rsidRPr="006F6B27" w:rsidRDefault="00873F7D"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T</w:t>
            </w:r>
            <w:r w:rsidR="006F6B27" w:rsidRPr="006F6B27">
              <w:rPr>
                <w:rFonts w:ascii="Book Antiqua" w:eastAsia="Times New Roman" w:hAnsi="Book Antiqua" w:cs="Times New Roman"/>
                <w:color w:val="000000"/>
                <w:kern w:val="0"/>
                <w:sz w:val="14"/>
                <w:szCs w:val="14"/>
                <w:lang w:eastAsia="en-GB"/>
                <w14:ligatures w14:val="none"/>
              </w:rPr>
              <w:t>rust, ICT skills and social inclusion strongly influence digital financial inclusion in rural Bangladesh.</w:t>
            </w:r>
          </w:p>
        </w:tc>
        <w:tc>
          <w:tcPr>
            <w:tcW w:w="2268" w:type="dxa"/>
            <w:shd w:val="clear" w:color="000000" w:fill="FFFFFF"/>
            <w:vAlign w:val="center"/>
            <w:hideMark/>
          </w:tcPr>
          <w:p w14:paraId="4D7994C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generalisability because of qualitative design and rural focus.</w:t>
            </w:r>
          </w:p>
        </w:tc>
      </w:tr>
      <w:tr w:rsidR="006F6B27" w:rsidRPr="006F6B27" w14:paraId="64A38AFA" w14:textId="77777777" w:rsidTr="00D4200E">
        <w:trPr>
          <w:trHeight w:val="1193"/>
        </w:trPr>
        <w:tc>
          <w:tcPr>
            <w:tcW w:w="388" w:type="dxa"/>
            <w:shd w:val="clear" w:color="000000" w:fill="FFFFFF"/>
            <w:vAlign w:val="center"/>
            <w:hideMark/>
          </w:tcPr>
          <w:p w14:paraId="2E8350C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9</w:t>
            </w:r>
          </w:p>
        </w:tc>
        <w:tc>
          <w:tcPr>
            <w:tcW w:w="1592" w:type="dxa"/>
            <w:shd w:val="clear" w:color="000000" w:fill="FFFFFF"/>
            <w:vAlign w:val="center"/>
            <w:hideMark/>
          </w:tcPr>
          <w:p w14:paraId="7EBDCF6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Aziz, F., Sheikh, S.M. and Shah, I.H. (2022) </w:t>
            </w:r>
          </w:p>
        </w:tc>
        <w:tc>
          <w:tcPr>
            <w:tcW w:w="1134" w:type="dxa"/>
            <w:shd w:val="clear" w:color="000000" w:fill="FFFFFF"/>
            <w:vAlign w:val="center"/>
            <w:hideMark/>
          </w:tcPr>
          <w:p w14:paraId="52CBAE9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Regression using Global Findex (2004–2017) across 8 South Asian countries</w:t>
            </w:r>
          </w:p>
        </w:tc>
        <w:tc>
          <w:tcPr>
            <w:tcW w:w="1276" w:type="dxa"/>
            <w:shd w:val="clear" w:color="000000" w:fill="FFFFFF"/>
            <w:vAlign w:val="center"/>
            <w:hideMark/>
          </w:tcPr>
          <w:p w14:paraId="6AF4B10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Empowerment Theory; Financial Inclusion Framework</w:t>
            </w:r>
          </w:p>
        </w:tc>
        <w:tc>
          <w:tcPr>
            <w:tcW w:w="2551" w:type="dxa"/>
            <w:shd w:val="clear" w:color="000000" w:fill="FFFFFF"/>
            <w:vAlign w:val="center"/>
            <w:hideMark/>
          </w:tcPr>
          <w:p w14:paraId="4838A798" w14:textId="4AD7B680"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use of financial services is associated with education, institutional quality and gender-friendly regulation. Religious and cultural norms significantly influence account ownership.</w:t>
            </w:r>
          </w:p>
        </w:tc>
        <w:tc>
          <w:tcPr>
            <w:tcW w:w="2268" w:type="dxa"/>
            <w:shd w:val="clear" w:color="000000" w:fill="FFFFFF"/>
            <w:vAlign w:val="center"/>
            <w:hideMark/>
          </w:tcPr>
          <w:p w14:paraId="40825FD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investigate fintech adoption or digital financial services after COVID-19.</w:t>
            </w:r>
          </w:p>
        </w:tc>
      </w:tr>
      <w:tr w:rsidR="006F6B27" w:rsidRPr="006F6B27" w14:paraId="2EBCF023" w14:textId="77777777" w:rsidTr="00D4200E">
        <w:trPr>
          <w:trHeight w:val="770"/>
        </w:trPr>
        <w:tc>
          <w:tcPr>
            <w:tcW w:w="388" w:type="dxa"/>
            <w:shd w:val="clear" w:color="000000" w:fill="FFFFFF"/>
            <w:vAlign w:val="center"/>
            <w:hideMark/>
          </w:tcPr>
          <w:p w14:paraId="71178AC9"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10</w:t>
            </w:r>
          </w:p>
        </w:tc>
        <w:tc>
          <w:tcPr>
            <w:tcW w:w="1592" w:type="dxa"/>
            <w:shd w:val="clear" w:color="000000" w:fill="FFFFFF"/>
            <w:vAlign w:val="center"/>
            <w:hideMark/>
          </w:tcPr>
          <w:p w14:paraId="2F34256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Bandara, S.H. (2024) </w:t>
            </w:r>
          </w:p>
        </w:tc>
        <w:tc>
          <w:tcPr>
            <w:tcW w:w="1134" w:type="dxa"/>
            <w:shd w:val="clear" w:color="000000" w:fill="FFFFFF"/>
            <w:vAlign w:val="center"/>
            <w:hideMark/>
          </w:tcPr>
          <w:p w14:paraId="7E8C895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SLR (38 countries)</w:t>
            </w:r>
          </w:p>
        </w:tc>
        <w:tc>
          <w:tcPr>
            <w:tcW w:w="1276" w:type="dxa"/>
            <w:shd w:val="clear" w:color="000000" w:fill="FFFFFF"/>
            <w:vAlign w:val="center"/>
            <w:hideMark/>
          </w:tcPr>
          <w:p w14:paraId="707E623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Empowerment; Capability Approach</w:t>
            </w:r>
          </w:p>
        </w:tc>
        <w:tc>
          <w:tcPr>
            <w:tcW w:w="2551" w:type="dxa"/>
            <w:shd w:val="clear" w:color="000000" w:fill="FFFFFF"/>
            <w:vAlign w:val="center"/>
            <w:hideMark/>
          </w:tcPr>
          <w:p w14:paraId="3B89CEA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Microfinance improves income, decision-making and asset accumulation but outcomes vary with institutional support.</w:t>
            </w:r>
          </w:p>
        </w:tc>
        <w:tc>
          <w:tcPr>
            <w:tcW w:w="2268" w:type="dxa"/>
            <w:shd w:val="clear" w:color="000000" w:fill="FFFFFF"/>
            <w:vAlign w:val="center"/>
            <w:hideMark/>
          </w:tcPr>
          <w:p w14:paraId="30C91F2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evidence on integration between fintech and microfinance.</w:t>
            </w:r>
          </w:p>
        </w:tc>
      </w:tr>
      <w:tr w:rsidR="006F6B27" w:rsidRPr="006F6B27" w14:paraId="4313DC70" w14:textId="77777777" w:rsidTr="00D4200E">
        <w:trPr>
          <w:trHeight w:val="770"/>
        </w:trPr>
        <w:tc>
          <w:tcPr>
            <w:tcW w:w="388" w:type="dxa"/>
            <w:shd w:val="clear" w:color="000000" w:fill="FFFFFF"/>
            <w:vAlign w:val="center"/>
            <w:hideMark/>
          </w:tcPr>
          <w:p w14:paraId="215547C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11</w:t>
            </w:r>
          </w:p>
        </w:tc>
        <w:tc>
          <w:tcPr>
            <w:tcW w:w="1592" w:type="dxa"/>
            <w:shd w:val="clear" w:color="000000" w:fill="FFFFFF"/>
            <w:vAlign w:val="center"/>
            <w:hideMark/>
          </w:tcPr>
          <w:p w14:paraId="5FB0828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Bhat, S.A., Lone, U.M., SivaKumar, A. and Krishna, U.G., 2025. </w:t>
            </w:r>
          </w:p>
        </w:tc>
        <w:tc>
          <w:tcPr>
            <w:tcW w:w="1134" w:type="dxa"/>
            <w:shd w:val="clear" w:color="000000" w:fill="FFFFFF"/>
            <w:vAlign w:val="center"/>
            <w:hideMark/>
          </w:tcPr>
          <w:p w14:paraId="118D377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Survey, SEM</w:t>
            </w:r>
          </w:p>
        </w:tc>
        <w:tc>
          <w:tcPr>
            <w:tcW w:w="1276" w:type="dxa"/>
            <w:shd w:val="clear" w:color="000000" w:fill="FFFFFF"/>
            <w:vAlign w:val="center"/>
            <w:hideMark/>
          </w:tcPr>
          <w:p w14:paraId="7195745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Capability Theory</w:t>
            </w:r>
          </w:p>
        </w:tc>
        <w:tc>
          <w:tcPr>
            <w:tcW w:w="2551" w:type="dxa"/>
            <w:shd w:val="clear" w:color="000000" w:fill="FFFFFF"/>
            <w:vAlign w:val="center"/>
            <w:hideMark/>
          </w:tcPr>
          <w:p w14:paraId="0D9D42F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financial literacy significantly improves women's financial decision-making and use of digital finance.</w:t>
            </w:r>
          </w:p>
        </w:tc>
        <w:tc>
          <w:tcPr>
            <w:tcW w:w="2268" w:type="dxa"/>
            <w:shd w:val="clear" w:color="000000" w:fill="FFFFFF"/>
            <w:vAlign w:val="center"/>
            <w:hideMark/>
          </w:tcPr>
          <w:p w14:paraId="651DCB7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examine fintech ecosystem factors</w:t>
            </w:r>
          </w:p>
        </w:tc>
      </w:tr>
      <w:tr w:rsidR="006F6B27" w:rsidRPr="006F6B27" w14:paraId="36F36D5A" w14:textId="77777777" w:rsidTr="00D4200E">
        <w:trPr>
          <w:trHeight w:val="770"/>
        </w:trPr>
        <w:tc>
          <w:tcPr>
            <w:tcW w:w="388" w:type="dxa"/>
            <w:shd w:val="clear" w:color="000000" w:fill="FFFFFF"/>
            <w:vAlign w:val="center"/>
            <w:hideMark/>
          </w:tcPr>
          <w:p w14:paraId="6BFC9BB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12</w:t>
            </w:r>
          </w:p>
        </w:tc>
        <w:tc>
          <w:tcPr>
            <w:tcW w:w="1592" w:type="dxa"/>
            <w:shd w:val="clear" w:color="000000" w:fill="FFFFFF"/>
            <w:vAlign w:val="center"/>
            <w:hideMark/>
          </w:tcPr>
          <w:p w14:paraId="54EE8BF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Bollaert, Lopez-de-Silanes &amp; Schwienbacher (2021)</w:t>
            </w:r>
          </w:p>
        </w:tc>
        <w:tc>
          <w:tcPr>
            <w:tcW w:w="1134" w:type="dxa"/>
            <w:shd w:val="clear" w:color="000000" w:fill="FFFFFF"/>
            <w:vAlign w:val="center"/>
            <w:hideMark/>
          </w:tcPr>
          <w:p w14:paraId="5E7BECC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Systematic Literature Review</w:t>
            </w:r>
          </w:p>
        </w:tc>
        <w:tc>
          <w:tcPr>
            <w:tcW w:w="1276" w:type="dxa"/>
            <w:shd w:val="clear" w:color="000000" w:fill="FFFFFF"/>
            <w:vAlign w:val="center"/>
            <w:hideMark/>
          </w:tcPr>
          <w:p w14:paraId="53375FA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Constraint Theory</w:t>
            </w:r>
          </w:p>
        </w:tc>
        <w:tc>
          <w:tcPr>
            <w:tcW w:w="2551" w:type="dxa"/>
            <w:shd w:val="clear" w:color="000000" w:fill="FFFFFF"/>
            <w:vAlign w:val="center"/>
            <w:hideMark/>
          </w:tcPr>
          <w:p w14:paraId="0E5DE0A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Reviews how fintech reduces financing constraints through crowdfunding, P2P lending and digital finance.</w:t>
            </w:r>
          </w:p>
        </w:tc>
        <w:tc>
          <w:tcPr>
            <w:tcW w:w="2268" w:type="dxa"/>
            <w:shd w:val="clear" w:color="000000" w:fill="FFFFFF"/>
            <w:vAlign w:val="center"/>
            <w:hideMark/>
          </w:tcPr>
          <w:p w14:paraId="427FABE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Need more developing-country evidence.</w:t>
            </w:r>
          </w:p>
        </w:tc>
      </w:tr>
      <w:tr w:rsidR="006F6B27" w:rsidRPr="006F6B27" w14:paraId="6ABAFD16" w14:textId="77777777" w:rsidTr="00D4200E">
        <w:trPr>
          <w:trHeight w:val="580"/>
        </w:trPr>
        <w:tc>
          <w:tcPr>
            <w:tcW w:w="388" w:type="dxa"/>
            <w:shd w:val="clear" w:color="000000" w:fill="FFFFFF"/>
            <w:vAlign w:val="center"/>
            <w:hideMark/>
          </w:tcPr>
          <w:p w14:paraId="33B6EFC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13</w:t>
            </w:r>
          </w:p>
        </w:tc>
        <w:tc>
          <w:tcPr>
            <w:tcW w:w="1592" w:type="dxa"/>
            <w:shd w:val="clear" w:color="000000" w:fill="FFFFFF"/>
            <w:vAlign w:val="center"/>
            <w:hideMark/>
          </w:tcPr>
          <w:p w14:paraId="0C18CC0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Bongomin, G.O.C., Ntayi, J.M., Munene, J.C. and Malinga, C.A. (2018)</w:t>
            </w:r>
          </w:p>
        </w:tc>
        <w:tc>
          <w:tcPr>
            <w:tcW w:w="1134" w:type="dxa"/>
            <w:shd w:val="clear" w:color="000000" w:fill="FFFFFF"/>
            <w:vAlign w:val="center"/>
            <w:hideMark/>
          </w:tcPr>
          <w:p w14:paraId="2E59021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Cross-sectional survey; PLS-SEM</w:t>
            </w:r>
          </w:p>
        </w:tc>
        <w:tc>
          <w:tcPr>
            <w:tcW w:w="1276" w:type="dxa"/>
            <w:shd w:val="clear" w:color="000000" w:fill="FFFFFF"/>
            <w:vAlign w:val="center"/>
            <w:hideMark/>
          </w:tcPr>
          <w:p w14:paraId="27B2E1E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Literacy Theory</w:t>
            </w:r>
          </w:p>
        </w:tc>
        <w:tc>
          <w:tcPr>
            <w:tcW w:w="2551" w:type="dxa"/>
            <w:shd w:val="clear" w:color="000000" w:fill="FFFFFF"/>
            <w:vAlign w:val="center"/>
            <w:hideMark/>
          </w:tcPr>
          <w:p w14:paraId="149082A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literacy and ICT capability improve financial inclusion.</w:t>
            </w:r>
          </w:p>
        </w:tc>
        <w:tc>
          <w:tcPr>
            <w:tcW w:w="2268" w:type="dxa"/>
            <w:shd w:val="clear" w:color="000000" w:fill="FFFFFF"/>
            <w:vAlign w:val="center"/>
            <w:hideMark/>
          </w:tcPr>
          <w:p w14:paraId="06F11B8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Fintech-specific services require further investigation.</w:t>
            </w:r>
          </w:p>
        </w:tc>
      </w:tr>
      <w:tr w:rsidR="006F6B27" w:rsidRPr="006F6B27" w14:paraId="75E36B71" w14:textId="77777777" w:rsidTr="00D4200E">
        <w:trPr>
          <w:trHeight w:val="517"/>
        </w:trPr>
        <w:tc>
          <w:tcPr>
            <w:tcW w:w="388" w:type="dxa"/>
            <w:shd w:val="clear" w:color="000000" w:fill="FFFFFF"/>
            <w:vAlign w:val="center"/>
            <w:hideMark/>
          </w:tcPr>
          <w:p w14:paraId="228C216A"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14</w:t>
            </w:r>
          </w:p>
        </w:tc>
        <w:tc>
          <w:tcPr>
            <w:tcW w:w="1592" w:type="dxa"/>
            <w:shd w:val="clear" w:color="000000" w:fill="FFFFFF"/>
            <w:vAlign w:val="center"/>
            <w:hideMark/>
          </w:tcPr>
          <w:p w14:paraId="74EAB2F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Boot, Hoffmann, Laeven &amp; Ratnovski (2021)</w:t>
            </w:r>
          </w:p>
        </w:tc>
        <w:tc>
          <w:tcPr>
            <w:tcW w:w="1134" w:type="dxa"/>
            <w:shd w:val="clear" w:color="000000" w:fill="FFFFFF"/>
            <w:vAlign w:val="center"/>
            <w:hideMark/>
          </w:tcPr>
          <w:p w14:paraId="6AE107F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Conceptual/theoretical review</w:t>
            </w:r>
          </w:p>
        </w:tc>
        <w:tc>
          <w:tcPr>
            <w:tcW w:w="1276" w:type="dxa"/>
            <w:shd w:val="clear" w:color="000000" w:fill="FFFFFF"/>
            <w:vAlign w:val="center"/>
            <w:hideMark/>
          </w:tcPr>
          <w:p w14:paraId="55FCA01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Intermediation Theory</w:t>
            </w:r>
          </w:p>
        </w:tc>
        <w:tc>
          <w:tcPr>
            <w:tcW w:w="2551" w:type="dxa"/>
            <w:shd w:val="clear" w:color="000000" w:fill="FFFFFF"/>
            <w:vAlign w:val="center"/>
            <w:hideMark/>
          </w:tcPr>
          <w:p w14:paraId="5797A10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Fintech transforms banking through technology-enabled intermediation.</w:t>
            </w:r>
          </w:p>
        </w:tc>
        <w:tc>
          <w:tcPr>
            <w:tcW w:w="2268" w:type="dxa"/>
            <w:shd w:val="clear" w:color="000000" w:fill="FFFFFF"/>
            <w:vAlign w:val="center"/>
            <w:hideMark/>
          </w:tcPr>
          <w:p w14:paraId="6F0A36C1" w14:textId="0D190659" w:rsidR="006F6B27" w:rsidRPr="006F6B27" w:rsidRDefault="00062269"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Does</w:t>
            </w:r>
            <w:r w:rsidR="006F6B27" w:rsidRPr="006F6B27">
              <w:rPr>
                <w:rFonts w:ascii="Book Antiqua" w:eastAsia="Times New Roman" w:hAnsi="Book Antiqua" w:cs="Times New Roman"/>
                <w:color w:val="000000"/>
                <w:kern w:val="0"/>
                <w:sz w:val="14"/>
                <w:szCs w:val="14"/>
                <w:lang w:eastAsia="en-GB"/>
                <w14:ligatures w14:val="none"/>
              </w:rPr>
              <w:t xml:space="preserve"> not examine socio-cultural influences on fintech adoption.</w:t>
            </w:r>
          </w:p>
        </w:tc>
      </w:tr>
      <w:tr w:rsidR="006F6B27" w:rsidRPr="006F6B27" w14:paraId="550A3BCB" w14:textId="77777777" w:rsidTr="00D4200E">
        <w:trPr>
          <w:trHeight w:val="952"/>
        </w:trPr>
        <w:tc>
          <w:tcPr>
            <w:tcW w:w="388" w:type="dxa"/>
            <w:shd w:val="clear" w:color="000000" w:fill="FFFFFF"/>
            <w:vAlign w:val="center"/>
            <w:hideMark/>
          </w:tcPr>
          <w:p w14:paraId="309DCC75"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15</w:t>
            </w:r>
          </w:p>
        </w:tc>
        <w:tc>
          <w:tcPr>
            <w:tcW w:w="1592" w:type="dxa"/>
            <w:shd w:val="clear" w:color="000000" w:fill="FFFFFF"/>
            <w:vAlign w:val="center"/>
            <w:hideMark/>
          </w:tcPr>
          <w:p w14:paraId="30B9687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Brody, C., Hoop, T.D., Vojtkova, M., Warnock, R., Dunbar, M., Murthy, P. and Dworkin, S.L. (2017) </w:t>
            </w:r>
          </w:p>
        </w:tc>
        <w:tc>
          <w:tcPr>
            <w:tcW w:w="1134" w:type="dxa"/>
            <w:shd w:val="clear" w:color="000000" w:fill="FFFFFF"/>
            <w:vAlign w:val="center"/>
            <w:hideMark/>
          </w:tcPr>
          <w:p w14:paraId="53E96D6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SLR/Meta-analysis</w:t>
            </w:r>
          </w:p>
        </w:tc>
        <w:tc>
          <w:tcPr>
            <w:tcW w:w="1276" w:type="dxa"/>
            <w:shd w:val="clear" w:color="000000" w:fill="FFFFFF"/>
            <w:vAlign w:val="center"/>
            <w:hideMark/>
          </w:tcPr>
          <w:p w14:paraId="3D16EFE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empowerment / Self-help group (SHG) framework</w:t>
            </w:r>
          </w:p>
        </w:tc>
        <w:tc>
          <w:tcPr>
            <w:tcW w:w="2551" w:type="dxa"/>
            <w:shd w:val="clear" w:color="000000" w:fill="FFFFFF"/>
            <w:vAlign w:val="center"/>
            <w:hideMark/>
          </w:tcPr>
          <w:p w14:paraId="33FDF81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Self-help group programs significantly improve women's economic, social, and political empowerment across multiple contexts.</w:t>
            </w:r>
          </w:p>
        </w:tc>
        <w:tc>
          <w:tcPr>
            <w:tcW w:w="2268" w:type="dxa"/>
            <w:shd w:val="clear" w:color="000000" w:fill="FFFFFF"/>
            <w:vAlign w:val="center"/>
            <w:hideMark/>
          </w:tcPr>
          <w:p w14:paraId="312434C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broadly on physical collectives; does not isolate digital finance or FinTech interface constraints.</w:t>
            </w:r>
          </w:p>
        </w:tc>
      </w:tr>
      <w:tr w:rsidR="006F6B27" w:rsidRPr="006F6B27" w14:paraId="077EE4E6" w14:textId="77777777" w:rsidTr="00732EBA">
        <w:trPr>
          <w:trHeight w:val="694"/>
        </w:trPr>
        <w:tc>
          <w:tcPr>
            <w:tcW w:w="388" w:type="dxa"/>
            <w:shd w:val="clear" w:color="000000" w:fill="FFFFFF"/>
            <w:vAlign w:val="center"/>
            <w:hideMark/>
          </w:tcPr>
          <w:p w14:paraId="04A4B1BE"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16</w:t>
            </w:r>
          </w:p>
        </w:tc>
        <w:tc>
          <w:tcPr>
            <w:tcW w:w="1592" w:type="dxa"/>
            <w:shd w:val="clear" w:color="000000" w:fill="FFFFFF"/>
            <w:vAlign w:val="center"/>
            <w:hideMark/>
          </w:tcPr>
          <w:p w14:paraId="3D43751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Cevik, S. (2025) </w:t>
            </w:r>
          </w:p>
        </w:tc>
        <w:tc>
          <w:tcPr>
            <w:tcW w:w="1134" w:type="dxa"/>
            <w:shd w:val="clear" w:color="000000" w:fill="FFFFFF"/>
            <w:vAlign w:val="center"/>
            <w:hideMark/>
          </w:tcPr>
          <w:p w14:paraId="7B25A008" w14:textId="2912E8F5" w:rsidR="007F3809"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Panel </w:t>
            </w:r>
          </w:p>
          <w:p w14:paraId="5FEF5CCD" w14:textId="68166DEF"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econometric analysis</w:t>
            </w:r>
            <w:r w:rsidR="00B81045">
              <w:rPr>
                <w:rFonts w:ascii="Book Antiqua" w:eastAsia="Times New Roman" w:hAnsi="Book Antiqua" w:cs="Times New Roman"/>
                <w:color w:val="000000"/>
                <w:kern w:val="0"/>
                <w:sz w:val="14"/>
                <w:szCs w:val="14"/>
                <w:lang w:eastAsia="en-GB"/>
                <w14:ligatures w14:val="none"/>
              </w:rPr>
              <w:t xml:space="preserve"> </w:t>
            </w:r>
            <w:r w:rsidR="00B81045" w:rsidRPr="006F6B27">
              <w:rPr>
                <w:rFonts w:ascii="Book Antiqua" w:eastAsia="Times New Roman" w:hAnsi="Book Antiqua" w:cs="Times New Roman"/>
                <w:color w:val="000000"/>
                <w:kern w:val="0"/>
                <w:sz w:val="14"/>
                <w:szCs w:val="14"/>
                <w:lang w:eastAsia="en-GB"/>
                <w14:ligatures w14:val="none"/>
              </w:rPr>
              <w:t>(84 countries</w:t>
            </w:r>
            <w:r w:rsidR="00732EBA">
              <w:rPr>
                <w:rFonts w:ascii="Book Antiqua" w:eastAsia="Times New Roman" w:hAnsi="Book Antiqua" w:cs="Times New Roman"/>
                <w:color w:val="000000"/>
                <w:kern w:val="0"/>
                <w:sz w:val="14"/>
                <w:szCs w:val="14"/>
                <w:lang w:eastAsia="en-GB"/>
                <w14:ligatures w14:val="none"/>
              </w:rPr>
              <w:t>)</w:t>
            </w:r>
          </w:p>
        </w:tc>
        <w:tc>
          <w:tcPr>
            <w:tcW w:w="1276" w:type="dxa"/>
            <w:shd w:val="clear" w:color="000000" w:fill="FFFFFF"/>
            <w:vAlign w:val="center"/>
            <w:hideMark/>
          </w:tcPr>
          <w:p w14:paraId="7CC80AD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Theory</w:t>
            </w:r>
          </w:p>
        </w:tc>
        <w:tc>
          <w:tcPr>
            <w:tcW w:w="2551" w:type="dxa"/>
            <w:shd w:val="clear" w:color="000000" w:fill="FFFFFF"/>
            <w:vAlign w:val="center"/>
            <w:hideMark/>
          </w:tcPr>
          <w:p w14:paraId="21541F24" w14:textId="6D79458B"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Strong regulatory institutions and financial education enhance the benefits.</w:t>
            </w:r>
          </w:p>
        </w:tc>
        <w:tc>
          <w:tcPr>
            <w:tcW w:w="2268" w:type="dxa"/>
            <w:shd w:val="clear" w:color="000000" w:fill="FFFFFF"/>
            <w:vAlign w:val="center"/>
            <w:hideMark/>
          </w:tcPr>
          <w:p w14:paraId="333B5D8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investigate gender-specific or household-level behavioural determinants of fintech adoption.</w:t>
            </w:r>
          </w:p>
        </w:tc>
      </w:tr>
      <w:tr w:rsidR="006F6B27" w:rsidRPr="006F6B27" w14:paraId="3B6C7F79" w14:textId="77777777" w:rsidTr="00D4200E">
        <w:trPr>
          <w:trHeight w:val="274"/>
        </w:trPr>
        <w:tc>
          <w:tcPr>
            <w:tcW w:w="388" w:type="dxa"/>
            <w:shd w:val="clear" w:color="000000" w:fill="FFFFFF"/>
            <w:vAlign w:val="center"/>
            <w:hideMark/>
          </w:tcPr>
          <w:p w14:paraId="2A20068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17</w:t>
            </w:r>
          </w:p>
        </w:tc>
        <w:tc>
          <w:tcPr>
            <w:tcW w:w="1592" w:type="dxa"/>
            <w:shd w:val="clear" w:color="000000" w:fill="FFFFFF"/>
            <w:vAlign w:val="center"/>
            <w:hideMark/>
          </w:tcPr>
          <w:p w14:paraId="29A71AA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Chauhan, Akhtar &amp; Gupta (2022)</w:t>
            </w:r>
          </w:p>
        </w:tc>
        <w:tc>
          <w:tcPr>
            <w:tcW w:w="1134" w:type="dxa"/>
            <w:shd w:val="clear" w:color="000000" w:fill="FFFFFF"/>
            <w:vAlign w:val="center"/>
            <w:hideMark/>
          </w:tcPr>
          <w:p w14:paraId="0AB60F3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SLR (88 digital banking studies)</w:t>
            </w:r>
          </w:p>
        </w:tc>
        <w:tc>
          <w:tcPr>
            <w:tcW w:w="1276" w:type="dxa"/>
            <w:shd w:val="clear" w:color="000000" w:fill="FFFFFF"/>
            <w:vAlign w:val="center"/>
            <w:hideMark/>
          </w:tcPr>
          <w:p w14:paraId="0572CB09" w14:textId="0876FF62"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Customer experience (CE) framework </w:t>
            </w:r>
          </w:p>
        </w:tc>
        <w:tc>
          <w:tcPr>
            <w:tcW w:w="2551" w:type="dxa"/>
            <w:shd w:val="clear" w:color="000000" w:fill="FFFFFF"/>
            <w:vAlign w:val="center"/>
            <w:hideMark/>
          </w:tcPr>
          <w:p w14:paraId="1FE3DD2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Categorizes digital banking customer experiences into functional, mechanic, and humanic cues that jointly shape provider performance.</w:t>
            </w:r>
          </w:p>
        </w:tc>
        <w:tc>
          <w:tcPr>
            <w:tcW w:w="2268" w:type="dxa"/>
            <w:shd w:val="clear" w:color="000000" w:fill="FFFFFF"/>
            <w:vAlign w:val="center"/>
            <w:hideMark/>
          </w:tcPr>
          <w:p w14:paraId="03A7120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specialize in gender-disaggregated or socio-cultural barriers unique to women in SA.</w:t>
            </w:r>
          </w:p>
        </w:tc>
      </w:tr>
      <w:tr w:rsidR="006F6B27" w:rsidRPr="006F6B27" w14:paraId="17F8873C" w14:textId="77777777" w:rsidTr="00D4200E">
        <w:trPr>
          <w:trHeight w:val="670"/>
        </w:trPr>
        <w:tc>
          <w:tcPr>
            <w:tcW w:w="388" w:type="dxa"/>
            <w:shd w:val="clear" w:color="000000" w:fill="FFFFFF"/>
            <w:vAlign w:val="center"/>
            <w:hideMark/>
          </w:tcPr>
          <w:p w14:paraId="4C631D5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18</w:t>
            </w:r>
          </w:p>
        </w:tc>
        <w:tc>
          <w:tcPr>
            <w:tcW w:w="1592" w:type="dxa"/>
            <w:shd w:val="clear" w:color="000000" w:fill="FFFFFF"/>
            <w:vAlign w:val="center"/>
            <w:hideMark/>
          </w:tcPr>
          <w:p w14:paraId="116AAC3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Chen, S., Doerr, S., Frost, J., Gambacorta, L. and Shin, H.S., 2023. </w:t>
            </w:r>
          </w:p>
        </w:tc>
        <w:tc>
          <w:tcPr>
            <w:tcW w:w="1134" w:type="dxa"/>
            <w:shd w:val="clear" w:color="000000" w:fill="FFFFFF"/>
            <w:vAlign w:val="center"/>
            <w:hideMark/>
          </w:tcPr>
          <w:p w14:paraId="445E7B20" w14:textId="662CB0EA"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survey (28 countries)</w:t>
            </w:r>
          </w:p>
        </w:tc>
        <w:tc>
          <w:tcPr>
            <w:tcW w:w="1276" w:type="dxa"/>
            <w:shd w:val="clear" w:color="000000" w:fill="FFFFFF"/>
            <w:vAlign w:val="center"/>
            <w:hideMark/>
          </w:tcPr>
          <w:p w14:paraId="77A641B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Behavioural Finance; Financial Inclusion</w:t>
            </w:r>
          </w:p>
        </w:tc>
        <w:tc>
          <w:tcPr>
            <w:tcW w:w="2551" w:type="dxa"/>
            <w:shd w:val="clear" w:color="000000" w:fill="FFFFFF"/>
            <w:vAlign w:val="center"/>
            <w:hideMark/>
          </w:tcPr>
          <w:p w14:paraId="40348B3C" w14:textId="6D2FF1B6" w:rsidR="006F6B27" w:rsidRPr="006F6B27" w:rsidRDefault="00762D30"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Gender</w:t>
            </w:r>
            <w:r w:rsidR="006F6B27" w:rsidRPr="006F6B27">
              <w:rPr>
                <w:rFonts w:ascii="Book Antiqua" w:eastAsia="Times New Roman" w:hAnsi="Book Antiqua" w:cs="Times New Roman"/>
                <w:color w:val="000000"/>
                <w:kern w:val="0"/>
                <w:sz w:val="14"/>
                <w:szCs w:val="14"/>
                <w:lang w:eastAsia="en-GB"/>
                <w14:ligatures w14:val="none"/>
              </w:rPr>
              <w:t xml:space="preserve"> gap is explained by attitudes towards technology, product </w:t>
            </w:r>
            <w:r w:rsidRPr="006F6B27">
              <w:rPr>
                <w:rFonts w:ascii="Book Antiqua" w:eastAsia="Times New Roman" w:hAnsi="Book Antiqua" w:cs="Times New Roman"/>
                <w:color w:val="000000"/>
                <w:kern w:val="0"/>
                <w:sz w:val="14"/>
                <w:szCs w:val="14"/>
                <w:lang w:eastAsia="en-GB"/>
                <w14:ligatures w14:val="none"/>
              </w:rPr>
              <w:t>aptness</w:t>
            </w:r>
            <w:r w:rsidR="006F6B27" w:rsidRPr="006F6B27">
              <w:rPr>
                <w:rFonts w:ascii="Book Antiqua" w:eastAsia="Times New Roman" w:hAnsi="Book Antiqua" w:cs="Times New Roman"/>
                <w:color w:val="000000"/>
                <w:kern w:val="0"/>
                <w:sz w:val="14"/>
                <w:szCs w:val="14"/>
                <w:lang w:eastAsia="en-GB"/>
                <w14:ligatures w14:val="none"/>
              </w:rPr>
              <w:t xml:space="preserve"> and </w:t>
            </w:r>
            <w:r w:rsidRPr="006F6B27">
              <w:rPr>
                <w:rFonts w:ascii="Book Antiqua" w:eastAsia="Times New Roman" w:hAnsi="Book Antiqua" w:cs="Times New Roman"/>
                <w:color w:val="000000"/>
                <w:kern w:val="0"/>
                <w:sz w:val="14"/>
                <w:szCs w:val="14"/>
                <w:lang w:eastAsia="en-GB"/>
                <w14:ligatures w14:val="none"/>
              </w:rPr>
              <w:t>inclination</w:t>
            </w:r>
            <w:r w:rsidR="006F6B27" w:rsidRPr="006F6B27">
              <w:rPr>
                <w:rFonts w:ascii="Book Antiqua" w:eastAsia="Times New Roman" w:hAnsi="Book Antiqua" w:cs="Times New Roman"/>
                <w:color w:val="000000"/>
                <w:kern w:val="0"/>
                <w:sz w:val="14"/>
                <w:szCs w:val="14"/>
                <w:lang w:eastAsia="en-GB"/>
                <w14:ligatures w14:val="none"/>
              </w:rPr>
              <w:t xml:space="preserve"> to adopt new providers.</w:t>
            </w:r>
          </w:p>
        </w:tc>
        <w:tc>
          <w:tcPr>
            <w:tcW w:w="2268" w:type="dxa"/>
            <w:shd w:val="clear" w:color="000000" w:fill="FFFFFF"/>
            <w:vAlign w:val="center"/>
            <w:hideMark/>
          </w:tcPr>
          <w:p w14:paraId="3ACE50A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The study identifies the gap but does not test interventions that can reduce it.</w:t>
            </w:r>
          </w:p>
        </w:tc>
      </w:tr>
      <w:tr w:rsidR="006F6B27" w:rsidRPr="006F6B27" w14:paraId="44FE7168" w14:textId="77777777" w:rsidTr="00D4200E">
        <w:trPr>
          <w:trHeight w:val="948"/>
        </w:trPr>
        <w:tc>
          <w:tcPr>
            <w:tcW w:w="388" w:type="dxa"/>
            <w:shd w:val="clear" w:color="000000" w:fill="FFFFFF"/>
            <w:vAlign w:val="center"/>
            <w:hideMark/>
          </w:tcPr>
          <w:p w14:paraId="3468D29A"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lastRenderedPageBreak/>
              <w:t>19</w:t>
            </w:r>
          </w:p>
        </w:tc>
        <w:tc>
          <w:tcPr>
            <w:tcW w:w="1592" w:type="dxa"/>
            <w:shd w:val="clear" w:color="000000" w:fill="FFFFFF"/>
            <w:vAlign w:val="center"/>
            <w:hideMark/>
          </w:tcPr>
          <w:p w14:paraId="3464349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Chowdhury, M.A.M., Labib, T., Hossain, A., Hossain, M.B., Rengasamy, D. and Atiullah, M., 2026. </w:t>
            </w:r>
          </w:p>
        </w:tc>
        <w:tc>
          <w:tcPr>
            <w:tcW w:w="1134" w:type="dxa"/>
            <w:shd w:val="clear" w:color="000000" w:fill="FFFFFF"/>
            <w:vAlign w:val="center"/>
            <w:hideMark/>
          </w:tcPr>
          <w:p w14:paraId="0341514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econometric analysis using SAARC data</w:t>
            </w:r>
          </w:p>
        </w:tc>
        <w:tc>
          <w:tcPr>
            <w:tcW w:w="1276" w:type="dxa"/>
            <w:shd w:val="clear" w:color="000000" w:fill="FFFFFF"/>
            <w:vAlign w:val="center"/>
            <w:hideMark/>
          </w:tcPr>
          <w:p w14:paraId="7BD6F56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Financial Inclusion</w:t>
            </w:r>
          </w:p>
        </w:tc>
        <w:tc>
          <w:tcPr>
            <w:tcW w:w="2551" w:type="dxa"/>
            <w:shd w:val="clear" w:color="000000" w:fill="FFFFFF"/>
            <w:vAlign w:val="center"/>
            <w:hideMark/>
          </w:tcPr>
          <w:p w14:paraId="0090E1D0" w14:textId="79963D4B"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Women </w:t>
            </w:r>
            <w:r w:rsidR="00762D30">
              <w:rPr>
                <w:rFonts w:ascii="Book Antiqua" w:eastAsia="Times New Roman" w:hAnsi="Book Antiqua" w:cs="Times New Roman"/>
                <w:color w:val="000000"/>
                <w:kern w:val="0"/>
                <w:sz w:val="14"/>
                <w:szCs w:val="14"/>
                <w:lang w:eastAsia="en-GB"/>
                <w14:ligatures w14:val="none"/>
              </w:rPr>
              <w:t>are</w:t>
            </w:r>
            <w:r w:rsidRPr="006F6B27">
              <w:rPr>
                <w:rFonts w:ascii="Book Antiqua" w:eastAsia="Times New Roman" w:hAnsi="Book Antiqua" w:cs="Times New Roman"/>
                <w:color w:val="000000"/>
                <w:kern w:val="0"/>
                <w:sz w:val="14"/>
                <w:szCs w:val="14"/>
                <w:lang w:eastAsia="en-GB"/>
                <w14:ligatures w14:val="none"/>
              </w:rPr>
              <w:t xml:space="preserve"> less likely to own </w:t>
            </w:r>
            <w:r w:rsidR="00762D30">
              <w:rPr>
                <w:rFonts w:ascii="Book Antiqua" w:eastAsia="Times New Roman" w:hAnsi="Book Antiqua" w:cs="Times New Roman"/>
                <w:color w:val="000000"/>
                <w:kern w:val="0"/>
                <w:sz w:val="14"/>
                <w:szCs w:val="14"/>
                <w:lang w:eastAsia="en-GB"/>
                <w14:ligatures w14:val="none"/>
              </w:rPr>
              <w:t xml:space="preserve">digital </w:t>
            </w:r>
            <w:r w:rsidRPr="006F6B27">
              <w:rPr>
                <w:rFonts w:ascii="Book Antiqua" w:eastAsia="Times New Roman" w:hAnsi="Book Antiqua" w:cs="Times New Roman"/>
                <w:color w:val="000000"/>
                <w:kern w:val="0"/>
                <w:sz w:val="14"/>
                <w:szCs w:val="14"/>
                <w:lang w:eastAsia="en-GB"/>
                <w14:ligatures w14:val="none"/>
              </w:rPr>
              <w:t xml:space="preserve">accounts or </w:t>
            </w:r>
            <w:r w:rsidR="00D215AF" w:rsidRPr="006F6B27">
              <w:rPr>
                <w:rFonts w:ascii="Book Antiqua" w:eastAsia="Times New Roman" w:hAnsi="Book Antiqua" w:cs="Times New Roman"/>
                <w:color w:val="000000"/>
                <w:kern w:val="0"/>
                <w:sz w:val="14"/>
                <w:szCs w:val="14"/>
                <w:lang w:eastAsia="en-GB"/>
                <w14:ligatures w14:val="none"/>
              </w:rPr>
              <w:t xml:space="preserve">make </w:t>
            </w:r>
            <w:r w:rsidR="00D215AF">
              <w:rPr>
                <w:rFonts w:ascii="Book Antiqua" w:eastAsia="Times New Roman" w:hAnsi="Book Antiqua" w:cs="Times New Roman"/>
                <w:color w:val="000000"/>
                <w:kern w:val="0"/>
                <w:sz w:val="14"/>
                <w:szCs w:val="14"/>
                <w:lang w:eastAsia="en-GB"/>
                <w14:ligatures w14:val="none"/>
              </w:rPr>
              <w:t>payments</w:t>
            </w:r>
            <w:r w:rsidRPr="006F6B27">
              <w:rPr>
                <w:rFonts w:ascii="Book Antiqua" w:eastAsia="Times New Roman" w:hAnsi="Book Antiqua" w:cs="Times New Roman"/>
                <w:color w:val="000000"/>
                <w:kern w:val="0"/>
                <w:sz w:val="14"/>
                <w:szCs w:val="14"/>
                <w:lang w:eastAsia="en-GB"/>
                <w14:ligatures w14:val="none"/>
              </w:rPr>
              <w:t xml:space="preserve"> across SAARC countries; education and income explain part of the gap.</w:t>
            </w:r>
          </w:p>
        </w:tc>
        <w:tc>
          <w:tcPr>
            <w:tcW w:w="2268" w:type="dxa"/>
            <w:shd w:val="clear" w:color="000000" w:fill="FFFFFF"/>
            <w:vAlign w:val="center"/>
            <w:hideMark/>
          </w:tcPr>
          <w:p w14:paraId="5133A2E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explore underlying behavioural mechanisms such as trust or financial capability.</w:t>
            </w:r>
          </w:p>
        </w:tc>
      </w:tr>
      <w:tr w:rsidR="006F6B27" w:rsidRPr="006F6B27" w14:paraId="580C9B1D" w14:textId="77777777" w:rsidTr="00D4200E">
        <w:trPr>
          <w:trHeight w:val="960"/>
        </w:trPr>
        <w:tc>
          <w:tcPr>
            <w:tcW w:w="388" w:type="dxa"/>
            <w:shd w:val="clear" w:color="000000" w:fill="FFFFFF"/>
            <w:vAlign w:val="center"/>
            <w:hideMark/>
          </w:tcPr>
          <w:p w14:paraId="70518C2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20</w:t>
            </w:r>
          </w:p>
        </w:tc>
        <w:tc>
          <w:tcPr>
            <w:tcW w:w="1592" w:type="dxa"/>
            <w:shd w:val="clear" w:color="000000" w:fill="FFFFFF"/>
            <w:vAlign w:val="center"/>
            <w:hideMark/>
          </w:tcPr>
          <w:p w14:paraId="0379B6A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Datta, R.K. (2024) </w:t>
            </w:r>
          </w:p>
        </w:tc>
        <w:tc>
          <w:tcPr>
            <w:tcW w:w="1134" w:type="dxa"/>
            <w:shd w:val="clear" w:color="000000" w:fill="FFFFFF"/>
            <w:vAlign w:val="center"/>
            <w:hideMark/>
          </w:tcPr>
          <w:p w14:paraId="6F61682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Descriptive policy analysis using secondary data</w:t>
            </w:r>
          </w:p>
        </w:tc>
        <w:tc>
          <w:tcPr>
            <w:tcW w:w="1276" w:type="dxa"/>
            <w:shd w:val="clear" w:color="000000" w:fill="FFFFFF"/>
            <w:vAlign w:val="center"/>
            <w:hideMark/>
          </w:tcPr>
          <w:p w14:paraId="06E59C8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Framework</w:t>
            </w:r>
          </w:p>
        </w:tc>
        <w:tc>
          <w:tcPr>
            <w:tcW w:w="2551" w:type="dxa"/>
            <w:shd w:val="clear" w:color="000000" w:fill="FFFFFF"/>
            <w:vAlign w:val="center"/>
            <w:hideMark/>
          </w:tcPr>
          <w:p w14:paraId="31B394C8" w14:textId="36B637A1"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Reviews Bangladesh's fintech ecosystem, highlighting progress in digital finance </w:t>
            </w:r>
            <w:r w:rsidR="002F578A">
              <w:rPr>
                <w:rFonts w:ascii="Book Antiqua" w:eastAsia="Times New Roman" w:hAnsi="Book Antiqua" w:cs="Times New Roman"/>
                <w:color w:val="000000"/>
                <w:kern w:val="0"/>
                <w:sz w:val="14"/>
                <w:szCs w:val="14"/>
                <w:lang w:eastAsia="en-GB"/>
                <w14:ligatures w14:val="none"/>
              </w:rPr>
              <w:t>with</w:t>
            </w:r>
            <w:r w:rsidRPr="006F6B27">
              <w:rPr>
                <w:rFonts w:ascii="Book Antiqua" w:eastAsia="Times New Roman" w:hAnsi="Book Antiqua" w:cs="Times New Roman"/>
                <w:color w:val="000000"/>
                <w:kern w:val="0"/>
                <w:sz w:val="14"/>
                <w:szCs w:val="14"/>
                <w:lang w:eastAsia="en-GB"/>
                <w14:ligatures w14:val="none"/>
              </w:rPr>
              <w:t xml:space="preserve"> persistent urban–rural </w:t>
            </w:r>
            <w:r w:rsidR="00D215AF" w:rsidRPr="006F6B27">
              <w:rPr>
                <w:rFonts w:ascii="Book Antiqua" w:eastAsia="Times New Roman" w:hAnsi="Book Antiqua" w:cs="Times New Roman"/>
                <w:color w:val="000000"/>
                <w:kern w:val="0"/>
                <w:sz w:val="14"/>
                <w:szCs w:val="14"/>
                <w:lang w:eastAsia="en-GB"/>
                <w14:ligatures w14:val="none"/>
              </w:rPr>
              <w:t>gaps</w:t>
            </w:r>
            <w:r w:rsidRPr="006F6B27">
              <w:rPr>
                <w:rFonts w:ascii="Book Antiqua" w:eastAsia="Times New Roman" w:hAnsi="Book Antiqua" w:cs="Times New Roman"/>
                <w:color w:val="000000"/>
                <w:kern w:val="0"/>
                <w:sz w:val="14"/>
                <w:szCs w:val="14"/>
                <w:lang w:eastAsia="en-GB"/>
                <w14:ligatures w14:val="none"/>
              </w:rPr>
              <w:t xml:space="preserve"> and policy challenges.</w:t>
            </w:r>
          </w:p>
        </w:tc>
        <w:tc>
          <w:tcPr>
            <w:tcW w:w="2268" w:type="dxa"/>
            <w:shd w:val="clear" w:color="000000" w:fill="FFFFFF"/>
            <w:vAlign w:val="center"/>
            <w:hideMark/>
          </w:tcPr>
          <w:p w14:paraId="515F820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rather than empirical; does not test adoption behaviour or women-specific outcomes.</w:t>
            </w:r>
          </w:p>
        </w:tc>
      </w:tr>
      <w:tr w:rsidR="006F6B27" w:rsidRPr="006F6B27" w14:paraId="5D672EA3" w14:textId="77777777" w:rsidTr="00D4200E">
        <w:trPr>
          <w:trHeight w:val="167"/>
        </w:trPr>
        <w:tc>
          <w:tcPr>
            <w:tcW w:w="388" w:type="dxa"/>
            <w:shd w:val="clear" w:color="000000" w:fill="FFFFFF"/>
            <w:vAlign w:val="center"/>
            <w:hideMark/>
          </w:tcPr>
          <w:p w14:paraId="76A78D6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21</w:t>
            </w:r>
          </w:p>
        </w:tc>
        <w:tc>
          <w:tcPr>
            <w:tcW w:w="1592" w:type="dxa"/>
            <w:shd w:val="clear" w:color="000000" w:fill="FFFFFF"/>
            <w:vAlign w:val="center"/>
            <w:hideMark/>
          </w:tcPr>
          <w:p w14:paraId="14E9DCB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Davis (1989)</w:t>
            </w:r>
          </w:p>
        </w:tc>
        <w:tc>
          <w:tcPr>
            <w:tcW w:w="1134" w:type="dxa"/>
            <w:shd w:val="clear" w:color="000000" w:fill="FFFFFF"/>
            <w:vAlign w:val="center"/>
            <w:hideMark/>
          </w:tcPr>
          <w:p w14:paraId="6AC599B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Survey, Regression</w:t>
            </w:r>
          </w:p>
        </w:tc>
        <w:tc>
          <w:tcPr>
            <w:tcW w:w="1276" w:type="dxa"/>
            <w:shd w:val="clear" w:color="000000" w:fill="FFFFFF"/>
            <w:vAlign w:val="center"/>
            <w:hideMark/>
          </w:tcPr>
          <w:p w14:paraId="39A712F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Technology Acceptance Model (TAM) </w:t>
            </w:r>
          </w:p>
        </w:tc>
        <w:tc>
          <w:tcPr>
            <w:tcW w:w="2551" w:type="dxa"/>
            <w:shd w:val="clear" w:color="000000" w:fill="FFFFFF"/>
            <w:vAlign w:val="center"/>
            <w:hideMark/>
          </w:tcPr>
          <w:p w14:paraId="59906A8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Perceived usefulness and ease of use influence technology acceptance.</w:t>
            </w:r>
          </w:p>
        </w:tc>
        <w:tc>
          <w:tcPr>
            <w:tcW w:w="2268" w:type="dxa"/>
            <w:shd w:val="clear" w:color="000000" w:fill="FFFFFF"/>
            <w:vAlign w:val="center"/>
            <w:hideMark/>
          </w:tcPr>
          <w:p w14:paraId="14535EC4" w14:textId="78840389"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Ignores social, institutional and cultural factors central to fintech adoption in developing </w:t>
            </w:r>
            <w:r w:rsidR="00F414FB" w:rsidRPr="006F6B27">
              <w:rPr>
                <w:rFonts w:ascii="Book Antiqua" w:eastAsia="Times New Roman" w:hAnsi="Book Antiqua" w:cs="Times New Roman"/>
                <w:color w:val="000000"/>
                <w:kern w:val="0"/>
                <w:sz w:val="14"/>
                <w:szCs w:val="14"/>
                <w:lang w:eastAsia="en-GB"/>
                <w14:ligatures w14:val="none"/>
              </w:rPr>
              <w:t>nations</w:t>
            </w:r>
            <w:r w:rsidRPr="006F6B27">
              <w:rPr>
                <w:rFonts w:ascii="Book Antiqua" w:eastAsia="Times New Roman" w:hAnsi="Book Antiqua" w:cs="Times New Roman"/>
                <w:color w:val="000000"/>
                <w:kern w:val="0"/>
                <w:sz w:val="14"/>
                <w:szCs w:val="14"/>
                <w:lang w:eastAsia="en-GB"/>
                <w14:ligatures w14:val="none"/>
              </w:rPr>
              <w:t>.</w:t>
            </w:r>
          </w:p>
        </w:tc>
      </w:tr>
      <w:tr w:rsidR="006F6B27" w:rsidRPr="006F6B27" w14:paraId="36F76BE0" w14:textId="77777777" w:rsidTr="00D4200E">
        <w:trPr>
          <w:trHeight w:val="960"/>
        </w:trPr>
        <w:tc>
          <w:tcPr>
            <w:tcW w:w="388" w:type="dxa"/>
            <w:shd w:val="clear" w:color="000000" w:fill="FFFFFF"/>
            <w:vAlign w:val="center"/>
            <w:hideMark/>
          </w:tcPr>
          <w:p w14:paraId="5A750E3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22</w:t>
            </w:r>
          </w:p>
        </w:tc>
        <w:tc>
          <w:tcPr>
            <w:tcW w:w="1592" w:type="dxa"/>
            <w:shd w:val="clear" w:color="000000" w:fill="FFFFFF"/>
            <w:vAlign w:val="center"/>
            <w:hideMark/>
          </w:tcPr>
          <w:p w14:paraId="57AF162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Demirgüç-Kunt, A., Klapper, L., Singer, D., Ansar, S. and Hess, J. (2018</w:t>
            </w:r>
          </w:p>
        </w:tc>
        <w:tc>
          <w:tcPr>
            <w:tcW w:w="1134" w:type="dxa"/>
            <w:shd w:val="clear" w:color="000000" w:fill="FFFFFF"/>
            <w:vAlign w:val="center"/>
            <w:hideMark/>
          </w:tcPr>
          <w:p w14:paraId="72F14BD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Global database/Cross-country statistics</w:t>
            </w:r>
          </w:p>
        </w:tc>
        <w:tc>
          <w:tcPr>
            <w:tcW w:w="1276" w:type="dxa"/>
            <w:shd w:val="clear" w:color="000000" w:fill="FFFFFF"/>
            <w:vAlign w:val="center"/>
            <w:hideMark/>
          </w:tcPr>
          <w:p w14:paraId="2DF6DB4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Global Findex framework</w:t>
            </w:r>
          </w:p>
        </w:tc>
        <w:tc>
          <w:tcPr>
            <w:tcW w:w="2551" w:type="dxa"/>
            <w:shd w:val="clear" w:color="000000" w:fill="FFFFFF"/>
            <w:vAlign w:val="center"/>
            <w:hideMark/>
          </w:tcPr>
          <w:p w14:paraId="724830B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Identifies a persistent global and South Asian gender gap in account ownership, with female ownership severely depressed in Pakistan and Bangladesh.</w:t>
            </w:r>
          </w:p>
        </w:tc>
        <w:tc>
          <w:tcPr>
            <w:tcW w:w="2268" w:type="dxa"/>
            <w:shd w:val="clear" w:color="000000" w:fill="FFFFFF"/>
            <w:vAlign w:val="center"/>
            <w:hideMark/>
          </w:tcPr>
          <w:p w14:paraId="56813C6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Provides high-level macro statistics without qualitative insights into the socio-cultural dynamics driving the gap.</w:t>
            </w:r>
          </w:p>
        </w:tc>
      </w:tr>
      <w:tr w:rsidR="006F6B27" w:rsidRPr="006F6B27" w14:paraId="2FD38ED2" w14:textId="77777777" w:rsidTr="00D4200E">
        <w:trPr>
          <w:trHeight w:val="770"/>
        </w:trPr>
        <w:tc>
          <w:tcPr>
            <w:tcW w:w="388" w:type="dxa"/>
            <w:shd w:val="clear" w:color="000000" w:fill="FFFFFF"/>
            <w:vAlign w:val="center"/>
            <w:hideMark/>
          </w:tcPr>
          <w:p w14:paraId="4CF2412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23</w:t>
            </w:r>
          </w:p>
        </w:tc>
        <w:tc>
          <w:tcPr>
            <w:tcW w:w="1592" w:type="dxa"/>
            <w:shd w:val="clear" w:color="000000" w:fill="FFFFFF"/>
            <w:vAlign w:val="center"/>
            <w:hideMark/>
          </w:tcPr>
          <w:p w14:paraId="04BA214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Demirgüç-Kunt, A., Klapper, L., Singer, D. and Ansar, S., 2022. </w:t>
            </w:r>
          </w:p>
        </w:tc>
        <w:tc>
          <w:tcPr>
            <w:tcW w:w="1134" w:type="dxa"/>
            <w:shd w:val="clear" w:color="000000" w:fill="FFFFFF"/>
            <w:vAlign w:val="center"/>
            <w:hideMark/>
          </w:tcPr>
          <w:p w14:paraId="739C604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Global survey (~128,000 adults in 123 economies)</w:t>
            </w:r>
          </w:p>
        </w:tc>
        <w:tc>
          <w:tcPr>
            <w:tcW w:w="1276" w:type="dxa"/>
            <w:shd w:val="clear" w:color="000000" w:fill="FFFFFF"/>
            <w:vAlign w:val="center"/>
            <w:hideMark/>
          </w:tcPr>
          <w:p w14:paraId="5126BE2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Framework</w:t>
            </w:r>
          </w:p>
        </w:tc>
        <w:tc>
          <w:tcPr>
            <w:tcW w:w="2551" w:type="dxa"/>
            <w:shd w:val="clear" w:color="000000" w:fill="FFFFFF"/>
            <w:vAlign w:val="center"/>
            <w:hideMark/>
          </w:tcPr>
          <w:p w14:paraId="56593B0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Provides benchmark indicators for digital payments, account ownership and financial inclusion worldwide.</w:t>
            </w:r>
          </w:p>
        </w:tc>
        <w:tc>
          <w:tcPr>
            <w:tcW w:w="2268" w:type="dxa"/>
            <w:shd w:val="clear" w:color="000000" w:fill="FFFFFF"/>
            <w:vAlign w:val="center"/>
            <w:hideMark/>
          </w:tcPr>
          <w:p w14:paraId="383A4E1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Descriptive evidence only; causal pathways and behavioural explanations remain unexplored.</w:t>
            </w:r>
          </w:p>
        </w:tc>
      </w:tr>
      <w:tr w:rsidR="006F6B27" w:rsidRPr="006F6B27" w14:paraId="54A414AB" w14:textId="77777777" w:rsidTr="002F578A">
        <w:trPr>
          <w:trHeight w:val="460"/>
        </w:trPr>
        <w:tc>
          <w:tcPr>
            <w:tcW w:w="388" w:type="dxa"/>
            <w:shd w:val="clear" w:color="000000" w:fill="FFFFFF"/>
            <w:vAlign w:val="center"/>
            <w:hideMark/>
          </w:tcPr>
          <w:p w14:paraId="621AD16C"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24</w:t>
            </w:r>
          </w:p>
        </w:tc>
        <w:tc>
          <w:tcPr>
            <w:tcW w:w="1592" w:type="dxa"/>
            <w:shd w:val="clear" w:color="000000" w:fill="FFFFFF"/>
            <w:vAlign w:val="center"/>
            <w:hideMark/>
          </w:tcPr>
          <w:p w14:paraId="39E112D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Dey &amp; Majumder (2024)</w:t>
            </w:r>
          </w:p>
        </w:tc>
        <w:tc>
          <w:tcPr>
            <w:tcW w:w="1134" w:type="dxa"/>
            <w:shd w:val="clear" w:color="000000" w:fill="FFFFFF"/>
            <w:vAlign w:val="center"/>
            <w:hideMark/>
          </w:tcPr>
          <w:p w14:paraId="0A9CD6EB" w14:textId="498EDDB4" w:rsidR="006F6B27" w:rsidRPr="006F6B27" w:rsidRDefault="002F578A"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S</w:t>
            </w:r>
            <w:r w:rsidR="006F6B27" w:rsidRPr="006F6B27">
              <w:rPr>
                <w:rFonts w:ascii="Book Antiqua" w:eastAsia="Times New Roman" w:hAnsi="Book Antiqua" w:cs="Times New Roman"/>
                <w:color w:val="000000"/>
                <w:kern w:val="0"/>
                <w:sz w:val="14"/>
                <w:szCs w:val="14"/>
                <w:lang w:eastAsia="en-GB"/>
                <w14:ligatures w14:val="none"/>
              </w:rPr>
              <w:t>urvey; PLS-SEM (Bangladesh)</w:t>
            </w:r>
          </w:p>
        </w:tc>
        <w:tc>
          <w:tcPr>
            <w:tcW w:w="1276" w:type="dxa"/>
            <w:shd w:val="clear" w:color="000000" w:fill="FFFFFF"/>
            <w:vAlign w:val="center"/>
            <w:hideMark/>
          </w:tcPr>
          <w:p w14:paraId="3DED9EC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UTAUT</w:t>
            </w:r>
          </w:p>
        </w:tc>
        <w:tc>
          <w:tcPr>
            <w:tcW w:w="2551" w:type="dxa"/>
            <w:shd w:val="clear" w:color="000000" w:fill="FFFFFF"/>
            <w:vAlign w:val="center"/>
            <w:hideMark/>
          </w:tcPr>
          <w:p w14:paraId="5FF22FD5" w14:textId="08DC19EA"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Social influence, trust and digital literacy affect mobile banking adoption by women in Bangladesh.</w:t>
            </w:r>
          </w:p>
        </w:tc>
        <w:tc>
          <w:tcPr>
            <w:tcW w:w="2268" w:type="dxa"/>
            <w:shd w:val="clear" w:color="000000" w:fill="FFFFFF"/>
            <w:vAlign w:val="center"/>
            <w:hideMark/>
          </w:tcPr>
          <w:p w14:paraId="6921E6E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to Bangladesh; lacks cross-country comparison.</w:t>
            </w:r>
          </w:p>
        </w:tc>
      </w:tr>
      <w:tr w:rsidR="006F6B27" w:rsidRPr="006F6B27" w14:paraId="355AF005" w14:textId="77777777" w:rsidTr="00D4200E">
        <w:trPr>
          <w:trHeight w:val="960"/>
        </w:trPr>
        <w:tc>
          <w:tcPr>
            <w:tcW w:w="388" w:type="dxa"/>
            <w:shd w:val="clear" w:color="000000" w:fill="FFFFFF"/>
            <w:vAlign w:val="center"/>
            <w:hideMark/>
          </w:tcPr>
          <w:p w14:paraId="35B9BB6A"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25</w:t>
            </w:r>
          </w:p>
        </w:tc>
        <w:tc>
          <w:tcPr>
            <w:tcW w:w="1592" w:type="dxa"/>
            <w:shd w:val="clear" w:color="000000" w:fill="FFFFFF"/>
            <w:vAlign w:val="center"/>
            <w:hideMark/>
          </w:tcPr>
          <w:p w14:paraId="31579C7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Dorfleitner, G. and Nguyen, Q.A. (2022)</w:t>
            </w:r>
          </w:p>
        </w:tc>
        <w:tc>
          <w:tcPr>
            <w:tcW w:w="1134" w:type="dxa"/>
            <w:shd w:val="clear" w:color="000000" w:fill="FFFFFF"/>
            <w:vAlign w:val="center"/>
            <w:hideMark/>
          </w:tcPr>
          <w:p w14:paraId="091940BE" w14:textId="5F3DDCAF"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Cross-sectional survey; SEM </w:t>
            </w:r>
            <w:r w:rsidR="002F578A">
              <w:rPr>
                <w:rFonts w:ascii="Book Antiqua" w:eastAsia="Times New Roman" w:hAnsi="Book Antiqua" w:cs="Times New Roman"/>
                <w:color w:val="000000"/>
                <w:kern w:val="0"/>
                <w:sz w:val="14"/>
                <w:szCs w:val="14"/>
                <w:lang w:eastAsia="en-GB"/>
                <w14:ligatures w14:val="none"/>
              </w:rPr>
              <w:t>(</w:t>
            </w:r>
            <w:r w:rsidRPr="006F6B27">
              <w:rPr>
                <w:rFonts w:ascii="Book Antiqua" w:eastAsia="Times New Roman" w:hAnsi="Book Antiqua" w:cs="Times New Roman"/>
                <w:color w:val="000000"/>
                <w:kern w:val="0"/>
                <w:sz w:val="14"/>
                <w:szCs w:val="14"/>
                <w:lang w:eastAsia="en-GB"/>
                <w14:ligatures w14:val="none"/>
              </w:rPr>
              <w:t>7 countries in SA &amp; SSA</w:t>
            </w:r>
            <w:r w:rsidR="002F578A">
              <w:rPr>
                <w:rFonts w:ascii="Book Antiqua" w:eastAsia="Times New Roman" w:hAnsi="Book Antiqua" w:cs="Times New Roman"/>
                <w:color w:val="000000"/>
                <w:kern w:val="0"/>
                <w:sz w:val="14"/>
                <w:szCs w:val="14"/>
                <w:lang w:eastAsia="en-GB"/>
                <w14:ligatures w14:val="none"/>
              </w:rPr>
              <w:t>)</w:t>
            </w:r>
          </w:p>
        </w:tc>
        <w:tc>
          <w:tcPr>
            <w:tcW w:w="1276" w:type="dxa"/>
            <w:shd w:val="clear" w:color="000000" w:fill="FFFFFF"/>
            <w:vAlign w:val="center"/>
            <w:hideMark/>
          </w:tcPr>
          <w:p w14:paraId="28D57A8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Empowerment; Financial Capability</w:t>
            </w:r>
          </w:p>
        </w:tc>
        <w:tc>
          <w:tcPr>
            <w:tcW w:w="2551" w:type="dxa"/>
            <w:shd w:val="clear" w:color="000000" w:fill="FFFFFF"/>
            <w:vAlign w:val="center"/>
            <w:hideMark/>
          </w:tcPr>
          <w:p w14:paraId="20C9C3F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money significantly improves women's economic empowerment, with financial management practices partially mediating the relationship.</w:t>
            </w:r>
          </w:p>
        </w:tc>
        <w:tc>
          <w:tcPr>
            <w:tcW w:w="2268" w:type="dxa"/>
            <w:shd w:val="clear" w:color="000000" w:fill="FFFFFF"/>
            <w:vAlign w:val="center"/>
            <w:hideMark/>
          </w:tcPr>
          <w:p w14:paraId="777096E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Cross-sectional design limits causal inference; longitudinal studies and country-specific comparisons are needed.</w:t>
            </w:r>
          </w:p>
        </w:tc>
      </w:tr>
      <w:tr w:rsidR="006F6B27" w:rsidRPr="006F6B27" w14:paraId="4902BE61" w14:textId="77777777" w:rsidTr="006A0184">
        <w:trPr>
          <w:trHeight w:val="794"/>
        </w:trPr>
        <w:tc>
          <w:tcPr>
            <w:tcW w:w="388" w:type="dxa"/>
            <w:shd w:val="clear" w:color="000000" w:fill="FFFFFF"/>
            <w:vAlign w:val="center"/>
            <w:hideMark/>
          </w:tcPr>
          <w:p w14:paraId="7CB6B54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26</w:t>
            </w:r>
          </w:p>
        </w:tc>
        <w:tc>
          <w:tcPr>
            <w:tcW w:w="1592" w:type="dxa"/>
            <w:shd w:val="clear" w:color="000000" w:fill="FFFFFF"/>
            <w:vAlign w:val="center"/>
            <w:hideMark/>
          </w:tcPr>
          <w:p w14:paraId="085526E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Dorfleitner, G. and Nguyen, Q.A. (2024) </w:t>
            </w:r>
          </w:p>
        </w:tc>
        <w:tc>
          <w:tcPr>
            <w:tcW w:w="1134" w:type="dxa"/>
            <w:shd w:val="clear" w:color="000000" w:fill="FFFFFF"/>
            <w:vAlign w:val="center"/>
            <w:hideMark/>
          </w:tcPr>
          <w:p w14:paraId="45C167AB" w14:textId="12F9E983"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Cross-sectional survey (</w:t>
            </w:r>
            <w:r w:rsidR="00F414FB">
              <w:rPr>
                <w:rFonts w:ascii="Book Antiqua" w:eastAsia="Times New Roman" w:hAnsi="Book Antiqua" w:cs="Times New Roman"/>
                <w:color w:val="000000"/>
                <w:kern w:val="0"/>
                <w:sz w:val="14"/>
                <w:szCs w:val="14"/>
                <w:lang w:eastAsia="en-GB"/>
                <w14:ligatures w14:val="none"/>
              </w:rPr>
              <w:t>SA</w:t>
            </w:r>
            <w:r w:rsidR="00EB0020">
              <w:rPr>
                <w:rFonts w:ascii="Book Antiqua" w:eastAsia="Times New Roman" w:hAnsi="Book Antiqua" w:cs="Times New Roman"/>
                <w:color w:val="000000"/>
                <w:kern w:val="0"/>
                <w:sz w:val="14"/>
                <w:szCs w:val="14"/>
                <w:lang w:eastAsia="en-GB"/>
                <w14:ligatures w14:val="none"/>
              </w:rPr>
              <w:t xml:space="preserve"> &amp; SSA</w:t>
            </w:r>
            <w:r w:rsidRPr="006F6B27">
              <w:rPr>
                <w:rFonts w:ascii="Book Antiqua" w:eastAsia="Times New Roman" w:hAnsi="Book Antiqua" w:cs="Times New Roman"/>
                <w:color w:val="000000"/>
                <w:kern w:val="0"/>
                <w:sz w:val="14"/>
                <w:szCs w:val="14"/>
                <w:lang w:eastAsia="en-GB"/>
                <w14:ligatures w14:val="none"/>
              </w:rPr>
              <w:t>)</w:t>
            </w:r>
          </w:p>
        </w:tc>
        <w:tc>
          <w:tcPr>
            <w:tcW w:w="1276" w:type="dxa"/>
            <w:shd w:val="clear" w:color="000000" w:fill="FFFFFF"/>
            <w:vAlign w:val="center"/>
            <w:hideMark/>
          </w:tcPr>
          <w:p w14:paraId="27B2F47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Empowerment; Financial Capability</w:t>
            </w:r>
          </w:p>
        </w:tc>
        <w:tc>
          <w:tcPr>
            <w:tcW w:w="2551" w:type="dxa"/>
            <w:shd w:val="clear" w:color="000000" w:fill="FFFFFF"/>
            <w:vAlign w:val="center"/>
            <w:hideMark/>
          </w:tcPr>
          <w:p w14:paraId="17598845" w14:textId="0C15FBE5"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Mobile money adoption improves women's economic empowerment, with financial </w:t>
            </w:r>
            <w:r w:rsidR="004E389A" w:rsidRPr="006F6B27">
              <w:rPr>
                <w:rFonts w:ascii="Book Antiqua" w:eastAsia="Times New Roman" w:hAnsi="Book Antiqua" w:cs="Times New Roman"/>
                <w:color w:val="000000"/>
                <w:kern w:val="0"/>
                <w:sz w:val="14"/>
                <w:szCs w:val="14"/>
                <w:lang w:eastAsia="en-GB"/>
                <w14:ligatures w14:val="none"/>
              </w:rPr>
              <w:t>controlling</w:t>
            </w:r>
            <w:r w:rsidRPr="006F6B27">
              <w:rPr>
                <w:rFonts w:ascii="Book Antiqua" w:eastAsia="Times New Roman" w:hAnsi="Book Antiqua" w:cs="Times New Roman"/>
                <w:color w:val="000000"/>
                <w:kern w:val="0"/>
                <w:sz w:val="14"/>
                <w:szCs w:val="14"/>
                <w:lang w:eastAsia="en-GB"/>
                <w14:ligatures w14:val="none"/>
              </w:rPr>
              <w:t xml:space="preserve"> behaviour acting as a partial mediator</w:t>
            </w:r>
            <w:r w:rsidR="00112E28">
              <w:rPr>
                <w:rFonts w:ascii="Book Antiqua" w:eastAsia="Times New Roman" w:hAnsi="Book Antiqua" w:cs="Times New Roman"/>
                <w:color w:val="000000"/>
                <w:kern w:val="0"/>
                <w:sz w:val="14"/>
                <w:szCs w:val="14"/>
                <w:lang w:eastAsia="en-GB"/>
                <w14:ligatures w14:val="none"/>
              </w:rPr>
              <w:t xml:space="preserve">; </w:t>
            </w:r>
            <w:r w:rsidRPr="006F6B27">
              <w:rPr>
                <w:rFonts w:ascii="Book Antiqua" w:eastAsia="Times New Roman" w:hAnsi="Book Antiqua" w:cs="Times New Roman"/>
                <w:color w:val="000000"/>
                <w:kern w:val="0"/>
                <w:sz w:val="14"/>
                <w:szCs w:val="14"/>
                <w:lang w:eastAsia="en-GB"/>
                <w14:ligatures w14:val="none"/>
              </w:rPr>
              <w:t>stronger</w:t>
            </w:r>
            <w:r w:rsidR="00112E28">
              <w:rPr>
                <w:rFonts w:ascii="Book Antiqua" w:eastAsia="Times New Roman" w:hAnsi="Book Antiqua" w:cs="Times New Roman"/>
                <w:color w:val="000000"/>
                <w:kern w:val="0"/>
                <w:sz w:val="14"/>
                <w:szCs w:val="14"/>
                <w:lang w:eastAsia="en-GB"/>
                <w14:ligatures w14:val="none"/>
              </w:rPr>
              <w:t xml:space="preserve"> effect</w:t>
            </w:r>
            <w:r w:rsidRPr="006F6B27">
              <w:rPr>
                <w:rFonts w:ascii="Book Antiqua" w:eastAsia="Times New Roman" w:hAnsi="Book Antiqua" w:cs="Times New Roman"/>
                <w:color w:val="000000"/>
                <w:kern w:val="0"/>
                <w:sz w:val="14"/>
                <w:szCs w:val="14"/>
                <w:lang w:eastAsia="en-GB"/>
                <w14:ligatures w14:val="none"/>
              </w:rPr>
              <w:t xml:space="preserve"> in rural areas.</w:t>
            </w:r>
          </w:p>
        </w:tc>
        <w:tc>
          <w:tcPr>
            <w:tcW w:w="2268" w:type="dxa"/>
            <w:shd w:val="clear" w:color="000000" w:fill="FFFFFF"/>
            <w:vAlign w:val="center"/>
            <w:hideMark/>
          </w:tcPr>
          <w:p w14:paraId="60CD8F63" w14:textId="63480688"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Longitudinal and country-specific comparative studies are needed</w:t>
            </w:r>
            <w:r w:rsidR="00DE17E2">
              <w:rPr>
                <w:rFonts w:ascii="Book Antiqua" w:eastAsia="Times New Roman" w:hAnsi="Book Antiqua" w:cs="Times New Roman"/>
                <w:color w:val="000000"/>
                <w:kern w:val="0"/>
                <w:sz w:val="14"/>
                <w:szCs w:val="14"/>
                <w:lang w:eastAsia="en-GB"/>
                <w14:ligatures w14:val="none"/>
              </w:rPr>
              <w:t xml:space="preserve"> </w:t>
            </w:r>
            <w:r w:rsidRPr="006F6B27">
              <w:rPr>
                <w:rFonts w:ascii="Book Antiqua" w:eastAsia="Times New Roman" w:hAnsi="Book Antiqua" w:cs="Times New Roman"/>
                <w:color w:val="000000"/>
                <w:kern w:val="0"/>
                <w:sz w:val="14"/>
                <w:szCs w:val="14"/>
                <w:lang w:eastAsia="en-GB"/>
                <w14:ligatures w14:val="none"/>
              </w:rPr>
              <w:t>to understand institutional and cultural differences.</w:t>
            </w:r>
          </w:p>
        </w:tc>
      </w:tr>
      <w:tr w:rsidR="006F6B27" w:rsidRPr="006F6B27" w14:paraId="72EDAE14" w14:textId="77777777" w:rsidTr="004E389A">
        <w:trPr>
          <w:trHeight w:val="626"/>
        </w:trPr>
        <w:tc>
          <w:tcPr>
            <w:tcW w:w="388" w:type="dxa"/>
            <w:shd w:val="clear" w:color="000000" w:fill="FFFFFF"/>
            <w:vAlign w:val="center"/>
            <w:hideMark/>
          </w:tcPr>
          <w:p w14:paraId="094E5AEB"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27</w:t>
            </w:r>
          </w:p>
        </w:tc>
        <w:tc>
          <w:tcPr>
            <w:tcW w:w="1592" w:type="dxa"/>
            <w:shd w:val="clear" w:color="000000" w:fill="FFFFFF"/>
            <w:vAlign w:val="center"/>
            <w:hideMark/>
          </w:tcPr>
          <w:p w14:paraId="1E02AE6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Ghosh &amp; Vinod (2017)</w:t>
            </w:r>
          </w:p>
        </w:tc>
        <w:tc>
          <w:tcPr>
            <w:tcW w:w="1134" w:type="dxa"/>
            <w:shd w:val="clear" w:color="000000" w:fill="FFFFFF"/>
            <w:vAlign w:val="center"/>
            <w:hideMark/>
          </w:tcPr>
          <w:p w14:paraId="67E8A43D" w14:textId="3D879AE6" w:rsidR="006F6B27" w:rsidRPr="006F6B27" w:rsidRDefault="00DE17E2"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H</w:t>
            </w:r>
            <w:r w:rsidR="006F6B27" w:rsidRPr="006F6B27">
              <w:rPr>
                <w:rFonts w:ascii="Book Antiqua" w:eastAsia="Times New Roman" w:hAnsi="Book Antiqua" w:cs="Times New Roman"/>
                <w:color w:val="000000"/>
                <w:kern w:val="0"/>
                <w:sz w:val="14"/>
                <w:szCs w:val="14"/>
                <w:lang w:eastAsia="en-GB"/>
                <w14:ligatures w14:val="none"/>
              </w:rPr>
              <w:t>ousehold</w:t>
            </w:r>
            <w:r w:rsidR="006A0184">
              <w:rPr>
                <w:rFonts w:ascii="Book Antiqua" w:eastAsia="Times New Roman" w:hAnsi="Book Antiqua" w:cs="Times New Roman"/>
                <w:color w:val="000000"/>
                <w:kern w:val="0"/>
                <w:sz w:val="14"/>
                <w:szCs w:val="14"/>
                <w:lang w:eastAsia="en-GB"/>
                <w14:ligatures w14:val="none"/>
              </w:rPr>
              <w:t xml:space="preserve">, </w:t>
            </w:r>
            <w:r w:rsidR="006F6B27" w:rsidRPr="006F6B27">
              <w:rPr>
                <w:rFonts w:ascii="Book Antiqua" w:eastAsia="Times New Roman" w:hAnsi="Book Antiqua" w:cs="Times New Roman"/>
                <w:color w:val="000000"/>
                <w:kern w:val="0"/>
                <w:sz w:val="14"/>
                <w:szCs w:val="14"/>
                <w:lang w:eastAsia="en-GB"/>
                <w14:ligatures w14:val="none"/>
              </w:rPr>
              <w:t>secondary micro</w:t>
            </w:r>
            <w:r w:rsidR="00D4200E">
              <w:rPr>
                <w:rFonts w:ascii="Book Antiqua" w:eastAsia="Times New Roman" w:hAnsi="Book Antiqua" w:cs="Times New Roman"/>
                <w:color w:val="000000"/>
                <w:kern w:val="0"/>
                <w:sz w:val="14"/>
                <w:szCs w:val="14"/>
                <w:lang w:eastAsia="en-GB"/>
                <w14:ligatures w14:val="none"/>
              </w:rPr>
              <w:t xml:space="preserve"> </w:t>
            </w:r>
            <w:r w:rsidR="006F6B27" w:rsidRPr="006F6B27">
              <w:rPr>
                <w:rFonts w:ascii="Book Antiqua" w:eastAsia="Times New Roman" w:hAnsi="Book Antiqua" w:cs="Times New Roman"/>
                <w:color w:val="000000"/>
                <w:kern w:val="0"/>
                <w:sz w:val="14"/>
                <w:szCs w:val="14"/>
                <w:lang w:eastAsia="en-GB"/>
                <w14:ligatures w14:val="none"/>
              </w:rPr>
              <w:t>data (India)</w:t>
            </w:r>
          </w:p>
        </w:tc>
        <w:tc>
          <w:tcPr>
            <w:tcW w:w="1276" w:type="dxa"/>
            <w:shd w:val="clear" w:color="000000" w:fill="FFFFFF"/>
            <w:vAlign w:val="center"/>
            <w:hideMark/>
          </w:tcPr>
          <w:p w14:paraId="62F1B2A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Intra-household bargaining/discrimination framework</w:t>
            </w:r>
          </w:p>
        </w:tc>
        <w:tc>
          <w:tcPr>
            <w:tcW w:w="2551" w:type="dxa"/>
            <w:shd w:val="clear" w:color="000000" w:fill="FFFFFF"/>
            <w:vAlign w:val="center"/>
            <w:hideMark/>
          </w:tcPr>
          <w:p w14:paraId="6D60234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Reports a consistent gender gap in account ownership and usage in India, persisting even after controlling for income and education.</w:t>
            </w:r>
          </w:p>
        </w:tc>
        <w:tc>
          <w:tcPr>
            <w:tcW w:w="2268" w:type="dxa"/>
            <w:shd w:val="clear" w:color="000000" w:fill="FFFFFF"/>
            <w:vAlign w:val="center"/>
            <w:hideMark/>
          </w:tcPr>
          <w:p w14:paraId="1C36873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account for the specific tech platform design elements that drive trust.</w:t>
            </w:r>
          </w:p>
        </w:tc>
      </w:tr>
      <w:tr w:rsidR="006F6B27" w:rsidRPr="006F6B27" w14:paraId="7DD1706F" w14:textId="77777777" w:rsidTr="00D4200E">
        <w:trPr>
          <w:trHeight w:val="582"/>
        </w:trPr>
        <w:tc>
          <w:tcPr>
            <w:tcW w:w="388" w:type="dxa"/>
            <w:shd w:val="clear" w:color="000000" w:fill="FFFFFF"/>
            <w:vAlign w:val="center"/>
            <w:hideMark/>
          </w:tcPr>
          <w:p w14:paraId="233C2D7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28</w:t>
            </w:r>
          </w:p>
        </w:tc>
        <w:tc>
          <w:tcPr>
            <w:tcW w:w="1592" w:type="dxa"/>
            <w:shd w:val="clear" w:color="000000" w:fill="FFFFFF"/>
            <w:vAlign w:val="center"/>
            <w:hideMark/>
          </w:tcPr>
          <w:p w14:paraId="56A87C1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Gill, P. and Chand, S. (2025) </w:t>
            </w:r>
          </w:p>
        </w:tc>
        <w:tc>
          <w:tcPr>
            <w:tcW w:w="1134" w:type="dxa"/>
            <w:shd w:val="clear" w:color="000000" w:fill="FFFFFF"/>
            <w:vAlign w:val="center"/>
            <w:hideMark/>
          </w:tcPr>
          <w:p w14:paraId="18ADDDC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Survey (300 employed women); PLS-SEM</w:t>
            </w:r>
          </w:p>
        </w:tc>
        <w:tc>
          <w:tcPr>
            <w:tcW w:w="1276" w:type="dxa"/>
            <w:shd w:val="clear" w:color="000000" w:fill="FFFFFF"/>
            <w:vAlign w:val="center"/>
            <w:hideMark/>
          </w:tcPr>
          <w:p w14:paraId="6122813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Capability; UTAUT</w:t>
            </w:r>
          </w:p>
        </w:tc>
        <w:tc>
          <w:tcPr>
            <w:tcW w:w="2551" w:type="dxa"/>
            <w:shd w:val="clear" w:color="000000" w:fill="FFFFFF"/>
            <w:vAlign w:val="center"/>
            <w:hideMark/>
          </w:tcPr>
          <w:p w14:paraId="03C53930" w14:textId="49E12346"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Government support, financial literacy and technological innovativeness improve fintech adoption and financial inclusion</w:t>
            </w:r>
            <w:r w:rsidR="00D4200E">
              <w:rPr>
                <w:rFonts w:ascii="Book Antiqua" w:eastAsia="Times New Roman" w:hAnsi="Book Antiqua" w:cs="Times New Roman"/>
                <w:color w:val="000000"/>
                <w:kern w:val="0"/>
                <w:sz w:val="14"/>
                <w:szCs w:val="14"/>
                <w:lang w:eastAsia="en-GB"/>
                <w14:ligatures w14:val="none"/>
              </w:rPr>
              <w:t>.</w:t>
            </w:r>
          </w:p>
        </w:tc>
        <w:tc>
          <w:tcPr>
            <w:tcW w:w="2268" w:type="dxa"/>
            <w:shd w:val="clear" w:color="000000" w:fill="FFFFFF"/>
            <w:vAlign w:val="center"/>
            <w:hideMark/>
          </w:tcPr>
          <w:p w14:paraId="402F9E1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Single-state study in India; broader cross-country validation is required.</w:t>
            </w:r>
          </w:p>
        </w:tc>
      </w:tr>
      <w:tr w:rsidR="006F6B27" w:rsidRPr="006F6B27" w14:paraId="6AEA883F" w14:textId="77777777" w:rsidTr="00D4200E">
        <w:trPr>
          <w:trHeight w:val="770"/>
        </w:trPr>
        <w:tc>
          <w:tcPr>
            <w:tcW w:w="388" w:type="dxa"/>
            <w:shd w:val="clear" w:color="000000" w:fill="FFFFFF"/>
            <w:vAlign w:val="center"/>
            <w:hideMark/>
          </w:tcPr>
          <w:p w14:paraId="66D3517A"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29</w:t>
            </w:r>
          </w:p>
        </w:tc>
        <w:tc>
          <w:tcPr>
            <w:tcW w:w="1592" w:type="dxa"/>
            <w:shd w:val="clear" w:color="000000" w:fill="FFFFFF"/>
            <w:vAlign w:val="center"/>
            <w:hideMark/>
          </w:tcPr>
          <w:p w14:paraId="53E9989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Goetz &amp; Gupta (1996)</w:t>
            </w:r>
          </w:p>
        </w:tc>
        <w:tc>
          <w:tcPr>
            <w:tcW w:w="1134" w:type="dxa"/>
            <w:shd w:val="clear" w:color="000000" w:fill="FFFFFF"/>
            <w:vAlign w:val="center"/>
            <w:hideMark/>
          </w:tcPr>
          <w:p w14:paraId="4390194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Qualitative / Empirical field study (Bangladesh)</w:t>
            </w:r>
          </w:p>
        </w:tc>
        <w:tc>
          <w:tcPr>
            <w:tcW w:w="1276" w:type="dxa"/>
            <w:shd w:val="clear" w:color="000000" w:fill="FFFFFF"/>
            <w:vAlign w:val="center"/>
            <w:hideMark/>
          </w:tcPr>
          <w:p w14:paraId="0A26574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 power, and loan use control framework</w:t>
            </w:r>
          </w:p>
        </w:tc>
        <w:tc>
          <w:tcPr>
            <w:tcW w:w="2551" w:type="dxa"/>
            <w:shd w:val="clear" w:color="000000" w:fill="FFFFFF"/>
            <w:vAlign w:val="center"/>
            <w:hideMark/>
          </w:tcPr>
          <w:p w14:paraId="7BEF88F2" w14:textId="260BBD57" w:rsidR="006F6B27" w:rsidRPr="006F6B27" w:rsidRDefault="00D4200E"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A</w:t>
            </w:r>
            <w:r w:rsidR="006F6B27" w:rsidRPr="006F6B27">
              <w:rPr>
                <w:rFonts w:ascii="Book Antiqua" w:eastAsia="Times New Roman" w:hAnsi="Book Antiqua" w:cs="Times New Roman"/>
                <w:color w:val="000000"/>
                <w:kern w:val="0"/>
                <w:sz w:val="14"/>
                <w:szCs w:val="14"/>
                <w:lang w:eastAsia="en-GB"/>
                <w14:ligatures w14:val="none"/>
              </w:rPr>
              <w:t xml:space="preserve"> significant proportion of micro-finance loans targeted at women were heavily hijacked and controlled by male relatives.</w:t>
            </w:r>
          </w:p>
        </w:tc>
        <w:tc>
          <w:tcPr>
            <w:tcW w:w="2268" w:type="dxa"/>
            <w:shd w:val="clear" w:color="000000" w:fill="FFFFFF"/>
            <w:vAlign w:val="center"/>
            <w:hideMark/>
          </w:tcPr>
          <w:p w14:paraId="2F65AEA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 traditional microcredit networks; before FinTech era.</w:t>
            </w:r>
          </w:p>
        </w:tc>
      </w:tr>
      <w:tr w:rsidR="006F6B27" w:rsidRPr="006F6B27" w14:paraId="097BFDA4" w14:textId="77777777" w:rsidTr="00D4200E">
        <w:trPr>
          <w:trHeight w:val="770"/>
        </w:trPr>
        <w:tc>
          <w:tcPr>
            <w:tcW w:w="388" w:type="dxa"/>
            <w:shd w:val="clear" w:color="000000" w:fill="FFFFFF"/>
            <w:vAlign w:val="center"/>
            <w:hideMark/>
          </w:tcPr>
          <w:p w14:paraId="4279C695"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30</w:t>
            </w:r>
          </w:p>
        </w:tc>
        <w:tc>
          <w:tcPr>
            <w:tcW w:w="1592" w:type="dxa"/>
            <w:shd w:val="clear" w:color="000000" w:fill="FFFFFF"/>
            <w:vAlign w:val="center"/>
            <w:hideMark/>
          </w:tcPr>
          <w:p w14:paraId="54C418F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Gomber, Koch &amp; Siering (2017)</w:t>
            </w:r>
          </w:p>
        </w:tc>
        <w:tc>
          <w:tcPr>
            <w:tcW w:w="1134" w:type="dxa"/>
            <w:shd w:val="clear" w:color="000000" w:fill="FFFFFF"/>
            <w:vAlign w:val="center"/>
            <w:hideMark/>
          </w:tcPr>
          <w:p w14:paraId="01FECFF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SLR and conceptual mapping</w:t>
            </w:r>
          </w:p>
        </w:tc>
        <w:tc>
          <w:tcPr>
            <w:tcW w:w="1276" w:type="dxa"/>
            <w:shd w:val="clear" w:color="000000" w:fill="FFFFFF"/>
            <w:vAlign w:val="center"/>
            <w:hideMark/>
          </w:tcPr>
          <w:p w14:paraId="277C0EF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Innovation Theory</w:t>
            </w:r>
          </w:p>
        </w:tc>
        <w:tc>
          <w:tcPr>
            <w:tcW w:w="2551" w:type="dxa"/>
            <w:shd w:val="clear" w:color="000000" w:fill="FFFFFF"/>
            <w:vAlign w:val="center"/>
            <w:hideMark/>
          </w:tcPr>
          <w:p w14:paraId="5D56FF5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Provides a comprehensive framework for digital finance research and identifies key technological developments.</w:t>
            </w:r>
          </w:p>
        </w:tc>
        <w:tc>
          <w:tcPr>
            <w:tcW w:w="2268" w:type="dxa"/>
            <w:shd w:val="clear" w:color="000000" w:fill="FFFFFF"/>
            <w:vAlign w:val="center"/>
            <w:hideMark/>
          </w:tcPr>
          <w:p w14:paraId="6D8E5C6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empirical evidence on adoption and financial inclusion among vulnerable populations.</w:t>
            </w:r>
          </w:p>
        </w:tc>
      </w:tr>
      <w:tr w:rsidR="006F6B27" w:rsidRPr="006F6B27" w14:paraId="3940ADB1" w14:textId="77777777" w:rsidTr="006A0184">
        <w:trPr>
          <w:trHeight w:val="1345"/>
        </w:trPr>
        <w:tc>
          <w:tcPr>
            <w:tcW w:w="388" w:type="dxa"/>
            <w:shd w:val="clear" w:color="000000" w:fill="FFFFFF"/>
            <w:vAlign w:val="center"/>
            <w:hideMark/>
          </w:tcPr>
          <w:p w14:paraId="74BE39CB"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31</w:t>
            </w:r>
          </w:p>
        </w:tc>
        <w:tc>
          <w:tcPr>
            <w:tcW w:w="1592" w:type="dxa"/>
            <w:shd w:val="clear" w:color="000000" w:fill="FFFFFF"/>
            <w:vAlign w:val="center"/>
            <w:hideMark/>
          </w:tcPr>
          <w:p w14:paraId="40BC09F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GSMA (2025)</w:t>
            </w:r>
          </w:p>
        </w:tc>
        <w:tc>
          <w:tcPr>
            <w:tcW w:w="1134" w:type="dxa"/>
            <w:shd w:val="clear" w:color="000000" w:fill="FFFFFF"/>
            <w:vAlign w:val="center"/>
            <w:hideMark/>
          </w:tcPr>
          <w:p w14:paraId="08D663A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Industry report based on secondary data analysis</w:t>
            </w:r>
          </w:p>
        </w:tc>
        <w:tc>
          <w:tcPr>
            <w:tcW w:w="1276" w:type="dxa"/>
            <w:shd w:val="clear" w:color="000000" w:fill="FFFFFF"/>
            <w:vAlign w:val="center"/>
            <w:hideMark/>
          </w:tcPr>
          <w:p w14:paraId="23B9D63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Inclusion Framework; Gender Digital Divide Framework</w:t>
            </w:r>
          </w:p>
        </w:tc>
        <w:tc>
          <w:tcPr>
            <w:tcW w:w="2551" w:type="dxa"/>
            <w:shd w:val="clear" w:color="000000" w:fill="FFFFFF"/>
            <w:vAlign w:val="center"/>
            <w:hideMark/>
          </w:tcPr>
          <w:p w14:paraId="2B5C8A1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The report finds that limited digital access constrains women's adoption of mobile financial services, reducing opportunities for financial inclusion and economic empowerment. The report highlights affordability, digital skills, safety concerns and restrictive social norms as the principal barriers.</w:t>
            </w:r>
          </w:p>
        </w:tc>
        <w:tc>
          <w:tcPr>
            <w:tcW w:w="2268" w:type="dxa"/>
            <w:shd w:val="clear" w:color="000000" w:fill="FFFFFF"/>
            <w:vAlign w:val="center"/>
            <w:hideMark/>
          </w:tcPr>
          <w:p w14:paraId="182AB3C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It does not empirically test causal relationships between digital inclusion and financial outcomes, nor does it examine behavioural determinants of fintech adoption among women.</w:t>
            </w:r>
          </w:p>
        </w:tc>
      </w:tr>
      <w:tr w:rsidR="006F6B27" w:rsidRPr="006F6B27" w14:paraId="6E74D33D" w14:textId="77777777" w:rsidTr="00D4200E">
        <w:trPr>
          <w:trHeight w:val="770"/>
        </w:trPr>
        <w:tc>
          <w:tcPr>
            <w:tcW w:w="388" w:type="dxa"/>
            <w:shd w:val="clear" w:color="000000" w:fill="FFFFFF"/>
            <w:vAlign w:val="center"/>
            <w:hideMark/>
          </w:tcPr>
          <w:p w14:paraId="01544090"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32</w:t>
            </w:r>
          </w:p>
        </w:tc>
        <w:tc>
          <w:tcPr>
            <w:tcW w:w="1592" w:type="dxa"/>
            <w:shd w:val="clear" w:color="000000" w:fill="FFFFFF"/>
            <w:vAlign w:val="center"/>
            <w:hideMark/>
          </w:tcPr>
          <w:p w14:paraId="183D7EF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Guérin, Kumar &amp; Agier (2013)</w:t>
            </w:r>
          </w:p>
        </w:tc>
        <w:tc>
          <w:tcPr>
            <w:tcW w:w="1134" w:type="dxa"/>
            <w:shd w:val="clear" w:color="000000" w:fill="FFFFFF"/>
            <w:vAlign w:val="center"/>
            <w:hideMark/>
          </w:tcPr>
          <w:p w14:paraId="0A3BF15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field research (India)</w:t>
            </w:r>
          </w:p>
        </w:tc>
        <w:tc>
          <w:tcPr>
            <w:tcW w:w="1276" w:type="dxa"/>
            <w:shd w:val="clear" w:color="000000" w:fill="FFFFFF"/>
            <w:vAlign w:val="center"/>
            <w:hideMark/>
          </w:tcPr>
          <w:p w14:paraId="38A588E1" w14:textId="427CC882" w:rsidR="006F6B27" w:rsidRPr="006F6B27" w:rsidRDefault="004C54CB"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E</w:t>
            </w:r>
            <w:r w:rsidR="006F6B27" w:rsidRPr="006F6B27">
              <w:rPr>
                <w:rFonts w:ascii="Book Antiqua" w:eastAsia="Times New Roman" w:hAnsi="Book Antiqua" w:cs="Times New Roman"/>
                <w:color w:val="000000"/>
                <w:kern w:val="0"/>
                <w:sz w:val="14"/>
                <w:szCs w:val="14"/>
                <w:lang w:eastAsia="en-GB"/>
                <w14:ligatures w14:val="none"/>
              </w:rPr>
              <w:t>mpowerment and power dynamics framework</w:t>
            </w:r>
          </w:p>
        </w:tc>
        <w:tc>
          <w:tcPr>
            <w:tcW w:w="2551" w:type="dxa"/>
            <w:shd w:val="clear" w:color="000000" w:fill="FFFFFF"/>
            <w:vAlign w:val="center"/>
            <w:hideMark/>
          </w:tcPr>
          <w:p w14:paraId="4180F6C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Demonstrates that microfinance can reinforce power over other women or fail to break structural patriarchy without deeper safety features.</w:t>
            </w:r>
          </w:p>
        </w:tc>
        <w:tc>
          <w:tcPr>
            <w:tcW w:w="2268" w:type="dxa"/>
            <w:shd w:val="clear" w:color="000000" w:fill="FFFFFF"/>
            <w:vAlign w:val="center"/>
            <w:hideMark/>
          </w:tcPr>
          <w:p w14:paraId="0B87A94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Analyses physical traditional microfinance operations rather than mobile money or FinTech.</w:t>
            </w:r>
          </w:p>
        </w:tc>
      </w:tr>
      <w:tr w:rsidR="006F6B27" w:rsidRPr="006F6B27" w14:paraId="0DC32B38" w14:textId="77777777" w:rsidTr="004C54CB">
        <w:trPr>
          <w:trHeight w:val="569"/>
        </w:trPr>
        <w:tc>
          <w:tcPr>
            <w:tcW w:w="388" w:type="dxa"/>
            <w:shd w:val="clear" w:color="000000" w:fill="FFFFFF"/>
            <w:vAlign w:val="center"/>
            <w:hideMark/>
          </w:tcPr>
          <w:p w14:paraId="12D8C6F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33</w:t>
            </w:r>
          </w:p>
        </w:tc>
        <w:tc>
          <w:tcPr>
            <w:tcW w:w="1592" w:type="dxa"/>
            <w:shd w:val="clear" w:color="000000" w:fill="FFFFFF"/>
            <w:vAlign w:val="center"/>
            <w:hideMark/>
          </w:tcPr>
          <w:p w14:paraId="2154E81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Ha, D., Le, P. and Nguyen, D.K., 2025</w:t>
            </w:r>
          </w:p>
        </w:tc>
        <w:tc>
          <w:tcPr>
            <w:tcW w:w="1134" w:type="dxa"/>
            <w:shd w:val="clear" w:color="000000" w:fill="FFFFFF"/>
            <w:vAlign w:val="center"/>
            <w:hideMark/>
          </w:tcPr>
          <w:p w14:paraId="51587A58" w14:textId="11640D44"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PRISMA-based </w:t>
            </w:r>
            <w:r w:rsidR="004C54CB">
              <w:rPr>
                <w:rFonts w:ascii="Book Antiqua" w:eastAsia="Times New Roman" w:hAnsi="Book Antiqua" w:cs="Times New Roman"/>
                <w:color w:val="000000"/>
                <w:kern w:val="0"/>
                <w:sz w:val="14"/>
                <w:szCs w:val="14"/>
                <w:lang w:eastAsia="en-GB"/>
                <w14:ligatures w14:val="none"/>
              </w:rPr>
              <w:t>SLR</w:t>
            </w:r>
            <w:r w:rsidRPr="006F6B27">
              <w:rPr>
                <w:rFonts w:ascii="Book Antiqua" w:eastAsia="Times New Roman" w:hAnsi="Book Antiqua" w:cs="Times New Roman"/>
                <w:color w:val="000000"/>
                <w:kern w:val="0"/>
                <w:sz w:val="14"/>
                <w:szCs w:val="14"/>
                <w:lang w:eastAsia="en-GB"/>
                <w14:ligatures w14:val="none"/>
              </w:rPr>
              <w:t xml:space="preserve"> (96 studies)</w:t>
            </w:r>
          </w:p>
        </w:tc>
        <w:tc>
          <w:tcPr>
            <w:tcW w:w="1276" w:type="dxa"/>
            <w:shd w:val="clear" w:color="000000" w:fill="FFFFFF"/>
            <w:vAlign w:val="center"/>
            <w:hideMark/>
          </w:tcPr>
          <w:p w14:paraId="4A5A607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Multi-theoretical synthesis</w:t>
            </w:r>
          </w:p>
        </w:tc>
        <w:tc>
          <w:tcPr>
            <w:tcW w:w="2551" w:type="dxa"/>
            <w:shd w:val="clear" w:color="000000" w:fill="FFFFFF"/>
            <w:vAlign w:val="center"/>
            <w:hideMark/>
          </w:tcPr>
          <w:p w14:paraId="08331DD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Identifies three dominant research clusters: fintech services, market transformation and ecosystem stakeholders.</w:t>
            </w:r>
          </w:p>
        </w:tc>
        <w:tc>
          <w:tcPr>
            <w:tcW w:w="2268" w:type="dxa"/>
            <w:shd w:val="clear" w:color="000000" w:fill="FFFFFF"/>
            <w:vAlign w:val="center"/>
            <w:hideMark/>
          </w:tcPr>
          <w:p w14:paraId="2C0D1AA0" w14:textId="38D99823"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Calls for more comparative studies across regions and vulnerable populations, esp</w:t>
            </w:r>
            <w:r w:rsidR="004C54CB">
              <w:rPr>
                <w:rFonts w:ascii="Book Antiqua" w:eastAsia="Times New Roman" w:hAnsi="Book Antiqua" w:cs="Times New Roman"/>
                <w:color w:val="000000"/>
                <w:kern w:val="0"/>
                <w:sz w:val="14"/>
                <w:szCs w:val="14"/>
                <w:lang w:eastAsia="en-GB"/>
                <w14:ligatures w14:val="none"/>
              </w:rPr>
              <w:t>.</w:t>
            </w:r>
            <w:r w:rsidRPr="006F6B27">
              <w:rPr>
                <w:rFonts w:ascii="Book Antiqua" w:eastAsia="Times New Roman" w:hAnsi="Book Antiqua" w:cs="Times New Roman"/>
                <w:color w:val="000000"/>
                <w:kern w:val="0"/>
                <w:sz w:val="14"/>
                <w:szCs w:val="14"/>
                <w:lang w:eastAsia="en-GB"/>
                <w14:ligatures w14:val="none"/>
              </w:rPr>
              <w:t xml:space="preserve"> women and rural communities.</w:t>
            </w:r>
          </w:p>
        </w:tc>
      </w:tr>
      <w:tr w:rsidR="006F6B27" w:rsidRPr="006F6B27" w14:paraId="1B2FFE1F" w14:textId="77777777" w:rsidTr="00D4200E">
        <w:trPr>
          <w:trHeight w:val="770"/>
        </w:trPr>
        <w:tc>
          <w:tcPr>
            <w:tcW w:w="388" w:type="dxa"/>
            <w:shd w:val="clear" w:color="000000" w:fill="FFFFFF"/>
            <w:vAlign w:val="center"/>
            <w:hideMark/>
          </w:tcPr>
          <w:p w14:paraId="135DB49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34</w:t>
            </w:r>
          </w:p>
        </w:tc>
        <w:tc>
          <w:tcPr>
            <w:tcW w:w="1592" w:type="dxa"/>
            <w:shd w:val="clear" w:color="000000" w:fill="FFFFFF"/>
            <w:vAlign w:val="center"/>
            <w:hideMark/>
          </w:tcPr>
          <w:p w14:paraId="0CE52BD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Howlader, S. and Halder, P. (2025)</w:t>
            </w:r>
          </w:p>
        </w:tc>
        <w:tc>
          <w:tcPr>
            <w:tcW w:w="1134" w:type="dxa"/>
            <w:shd w:val="clear" w:color="000000" w:fill="FFFFFF"/>
            <w:vAlign w:val="center"/>
            <w:hideMark/>
          </w:tcPr>
          <w:p w14:paraId="4ECFB90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Time-series econometric analysis (2004–2021)</w:t>
            </w:r>
          </w:p>
        </w:tc>
        <w:tc>
          <w:tcPr>
            <w:tcW w:w="1276" w:type="dxa"/>
            <w:shd w:val="clear" w:color="000000" w:fill="FFFFFF"/>
            <w:vAlign w:val="center"/>
            <w:hideMark/>
          </w:tcPr>
          <w:p w14:paraId="11FA779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Theory</w:t>
            </w:r>
          </w:p>
        </w:tc>
        <w:tc>
          <w:tcPr>
            <w:tcW w:w="2551" w:type="dxa"/>
            <w:shd w:val="clear" w:color="000000" w:fill="FFFFFF"/>
            <w:vAlign w:val="center"/>
            <w:hideMark/>
          </w:tcPr>
          <w:p w14:paraId="50CBD11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financial services have significantly expanded financial inclusion in Bangladesh, particularly among underserved populations.</w:t>
            </w:r>
          </w:p>
        </w:tc>
        <w:tc>
          <w:tcPr>
            <w:tcW w:w="2268" w:type="dxa"/>
            <w:shd w:val="clear" w:color="000000" w:fill="FFFFFF"/>
            <w:vAlign w:val="center"/>
            <w:hideMark/>
          </w:tcPr>
          <w:p w14:paraId="3620963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isolate gender-specific outcomes or behavioural adoption factors.</w:t>
            </w:r>
          </w:p>
        </w:tc>
      </w:tr>
      <w:tr w:rsidR="006F6B27" w:rsidRPr="006F6B27" w14:paraId="744F8A97" w14:textId="77777777" w:rsidTr="00D4200E">
        <w:trPr>
          <w:trHeight w:val="770"/>
        </w:trPr>
        <w:tc>
          <w:tcPr>
            <w:tcW w:w="388" w:type="dxa"/>
            <w:shd w:val="clear" w:color="000000" w:fill="FFFFFF"/>
            <w:vAlign w:val="center"/>
            <w:hideMark/>
          </w:tcPr>
          <w:p w14:paraId="1B34B6F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lastRenderedPageBreak/>
              <w:t>35</w:t>
            </w:r>
          </w:p>
        </w:tc>
        <w:tc>
          <w:tcPr>
            <w:tcW w:w="1592" w:type="dxa"/>
            <w:shd w:val="clear" w:color="000000" w:fill="FFFFFF"/>
            <w:vAlign w:val="center"/>
            <w:hideMark/>
          </w:tcPr>
          <w:p w14:paraId="505B008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Hunter, S., Chai, A., Morgan, P., Chan, H.F., Torgler, B. and Rohde, N., 2025. </w:t>
            </w:r>
          </w:p>
        </w:tc>
        <w:tc>
          <w:tcPr>
            <w:tcW w:w="1134" w:type="dxa"/>
            <w:shd w:val="clear" w:color="000000" w:fill="FFFFFF"/>
            <w:vAlign w:val="center"/>
            <w:hideMark/>
          </w:tcPr>
          <w:p w14:paraId="4E3152F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survey; econometric analysis</w:t>
            </w:r>
          </w:p>
        </w:tc>
        <w:tc>
          <w:tcPr>
            <w:tcW w:w="1276" w:type="dxa"/>
            <w:shd w:val="clear" w:color="000000" w:fill="FFFFFF"/>
            <w:vAlign w:val="center"/>
            <w:hideMark/>
          </w:tcPr>
          <w:p w14:paraId="55482EC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Finance</w:t>
            </w:r>
          </w:p>
        </w:tc>
        <w:tc>
          <w:tcPr>
            <w:tcW w:w="2551" w:type="dxa"/>
            <w:shd w:val="clear" w:color="000000" w:fill="FFFFFF"/>
            <w:vAlign w:val="center"/>
            <w:hideMark/>
          </w:tcPr>
          <w:p w14:paraId="4D37AE2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Access to banking/payment apps reduces reliance on cash and informal financial transactions.</w:t>
            </w:r>
          </w:p>
        </w:tc>
        <w:tc>
          <w:tcPr>
            <w:tcW w:w="2268" w:type="dxa"/>
            <w:shd w:val="clear" w:color="000000" w:fill="FFFFFF"/>
            <w:vAlign w:val="center"/>
            <w:hideMark/>
          </w:tcPr>
          <w:p w14:paraId="6C2220C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analyse women separately or empowerment outcomes.</w:t>
            </w:r>
          </w:p>
        </w:tc>
      </w:tr>
      <w:tr w:rsidR="006F6B27" w:rsidRPr="006F6B27" w14:paraId="1C4168BA" w14:textId="77777777" w:rsidTr="00D4200E">
        <w:trPr>
          <w:trHeight w:val="1150"/>
        </w:trPr>
        <w:tc>
          <w:tcPr>
            <w:tcW w:w="388" w:type="dxa"/>
            <w:shd w:val="clear" w:color="000000" w:fill="FFFFFF"/>
            <w:vAlign w:val="center"/>
            <w:hideMark/>
          </w:tcPr>
          <w:p w14:paraId="2A84B41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36</w:t>
            </w:r>
          </w:p>
        </w:tc>
        <w:tc>
          <w:tcPr>
            <w:tcW w:w="1592" w:type="dxa"/>
            <w:shd w:val="clear" w:color="000000" w:fill="FFFFFF"/>
            <w:vAlign w:val="center"/>
            <w:hideMark/>
          </w:tcPr>
          <w:p w14:paraId="3FFD021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Ibtasam, S., Mehmood, H., Razaq, L., Webster, J., Yu, S. and Anderson, R., (2017) </w:t>
            </w:r>
          </w:p>
        </w:tc>
        <w:tc>
          <w:tcPr>
            <w:tcW w:w="1134" w:type="dxa"/>
            <w:shd w:val="clear" w:color="000000" w:fill="FFFFFF"/>
            <w:vAlign w:val="center"/>
            <w:hideMark/>
          </w:tcPr>
          <w:p w14:paraId="54A040A9" w14:textId="77777777" w:rsidR="00DD193F"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Mixed methods: </w:t>
            </w:r>
          </w:p>
          <w:p w14:paraId="6844EC63" w14:textId="5AB10882"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51 semi-structured interviews</w:t>
            </w:r>
            <w:r w:rsidR="00DD193F">
              <w:rPr>
                <w:rFonts w:ascii="Book Antiqua" w:eastAsia="Times New Roman" w:hAnsi="Book Antiqua" w:cs="Times New Roman"/>
                <w:color w:val="000000"/>
                <w:kern w:val="0"/>
                <w:sz w:val="14"/>
                <w:szCs w:val="14"/>
                <w:lang w:eastAsia="en-GB"/>
                <w14:ligatures w14:val="none"/>
              </w:rPr>
              <w:t xml:space="preserve"> </w:t>
            </w:r>
            <w:r w:rsidRPr="006F6B27">
              <w:rPr>
                <w:rFonts w:ascii="Book Antiqua" w:eastAsia="Times New Roman" w:hAnsi="Book Antiqua" w:cs="Times New Roman"/>
                <w:color w:val="000000"/>
                <w:kern w:val="0"/>
                <w:sz w:val="14"/>
                <w:szCs w:val="14"/>
                <w:lang w:eastAsia="en-GB"/>
                <w14:ligatures w14:val="none"/>
              </w:rPr>
              <w:t>(Pakistan)</w:t>
            </w:r>
          </w:p>
        </w:tc>
        <w:tc>
          <w:tcPr>
            <w:tcW w:w="1276" w:type="dxa"/>
            <w:shd w:val="clear" w:color="000000" w:fill="FFFFFF"/>
            <w:vAlign w:val="center"/>
            <w:hideMark/>
          </w:tcPr>
          <w:p w14:paraId="372D843B" w14:textId="0EAE58B9"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ICTD framework; readiness/affordances perspective </w:t>
            </w:r>
          </w:p>
        </w:tc>
        <w:tc>
          <w:tcPr>
            <w:tcW w:w="2551" w:type="dxa"/>
            <w:shd w:val="clear" w:color="000000" w:fill="FFFFFF"/>
            <w:vAlign w:val="center"/>
            <w:hideMark/>
          </w:tcPr>
          <w:p w14:paraId="6836A55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smartphone-based mobile money adoption is severely limited by male device gatekeeping, digital literacy barriers, and socio-religious mobility constraints.</w:t>
            </w:r>
          </w:p>
        </w:tc>
        <w:tc>
          <w:tcPr>
            <w:tcW w:w="2268" w:type="dxa"/>
            <w:shd w:val="clear" w:color="000000" w:fill="FFFFFF"/>
            <w:vAlign w:val="center"/>
            <w:hideMark/>
          </w:tcPr>
          <w:p w14:paraId="13721FF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Lacks macro-econometric scaling or quantitative generalizability across South Asia.</w:t>
            </w:r>
          </w:p>
        </w:tc>
      </w:tr>
      <w:tr w:rsidR="006F6B27" w:rsidRPr="006F6B27" w14:paraId="4B4C6455" w14:textId="77777777" w:rsidTr="00CE0B57">
        <w:trPr>
          <w:trHeight w:val="598"/>
        </w:trPr>
        <w:tc>
          <w:tcPr>
            <w:tcW w:w="388" w:type="dxa"/>
            <w:shd w:val="clear" w:color="000000" w:fill="FFFFFF"/>
            <w:vAlign w:val="center"/>
            <w:hideMark/>
          </w:tcPr>
          <w:p w14:paraId="145B762C"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37</w:t>
            </w:r>
          </w:p>
        </w:tc>
        <w:tc>
          <w:tcPr>
            <w:tcW w:w="1592" w:type="dxa"/>
            <w:shd w:val="clear" w:color="000000" w:fill="FFFFFF"/>
            <w:vAlign w:val="center"/>
            <w:hideMark/>
          </w:tcPr>
          <w:p w14:paraId="13D13E3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Ibtasam, S., Razaq, L., Anwar, H.W., Mehmood, H., Shah, K., Webster, J., Kumar, N. and Anderson, R. (2018) </w:t>
            </w:r>
          </w:p>
        </w:tc>
        <w:tc>
          <w:tcPr>
            <w:tcW w:w="1134" w:type="dxa"/>
            <w:shd w:val="clear" w:color="000000" w:fill="FFFFFF"/>
            <w:vAlign w:val="center"/>
            <w:hideMark/>
          </w:tcPr>
          <w:p w14:paraId="5D4CA1B7" w14:textId="03834102" w:rsidR="006F6B27" w:rsidRPr="006F6B27" w:rsidRDefault="003F138B"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 xml:space="preserve">Qualitative </w:t>
            </w:r>
            <w:r w:rsidR="00CE0B57">
              <w:rPr>
                <w:rFonts w:ascii="Book Antiqua" w:eastAsia="Times New Roman" w:hAnsi="Book Antiqua" w:cs="Times New Roman"/>
                <w:color w:val="000000"/>
                <w:kern w:val="0"/>
                <w:sz w:val="14"/>
                <w:szCs w:val="14"/>
                <w:lang w:eastAsia="en-GB"/>
                <w14:ligatures w14:val="none"/>
              </w:rPr>
              <w:t>S</w:t>
            </w:r>
            <w:r w:rsidR="006F6B27" w:rsidRPr="006F6B27">
              <w:rPr>
                <w:rFonts w:ascii="Book Antiqua" w:eastAsia="Times New Roman" w:hAnsi="Book Antiqua" w:cs="Times New Roman"/>
                <w:color w:val="000000"/>
                <w:kern w:val="0"/>
                <w:sz w:val="14"/>
                <w:szCs w:val="14"/>
                <w:lang w:eastAsia="en-GB"/>
                <w14:ligatures w14:val="none"/>
              </w:rPr>
              <w:t>emi-structured interviews</w:t>
            </w:r>
            <w:r w:rsidR="00CE0B57">
              <w:rPr>
                <w:rFonts w:ascii="Book Antiqua" w:eastAsia="Times New Roman" w:hAnsi="Book Antiqua" w:cs="Times New Roman"/>
                <w:color w:val="000000"/>
                <w:kern w:val="0"/>
                <w:sz w:val="14"/>
                <w:szCs w:val="14"/>
                <w:lang w:eastAsia="en-GB"/>
                <w14:ligatures w14:val="none"/>
              </w:rPr>
              <w:t xml:space="preserve"> </w:t>
            </w:r>
            <w:r w:rsidR="006F6B27" w:rsidRPr="006F6B27">
              <w:rPr>
                <w:rFonts w:ascii="Book Antiqua" w:eastAsia="Times New Roman" w:hAnsi="Book Antiqua" w:cs="Times New Roman"/>
                <w:color w:val="000000"/>
                <w:kern w:val="0"/>
                <w:sz w:val="14"/>
                <w:szCs w:val="14"/>
                <w:lang w:eastAsia="en-GB"/>
                <w14:ligatures w14:val="none"/>
              </w:rPr>
              <w:t>(Pakistan)</w:t>
            </w:r>
          </w:p>
        </w:tc>
        <w:tc>
          <w:tcPr>
            <w:tcW w:w="1276" w:type="dxa"/>
            <w:shd w:val="clear" w:color="000000" w:fill="FFFFFF"/>
            <w:vAlign w:val="center"/>
            <w:hideMark/>
          </w:tcPr>
          <w:p w14:paraId="5FE4CC3C" w14:textId="255B1116"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Capability Approach; Human-Centred Design</w:t>
            </w:r>
          </w:p>
        </w:tc>
        <w:tc>
          <w:tcPr>
            <w:tcW w:w="2551" w:type="dxa"/>
            <w:shd w:val="clear" w:color="000000" w:fill="FFFFFF"/>
            <w:vAlign w:val="center"/>
            <w:hideMark/>
          </w:tcPr>
          <w:p w14:paraId="677C0312" w14:textId="7073CBB7" w:rsidR="006F6B27" w:rsidRPr="006F6B27" w:rsidRDefault="00CE0B57"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F</w:t>
            </w:r>
            <w:r w:rsidR="006F6B27" w:rsidRPr="006F6B27">
              <w:rPr>
                <w:rFonts w:ascii="Book Antiqua" w:eastAsia="Times New Roman" w:hAnsi="Book Antiqua" w:cs="Times New Roman"/>
                <w:color w:val="000000"/>
                <w:kern w:val="0"/>
                <w:sz w:val="14"/>
                <w:szCs w:val="14"/>
                <w:lang w:eastAsia="en-GB"/>
                <w14:ligatures w14:val="none"/>
              </w:rPr>
              <w:t>inancial inclusion initiatives should incorporate gender-sensitive technology design and local social contexts.</w:t>
            </w:r>
          </w:p>
        </w:tc>
        <w:tc>
          <w:tcPr>
            <w:tcW w:w="2268" w:type="dxa"/>
            <w:shd w:val="clear" w:color="000000" w:fill="FFFFFF"/>
            <w:vAlign w:val="center"/>
            <w:hideMark/>
          </w:tcPr>
          <w:p w14:paraId="1B8EAB4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The study is qualitative and context-specific, limiting generalisability. It does not quantitatively examine fintech adoption behaviour.</w:t>
            </w:r>
          </w:p>
        </w:tc>
      </w:tr>
      <w:tr w:rsidR="006F6B27" w:rsidRPr="006F6B27" w14:paraId="14B5E6F7" w14:textId="77777777" w:rsidTr="0049455B">
        <w:trPr>
          <w:trHeight w:val="400"/>
        </w:trPr>
        <w:tc>
          <w:tcPr>
            <w:tcW w:w="388" w:type="dxa"/>
            <w:shd w:val="clear" w:color="000000" w:fill="FFFFFF"/>
            <w:vAlign w:val="center"/>
            <w:hideMark/>
          </w:tcPr>
          <w:p w14:paraId="4CB1DF8E"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38</w:t>
            </w:r>
          </w:p>
        </w:tc>
        <w:tc>
          <w:tcPr>
            <w:tcW w:w="1592" w:type="dxa"/>
            <w:shd w:val="clear" w:color="000000" w:fill="FFFFFF"/>
            <w:vAlign w:val="center"/>
            <w:hideMark/>
          </w:tcPr>
          <w:p w14:paraId="5EDA19C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Jack &amp; Suri (2014)</w:t>
            </w:r>
          </w:p>
        </w:tc>
        <w:tc>
          <w:tcPr>
            <w:tcW w:w="1134" w:type="dxa"/>
            <w:shd w:val="clear" w:color="000000" w:fill="FFFFFF"/>
            <w:vAlign w:val="center"/>
            <w:hideMark/>
          </w:tcPr>
          <w:p w14:paraId="701C0DA2" w14:textId="01488AC3"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Household panel data</w:t>
            </w:r>
            <w:r w:rsidR="0049455B">
              <w:rPr>
                <w:rFonts w:ascii="Book Antiqua" w:eastAsia="Times New Roman" w:hAnsi="Book Antiqua" w:cs="Times New Roman"/>
                <w:color w:val="000000"/>
                <w:kern w:val="0"/>
                <w:sz w:val="14"/>
                <w:szCs w:val="14"/>
                <w:lang w:eastAsia="en-GB"/>
                <w14:ligatures w14:val="none"/>
              </w:rPr>
              <w:t xml:space="preserve"> </w:t>
            </w:r>
            <w:r w:rsidRPr="006F6B27">
              <w:rPr>
                <w:rFonts w:ascii="Book Antiqua" w:eastAsia="Times New Roman" w:hAnsi="Book Antiqua" w:cs="Times New Roman"/>
                <w:color w:val="000000"/>
                <w:kern w:val="0"/>
                <w:sz w:val="14"/>
                <w:szCs w:val="14"/>
                <w:lang w:eastAsia="en-GB"/>
                <w14:ligatures w14:val="none"/>
              </w:rPr>
              <w:t>analysis</w:t>
            </w:r>
          </w:p>
        </w:tc>
        <w:tc>
          <w:tcPr>
            <w:tcW w:w="1276" w:type="dxa"/>
            <w:shd w:val="clear" w:color="000000" w:fill="FFFFFF"/>
            <w:vAlign w:val="center"/>
            <w:hideMark/>
          </w:tcPr>
          <w:p w14:paraId="7F43E2F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Development Economics</w:t>
            </w:r>
          </w:p>
        </w:tc>
        <w:tc>
          <w:tcPr>
            <w:tcW w:w="2551" w:type="dxa"/>
            <w:shd w:val="clear" w:color="000000" w:fill="FFFFFF"/>
            <w:vAlign w:val="center"/>
            <w:hideMark/>
          </w:tcPr>
          <w:p w14:paraId="6A679D0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money lowers transaction costs and improves households' ability to cope with income shocks.</w:t>
            </w:r>
          </w:p>
        </w:tc>
        <w:tc>
          <w:tcPr>
            <w:tcW w:w="2268" w:type="dxa"/>
            <w:shd w:val="clear" w:color="000000" w:fill="FFFFFF"/>
            <w:vAlign w:val="center"/>
            <w:hideMark/>
          </w:tcPr>
          <w:p w14:paraId="23FF503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 welfare outcomes rather than behavioural drivers of fintech adoption.</w:t>
            </w:r>
          </w:p>
        </w:tc>
      </w:tr>
      <w:tr w:rsidR="006F6B27" w:rsidRPr="006F6B27" w14:paraId="784A6677" w14:textId="77777777" w:rsidTr="00D4200E">
        <w:trPr>
          <w:trHeight w:val="1150"/>
        </w:trPr>
        <w:tc>
          <w:tcPr>
            <w:tcW w:w="388" w:type="dxa"/>
            <w:shd w:val="clear" w:color="000000" w:fill="FFFFFF"/>
            <w:vAlign w:val="center"/>
            <w:hideMark/>
          </w:tcPr>
          <w:p w14:paraId="216A4B0E"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39</w:t>
            </w:r>
          </w:p>
        </w:tc>
        <w:tc>
          <w:tcPr>
            <w:tcW w:w="1592" w:type="dxa"/>
            <w:shd w:val="clear" w:color="000000" w:fill="FFFFFF"/>
            <w:vAlign w:val="center"/>
            <w:hideMark/>
          </w:tcPr>
          <w:p w14:paraId="05CE09D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Kabeer (1999)</w:t>
            </w:r>
          </w:p>
        </w:tc>
        <w:tc>
          <w:tcPr>
            <w:tcW w:w="1134" w:type="dxa"/>
            <w:shd w:val="clear" w:color="000000" w:fill="FFFFFF"/>
            <w:vAlign w:val="center"/>
            <w:hideMark/>
          </w:tcPr>
          <w:p w14:paraId="4C5C47F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and theoretical framework development</w:t>
            </w:r>
          </w:p>
        </w:tc>
        <w:tc>
          <w:tcPr>
            <w:tcW w:w="1276" w:type="dxa"/>
            <w:shd w:val="clear" w:color="000000" w:fill="FFFFFF"/>
            <w:vAlign w:val="center"/>
            <w:hideMark/>
          </w:tcPr>
          <w:p w14:paraId="0B416D7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Resources-Agency-Achievements (RAA) schema</w:t>
            </w:r>
          </w:p>
        </w:tc>
        <w:tc>
          <w:tcPr>
            <w:tcW w:w="2551" w:type="dxa"/>
            <w:shd w:val="clear" w:color="000000" w:fill="FFFFFF"/>
            <w:vAlign w:val="center"/>
            <w:hideMark/>
          </w:tcPr>
          <w:p w14:paraId="6810C0B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Distinguishes financial resources (access), agency (autonomous decision-making capacity), and achievements (concrete livelihood outcomes) in measuring empowerment.</w:t>
            </w:r>
          </w:p>
        </w:tc>
        <w:tc>
          <w:tcPr>
            <w:tcW w:w="2268" w:type="dxa"/>
            <w:shd w:val="clear" w:color="000000" w:fill="FFFFFF"/>
            <w:vAlign w:val="center"/>
            <w:hideMark/>
          </w:tcPr>
          <w:p w14:paraId="65BF55C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Purely theoretical framework; requires empirical customization to map directly onto modern digital/FinTech platforms.</w:t>
            </w:r>
          </w:p>
        </w:tc>
      </w:tr>
      <w:tr w:rsidR="006F6B27" w:rsidRPr="006F6B27" w14:paraId="4040351F" w14:textId="77777777" w:rsidTr="00D4200E">
        <w:trPr>
          <w:trHeight w:val="960"/>
        </w:trPr>
        <w:tc>
          <w:tcPr>
            <w:tcW w:w="388" w:type="dxa"/>
            <w:shd w:val="clear" w:color="000000" w:fill="FFFFFF"/>
            <w:vAlign w:val="center"/>
            <w:hideMark/>
          </w:tcPr>
          <w:p w14:paraId="5949E5C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40</w:t>
            </w:r>
          </w:p>
        </w:tc>
        <w:tc>
          <w:tcPr>
            <w:tcW w:w="1592" w:type="dxa"/>
            <w:shd w:val="clear" w:color="000000" w:fill="FFFFFF"/>
            <w:vAlign w:val="center"/>
            <w:hideMark/>
          </w:tcPr>
          <w:p w14:paraId="0300072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Kabeer (2016)</w:t>
            </w:r>
          </w:p>
        </w:tc>
        <w:tc>
          <w:tcPr>
            <w:tcW w:w="1134" w:type="dxa"/>
            <w:shd w:val="clear" w:color="000000" w:fill="FFFFFF"/>
            <w:vAlign w:val="center"/>
            <w:hideMark/>
          </w:tcPr>
          <w:p w14:paraId="331EA46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Comparative theoretical synthesis</w:t>
            </w:r>
          </w:p>
        </w:tc>
        <w:tc>
          <w:tcPr>
            <w:tcW w:w="1276" w:type="dxa"/>
            <w:shd w:val="clear" w:color="000000" w:fill="FFFFFF"/>
            <w:vAlign w:val="center"/>
            <w:hideMark/>
          </w:tcPr>
          <w:p w14:paraId="3994EED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Patriarchal constraints and economic growth framework</w:t>
            </w:r>
          </w:p>
        </w:tc>
        <w:tc>
          <w:tcPr>
            <w:tcW w:w="2551" w:type="dxa"/>
            <w:shd w:val="clear" w:color="000000" w:fill="FFFFFF"/>
            <w:vAlign w:val="center"/>
            <w:hideMark/>
          </w:tcPr>
          <w:p w14:paraId="219B712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Highlights the 'endless variety' and 'monotonous similarity' of patriarchal structural barriers that limit female economic agency worldwide.</w:t>
            </w:r>
          </w:p>
        </w:tc>
        <w:tc>
          <w:tcPr>
            <w:tcW w:w="2268" w:type="dxa"/>
            <w:shd w:val="clear" w:color="000000" w:fill="FFFFFF"/>
            <w:vAlign w:val="center"/>
            <w:hideMark/>
          </w:tcPr>
          <w:p w14:paraId="635147E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Broad structural focus on labour and growth rather than specific digital platform/FinTech business models.</w:t>
            </w:r>
          </w:p>
        </w:tc>
      </w:tr>
      <w:tr w:rsidR="006F6B27" w:rsidRPr="006F6B27" w14:paraId="1397BCE4" w14:textId="77777777" w:rsidTr="00D530A0">
        <w:trPr>
          <w:trHeight w:val="708"/>
        </w:trPr>
        <w:tc>
          <w:tcPr>
            <w:tcW w:w="388" w:type="dxa"/>
            <w:shd w:val="clear" w:color="000000" w:fill="FFFFFF"/>
            <w:vAlign w:val="center"/>
            <w:hideMark/>
          </w:tcPr>
          <w:p w14:paraId="7A42B5A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41</w:t>
            </w:r>
          </w:p>
        </w:tc>
        <w:tc>
          <w:tcPr>
            <w:tcW w:w="1592" w:type="dxa"/>
            <w:shd w:val="clear" w:color="000000" w:fill="FFFFFF"/>
            <w:vAlign w:val="center"/>
            <w:hideMark/>
          </w:tcPr>
          <w:p w14:paraId="6C40E91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Kabeer (2020)</w:t>
            </w:r>
          </w:p>
        </w:tc>
        <w:tc>
          <w:tcPr>
            <w:tcW w:w="1134" w:type="dxa"/>
            <w:shd w:val="clear" w:color="000000" w:fill="FFFFFF"/>
            <w:vAlign w:val="center"/>
            <w:hideMark/>
          </w:tcPr>
          <w:p w14:paraId="113B1490" w14:textId="26C09A39"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Critical academic review </w:t>
            </w:r>
          </w:p>
        </w:tc>
        <w:tc>
          <w:tcPr>
            <w:tcW w:w="1276" w:type="dxa"/>
            <w:shd w:val="clear" w:color="000000" w:fill="FFFFFF"/>
            <w:vAlign w:val="center"/>
            <w:hideMark/>
          </w:tcPr>
          <w:p w14:paraId="22909FDF" w14:textId="2C38DCFC"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Randomista economics critique</w:t>
            </w:r>
          </w:p>
        </w:tc>
        <w:tc>
          <w:tcPr>
            <w:tcW w:w="2551" w:type="dxa"/>
            <w:shd w:val="clear" w:color="000000" w:fill="FFFFFF"/>
            <w:vAlign w:val="center"/>
            <w:hideMark/>
          </w:tcPr>
          <w:p w14:paraId="2151F366" w14:textId="34C383D9" w:rsidR="006F6B27" w:rsidRPr="006F6B27" w:rsidRDefault="00D530A0"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S</w:t>
            </w:r>
            <w:r w:rsidR="006F6B27" w:rsidRPr="006F6B27">
              <w:rPr>
                <w:rFonts w:ascii="Book Antiqua" w:eastAsia="Times New Roman" w:hAnsi="Book Antiqua" w:cs="Times New Roman"/>
                <w:color w:val="000000"/>
                <w:kern w:val="0"/>
                <w:sz w:val="14"/>
                <w:szCs w:val="14"/>
                <w:lang w:eastAsia="en-GB"/>
                <w14:ligatures w14:val="none"/>
              </w:rPr>
              <w:t>tandard inclusion metrics like account registration overlook active, autonomous female engagement and intra-household power dynamics.</w:t>
            </w:r>
          </w:p>
        </w:tc>
        <w:tc>
          <w:tcPr>
            <w:tcW w:w="2268" w:type="dxa"/>
            <w:shd w:val="clear" w:color="000000" w:fill="FFFFFF"/>
            <w:vAlign w:val="center"/>
            <w:hideMark/>
          </w:tcPr>
          <w:p w14:paraId="5FF34B2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Lacks primary quantitative statistical testing of specific app features.</w:t>
            </w:r>
          </w:p>
        </w:tc>
      </w:tr>
      <w:tr w:rsidR="006F6B27" w:rsidRPr="006F6B27" w14:paraId="2E4E8C56" w14:textId="77777777" w:rsidTr="004B4090">
        <w:trPr>
          <w:trHeight w:val="562"/>
        </w:trPr>
        <w:tc>
          <w:tcPr>
            <w:tcW w:w="388" w:type="dxa"/>
            <w:shd w:val="clear" w:color="000000" w:fill="FFFFFF"/>
            <w:vAlign w:val="center"/>
            <w:hideMark/>
          </w:tcPr>
          <w:p w14:paraId="3F362B8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42</w:t>
            </w:r>
          </w:p>
        </w:tc>
        <w:tc>
          <w:tcPr>
            <w:tcW w:w="1592" w:type="dxa"/>
            <w:shd w:val="clear" w:color="000000" w:fill="FFFFFF"/>
            <w:vAlign w:val="center"/>
            <w:hideMark/>
          </w:tcPr>
          <w:p w14:paraId="1C2FC1F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Kamara, A.K. and Yu, B., 2024</w:t>
            </w:r>
          </w:p>
        </w:tc>
        <w:tc>
          <w:tcPr>
            <w:tcW w:w="1134" w:type="dxa"/>
            <w:shd w:val="clear" w:color="000000" w:fill="FFFFFF"/>
            <w:vAlign w:val="center"/>
            <w:hideMark/>
          </w:tcPr>
          <w:p w14:paraId="6F2FF85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Dynamic Panel (GMM)</w:t>
            </w:r>
          </w:p>
        </w:tc>
        <w:tc>
          <w:tcPr>
            <w:tcW w:w="1276" w:type="dxa"/>
            <w:shd w:val="clear" w:color="000000" w:fill="FFFFFF"/>
            <w:vAlign w:val="center"/>
            <w:hideMark/>
          </w:tcPr>
          <w:p w14:paraId="1E58025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Development Theory</w:t>
            </w:r>
          </w:p>
        </w:tc>
        <w:tc>
          <w:tcPr>
            <w:tcW w:w="2551" w:type="dxa"/>
            <w:shd w:val="clear" w:color="000000" w:fill="FFFFFF"/>
            <w:vAlign w:val="center"/>
            <w:hideMark/>
          </w:tcPr>
          <w:p w14:paraId="315FB048" w14:textId="68FFA6B8" w:rsidR="006F6B27" w:rsidRPr="006F6B27" w:rsidRDefault="00D530A0"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F</w:t>
            </w:r>
            <w:r w:rsidR="006F6B27" w:rsidRPr="006F6B27">
              <w:rPr>
                <w:rFonts w:ascii="Book Antiqua" w:eastAsia="Times New Roman" w:hAnsi="Book Antiqua" w:cs="Times New Roman"/>
                <w:color w:val="000000"/>
                <w:kern w:val="0"/>
                <w:sz w:val="14"/>
                <w:szCs w:val="14"/>
                <w:lang w:eastAsia="en-GB"/>
                <w14:ligatures w14:val="none"/>
              </w:rPr>
              <w:t xml:space="preserve">intech can reshape financial systems but requires </w:t>
            </w:r>
            <w:r w:rsidR="004B4090" w:rsidRPr="006F6B27">
              <w:rPr>
                <w:rFonts w:ascii="Book Antiqua" w:eastAsia="Times New Roman" w:hAnsi="Book Antiqua" w:cs="Times New Roman"/>
                <w:color w:val="000000"/>
                <w:kern w:val="0"/>
                <w:sz w:val="14"/>
                <w:szCs w:val="14"/>
                <w:lang w:eastAsia="en-GB"/>
                <w14:ligatures w14:val="none"/>
              </w:rPr>
              <w:t>balancing</w:t>
            </w:r>
            <w:r w:rsidR="006F6B27" w:rsidRPr="006F6B27">
              <w:rPr>
                <w:rFonts w:ascii="Book Antiqua" w:eastAsia="Times New Roman" w:hAnsi="Book Antiqua" w:cs="Times New Roman"/>
                <w:color w:val="000000"/>
                <w:kern w:val="0"/>
                <w:sz w:val="14"/>
                <w:szCs w:val="14"/>
                <w:lang w:eastAsia="en-GB"/>
                <w14:ligatures w14:val="none"/>
              </w:rPr>
              <w:t xml:space="preserve"> institutional </w:t>
            </w:r>
            <w:r w:rsidR="004B4090" w:rsidRPr="006F6B27">
              <w:rPr>
                <w:rFonts w:ascii="Book Antiqua" w:eastAsia="Times New Roman" w:hAnsi="Book Antiqua" w:cs="Times New Roman"/>
                <w:color w:val="000000"/>
                <w:kern w:val="0"/>
                <w:sz w:val="14"/>
                <w:szCs w:val="14"/>
                <w:lang w:eastAsia="en-GB"/>
                <w14:ligatures w14:val="none"/>
              </w:rPr>
              <w:t>growth</w:t>
            </w:r>
            <w:r w:rsidR="006F6B27" w:rsidRPr="006F6B27">
              <w:rPr>
                <w:rFonts w:ascii="Book Antiqua" w:eastAsia="Times New Roman" w:hAnsi="Book Antiqua" w:cs="Times New Roman"/>
                <w:color w:val="000000"/>
                <w:kern w:val="0"/>
                <w:sz w:val="14"/>
                <w:szCs w:val="14"/>
                <w:lang w:eastAsia="en-GB"/>
                <w14:ligatures w14:val="none"/>
              </w:rPr>
              <w:t xml:space="preserve"> to </w:t>
            </w:r>
            <w:r w:rsidR="004B4090" w:rsidRPr="006F6B27">
              <w:rPr>
                <w:rFonts w:ascii="Book Antiqua" w:eastAsia="Times New Roman" w:hAnsi="Book Antiqua" w:cs="Times New Roman"/>
                <w:color w:val="000000"/>
                <w:kern w:val="0"/>
                <w:sz w:val="14"/>
                <w:szCs w:val="14"/>
                <w:lang w:eastAsia="en-GB"/>
                <w14:ligatures w14:val="none"/>
              </w:rPr>
              <w:t>expand</w:t>
            </w:r>
            <w:r w:rsidR="006F6B27" w:rsidRPr="006F6B27">
              <w:rPr>
                <w:rFonts w:ascii="Book Antiqua" w:eastAsia="Times New Roman" w:hAnsi="Book Antiqua" w:cs="Times New Roman"/>
                <w:color w:val="000000"/>
                <w:kern w:val="0"/>
                <w:sz w:val="14"/>
                <w:szCs w:val="14"/>
                <w:lang w:eastAsia="en-GB"/>
                <w14:ligatures w14:val="none"/>
              </w:rPr>
              <w:t xml:space="preserve"> financial inclusion.</w:t>
            </w:r>
          </w:p>
        </w:tc>
        <w:tc>
          <w:tcPr>
            <w:tcW w:w="2268" w:type="dxa"/>
            <w:shd w:val="clear" w:color="000000" w:fill="FFFFFF"/>
            <w:vAlign w:val="center"/>
            <w:hideMark/>
          </w:tcPr>
          <w:p w14:paraId="3EFA95B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treatment of consumer trust, digital literacy and socio-cultural influences.</w:t>
            </w:r>
          </w:p>
        </w:tc>
      </w:tr>
      <w:tr w:rsidR="006F6B27" w:rsidRPr="006F6B27" w14:paraId="7B80A524" w14:textId="77777777" w:rsidTr="00D4200E">
        <w:trPr>
          <w:trHeight w:val="770"/>
        </w:trPr>
        <w:tc>
          <w:tcPr>
            <w:tcW w:w="388" w:type="dxa"/>
            <w:shd w:val="clear" w:color="000000" w:fill="FFFFFF"/>
            <w:vAlign w:val="center"/>
            <w:hideMark/>
          </w:tcPr>
          <w:p w14:paraId="166A869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43</w:t>
            </w:r>
          </w:p>
        </w:tc>
        <w:tc>
          <w:tcPr>
            <w:tcW w:w="1592" w:type="dxa"/>
            <w:shd w:val="clear" w:color="000000" w:fill="FFFFFF"/>
            <w:vAlign w:val="center"/>
            <w:hideMark/>
          </w:tcPr>
          <w:p w14:paraId="0FB98C3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Kaur &amp; Kapuria (2020)</w:t>
            </w:r>
          </w:p>
        </w:tc>
        <w:tc>
          <w:tcPr>
            <w:tcW w:w="1134" w:type="dxa"/>
            <w:shd w:val="clear" w:color="000000" w:fill="FFFFFF"/>
            <w:vAlign w:val="center"/>
            <w:hideMark/>
          </w:tcPr>
          <w:p w14:paraId="5C46145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econometric study (Rural India)</w:t>
            </w:r>
          </w:p>
        </w:tc>
        <w:tc>
          <w:tcPr>
            <w:tcW w:w="1276" w:type="dxa"/>
            <w:shd w:val="clear" w:color="000000" w:fill="FFFFFF"/>
            <w:vAlign w:val="center"/>
            <w:hideMark/>
          </w:tcPr>
          <w:p w14:paraId="07883EE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Household financial inclusion / gender gap framework</w:t>
            </w:r>
          </w:p>
        </w:tc>
        <w:tc>
          <w:tcPr>
            <w:tcW w:w="2551" w:type="dxa"/>
            <w:shd w:val="clear" w:color="000000" w:fill="FFFFFF"/>
            <w:vAlign w:val="center"/>
            <w:hideMark/>
          </w:tcPr>
          <w:p w14:paraId="10E2EFB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Confirms a persistent gender gap in account ownership and usage in rural India even after controlling for socioeconomic factors.</w:t>
            </w:r>
          </w:p>
        </w:tc>
        <w:tc>
          <w:tcPr>
            <w:tcW w:w="2268" w:type="dxa"/>
            <w:shd w:val="clear" w:color="000000" w:fill="FFFFFF"/>
            <w:vAlign w:val="center"/>
            <w:hideMark/>
          </w:tcPr>
          <w:p w14:paraId="6D128B8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investigate digital app UI/UX, biometric safety, or agent network gender gaps.</w:t>
            </w:r>
          </w:p>
        </w:tc>
      </w:tr>
      <w:tr w:rsidR="006F6B27" w:rsidRPr="006F6B27" w14:paraId="0FEA4AB9" w14:textId="77777777" w:rsidTr="00D4200E">
        <w:trPr>
          <w:trHeight w:val="770"/>
        </w:trPr>
        <w:tc>
          <w:tcPr>
            <w:tcW w:w="388" w:type="dxa"/>
            <w:shd w:val="clear" w:color="000000" w:fill="FFFFFF"/>
            <w:vAlign w:val="center"/>
            <w:hideMark/>
          </w:tcPr>
          <w:p w14:paraId="114C5F4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44</w:t>
            </w:r>
          </w:p>
        </w:tc>
        <w:tc>
          <w:tcPr>
            <w:tcW w:w="1592" w:type="dxa"/>
            <w:shd w:val="clear" w:color="000000" w:fill="FFFFFF"/>
            <w:vAlign w:val="center"/>
            <w:hideMark/>
          </w:tcPr>
          <w:p w14:paraId="39EFCA6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Khan, I., Imtiaz, S.S. and Amin, M.I. (2023) </w:t>
            </w:r>
          </w:p>
        </w:tc>
        <w:tc>
          <w:tcPr>
            <w:tcW w:w="1134" w:type="dxa"/>
            <w:shd w:val="clear" w:color="000000" w:fill="FFFFFF"/>
            <w:vAlign w:val="center"/>
            <w:hideMark/>
          </w:tcPr>
          <w:p w14:paraId="3F33F62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Policy and document analysis</w:t>
            </w:r>
          </w:p>
        </w:tc>
        <w:tc>
          <w:tcPr>
            <w:tcW w:w="1276" w:type="dxa"/>
            <w:shd w:val="clear" w:color="000000" w:fill="FFFFFF"/>
            <w:vAlign w:val="center"/>
            <w:hideMark/>
          </w:tcPr>
          <w:p w14:paraId="47772D3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 &amp; Financial Inclusion</w:t>
            </w:r>
          </w:p>
        </w:tc>
        <w:tc>
          <w:tcPr>
            <w:tcW w:w="2551" w:type="dxa"/>
            <w:shd w:val="clear" w:color="000000" w:fill="FFFFFF"/>
            <w:vAlign w:val="center"/>
            <w:hideMark/>
          </w:tcPr>
          <w:p w14:paraId="420EFBF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Reviews Bangladesh's post-COVID policies and finds implementation and monitoring gaps despite numerous initiatives.</w:t>
            </w:r>
          </w:p>
        </w:tc>
        <w:tc>
          <w:tcPr>
            <w:tcW w:w="2268" w:type="dxa"/>
            <w:shd w:val="clear" w:color="000000" w:fill="FFFFFF"/>
            <w:vAlign w:val="center"/>
            <w:hideMark/>
          </w:tcPr>
          <w:p w14:paraId="53E4E9C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empirically examine fintech adoption by women.</w:t>
            </w:r>
          </w:p>
        </w:tc>
      </w:tr>
      <w:tr w:rsidR="006F6B27" w:rsidRPr="006F6B27" w14:paraId="58145A0D" w14:textId="77777777" w:rsidTr="004B4090">
        <w:trPr>
          <w:trHeight w:val="311"/>
        </w:trPr>
        <w:tc>
          <w:tcPr>
            <w:tcW w:w="388" w:type="dxa"/>
            <w:shd w:val="clear" w:color="000000" w:fill="FFFFFF"/>
            <w:vAlign w:val="center"/>
            <w:hideMark/>
          </w:tcPr>
          <w:p w14:paraId="2A41483E"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45</w:t>
            </w:r>
          </w:p>
        </w:tc>
        <w:tc>
          <w:tcPr>
            <w:tcW w:w="1592" w:type="dxa"/>
            <w:shd w:val="clear" w:color="000000" w:fill="FFFFFF"/>
            <w:vAlign w:val="center"/>
            <w:hideMark/>
          </w:tcPr>
          <w:p w14:paraId="257D2C5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Koomson, Villano &amp; Hadley (2020)</w:t>
            </w:r>
          </w:p>
        </w:tc>
        <w:tc>
          <w:tcPr>
            <w:tcW w:w="1134" w:type="dxa"/>
            <w:shd w:val="clear" w:color="000000" w:fill="FFFFFF"/>
            <w:vAlign w:val="center"/>
            <w:hideMark/>
          </w:tcPr>
          <w:p w14:paraId="4E1BF4AE" w14:textId="41B94F7B"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Household survey</w:t>
            </w:r>
          </w:p>
        </w:tc>
        <w:tc>
          <w:tcPr>
            <w:tcW w:w="1276" w:type="dxa"/>
            <w:shd w:val="clear" w:color="000000" w:fill="FFFFFF"/>
            <w:vAlign w:val="center"/>
            <w:hideMark/>
          </w:tcPr>
          <w:p w14:paraId="21868B9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Capability Approach</w:t>
            </w:r>
          </w:p>
        </w:tc>
        <w:tc>
          <w:tcPr>
            <w:tcW w:w="2551" w:type="dxa"/>
            <w:shd w:val="clear" w:color="000000" w:fill="FFFFFF"/>
            <w:vAlign w:val="center"/>
            <w:hideMark/>
          </w:tcPr>
          <w:p w14:paraId="41A59AD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money reduces poverty and household vulnerability.</w:t>
            </w:r>
          </w:p>
        </w:tc>
        <w:tc>
          <w:tcPr>
            <w:tcW w:w="2268" w:type="dxa"/>
            <w:shd w:val="clear" w:color="000000" w:fill="FFFFFF"/>
            <w:vAlign w:val="center"/>
            <w:hideMark/>
          </w:tcPr>
          <w:p w14:paraId="0931D71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Mechanisms affecting women require further investigation.</w:t>
            </w:r>
          </w:p>
        </w:tc>
      </w:tr>
      <w:tr w:rsidR="006F6B27" w:rsidRPr="006F6B27" w14:paraId="1597BEB9" w14:textId="77777777" w:rsidTr="00E75249">
        <w:trPr>
          <w:trHeight w:val="670"/>
        </w:trPr>
        <w:tc>
          <w:tcPr>
            <w:tcW w:w="388" w:type="dxa"/>
            <w:shd w:val="clear" w:color="000000" w:fill="FFFFFF"/>
            <w:vAlign w:val="center"/>
            <w:hideMark/>
          </w:tcPr>
          <w:p w14:paraId="1FCF8B60"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46</w:t>
            </w:r>
          </w:p>
        </w:tc>
        <w:tc>
          <w:tcPr>
            <w:tcW w:w="1592" w:type="dxa"/>
            <w:shd w:val="clear" w:color="000000" w:fill="FFFFFF"/>
            <w:vAlign w:val="center"/>
            <w:hideMark/>
          </w:tcPr>
          <w:p w14:paraId="7822B5D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Kulkarni &amp; Ghosh (2021)</w:t>
            </w:r>
          </w:p>
        </w:tc>
        <w:tc>
          <w:tcPr>
            <w:tcW w:w="1134" w:type="dxa"/>
            <w:shd w:val="clear" w:color="000000" w:fill="FFFFFF"/>
            <w:vAlign w:val="center"/>
            <w:hideMark/>
          </w:tcPr>
          <w:p w14:paraId="66A7F73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Household-level empirical study (India)</w:t>
            </w:r>
          </w:p>
        </w:tc>
        <w:tc>
          <w:tcPr>
            <w:tcW w:w="1276" w:type="dxa"/>
            <w:shd w:val="clear" w:color="000000" w:fill="FFFFFF"/>
            <w:vAlign w:val="center"/>
            <w:hideMark/>
          </w:tcPr>
          <w:p w14:paraId="54C4C71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financial inclusion / digital literacy framework</w:t>
            </w:r>
          </w:p>
        </w:tc>
        <w:tc>
          <w:tcPr>
            <w:tcW w:w="2551" w:type="dxa"/>
            <w:shd w:val="clear" w:color="000000" w:fill="FFFFFF"/>
            <w:vAlign w:val="center"/>
            <w:hideMark/>
          </w:tcPr>
          <w:p w14:paraId="1C166E5C" w14:textId="1536BB0C" w:rsidR="006F6B27" w:rsidRPr="006F6B27" w:rsidRDefault="00E75249"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T</w:t>
            </w:r>
            <w:r w:rsidR="006F6B27" w:rsidRPr="006F6B27">
              <w:rPr>
                <w:rFonts w:ascii="Book Antiqua" w:eastAsia="Times New Roman" w:hAnsi="Book Antiqua" w:cs="Times New Roman"/>
                <w:color w:val="000000"/>
                <w:kern w:val="0"/>
                <w:sz w:val="14"/>
                <w:szCs w:val="14"/>
                <w:lang w:eastAsia="en-GB"/>
                <w14:ligatures w14:val="none"/>
              </w:rPr>
              <w:t>he gender gap stems less from device access than from gaps in digital literacy, income, and independent interface confidence.</w:t>
            </w:r>
          </w:p>
        </w:tc>
        <w:tc>
          <w:tcPr>
            <w:tcW w:w="2268" w:type="dxa"/>
            <w:shd w:val="clear" w:color="000000" w:fill="FFFFFF"/>
            <w:vAlign w:val="center"/>
            <w:hideMark/>
          </w:tcPr>
          <w:p w14:paraId="2394915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investigate firm-level platform constraints or alternative provider business model incentives.</w:t>
            </w:r>
          </w:p>
        </w:tc>
      </w:tr>
      <w:tr w:rsidR="006F6B27" w:rsidRPr="006F6B27" w14:paraId="0BE537BC" w14:textId="77777777" w:rsidTr="00E75249">
        <w:trPr>
          <w:trHeight w:val="808"/>
        </w:trPr>
        <w:tc>
          <w:tcPr>
            <w:tcW w:w="388" w:type="dxa"/>
            <w:shd w:val="clear" w:color="000000" w:fill="FFFFFF"/>
            <w:vAlign w:val="center"/>
            <w:hideMark/>
          </w:tcPr>
          <w:p w14:paraId="797C811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47</w:t>
            </w:r>
          </w:p>
        </w:tc>
        <w:tc>
          <w:tcPr>
            <w:tcW w:w="1592" w:type="dxa"/>
            <w:shd w:val="clear" w:color="000000" w:fill="FFFFFF"/>
            <w:vAlign w:val="center"/>
            <w:hideMark/>
          </w:tcPr>
          <w:p w14:paraId="38705C6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Kumar, N., Raghunathan, K., Arrieta, A., Jilani, A. and Pandey, S. (2021)</w:t>
            </w:r>
          </w:p>
        </w:tc>
        <w:tc>
          <w:tcPr>
            <w:tcW w:w="1134" w:type="dxa"/>
            <w:shd w:val="clear" w:color="000000" w:fill="FFFFFF"/>
            <w:vAlign w:val="center"/>
            <w:hideMark/>
          </w:tcPr>
          <w:p w14:paraId="4996366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 Panel data analysis (India)</w:t>
            </w:r>
          </w:p>
        </w:tc>
        <w:tc>
          <w:tcPr>
            <w:tcW w:w="1276" w:type="dxa"/>
            <w:shd w:val="clear" w:color="000000" w:fill="FFFFFF"/>
            <w:vAlign w:val="center"/>
            <w:hideMark/>
          </w:tcPr>
          <w:p w14:paraId="22B317B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Collective action and women’s self-help group framework</w:t>
            </w:r>
          </w:p>
        </w:tc>
        <w:tc>
          <w:tcPr>
            <w:tcW w:w="2551" w:type="dxa"/>
            <w:shd w:val="clear" w:color="000000" w:fill="FFFFFF"/>
            <w:vAlign w:val="center"/>
            <w:hideMark/>
          </w:tcPr>
          <w:p w14:paraId="4BA0B332" w14:textId="6E1518E8"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Provides robust evidence that participating in group-based social structures strengthens women’s </w:t>
            </w:r>
            <w:r w:rsidR="00E75249">
              <w:rPr>
                <w:rFonts w:ascii="Book Antiqua" w:eastAsia="Times New Roman" w:hAnsi="Book Antiqua" w:cs="Times New Roman"/>
                <w:color w:val="000000"/>
                <w:kern w:val="0"/>
                <w:sz w:val="14"/>
                <w:szCs w:val="14"/>
                <w:lang w:eastAsia="en-GB"/>
                <w14:ligatures w14:val="none"/>
              </w:rPr>
              <w:t xml:space="preserve">self and </w:t>
            </w:r>
            <w:r w:rsidRPr="006F6B27">
              <w:rPr>
                <w:rFonts w:ascii="Book Antiqua" w:eastAsia="Times New Roman" w:hAnsi="Book Antiqua" w:cs="Times New Roman"/>
                <w:color w:val="000000"/>
                <w:kern w:val="0"/>
                <w:sz w:val="14"/>
                <w:szCs w:val="14"/>
                <w:lang w:eastAsia="en-GB"/>
                <w14:ligatures w14:val="none"/>
              </w:rPr>
              <w:t>economic empowerment.</w:t>
            </w:r>
          </w:p>
        </w:tc>
        <w:tc>
          <w:tcPr>
            <w:tcW w:w="2268" w:type="dxa"/>
            <w:shd w:val="clear" w:color="000000" w:fill="FFFFFF"/>
            <w:vAlign w:val="center"/>
            <w:hideMark/>
          </w:tcPr>
          <w:p w14:paraId="6F07737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 face-to-face physical self-help networks without isolating digital finance tool parameters.</w:t>
            </w:r>
          </w:p>
        </w:tc>
      </w:tr>
      <w:tr w:rsidR="006F6B27" w:rsidRPr="006F6B27" w14:paraId="2396D9C1" w14:textId="77777777" w:rsidTr="00D4200E">
        <w:trPr>
          <w:trHeight w:val="770"/>
        </w:trPr>
        <w:tc>
          <w:tcPr>
            <w:tcW w:w="388" w:type="dxa"/>
            <w:shd w:val="clear" w:color="000000" w:fill="FFFFFF"/>
            <w:vAlign w:val="center"/>
            <w:hideMark/>
          </w:tcPr>
          <w:p w14:paraId="7397CDE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48</w:t>
            </w:r>
          </w:p>
        </w:tc>
        <w:tc>
          <w:tcPr>
            <w:tcW w:w="1592" w:type="dxa"/>
            <w:shd w:val="clear" w:color="000000" w:fill="FFFFFF"/>
            <w:vAlign w:val="center"/>
            <w:hideMark/>
          </w:tcPr>
          <w:p w14:paraId="21C245D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Kumari, D., Giri, A.K. and Saruparia, C. (2025)</w:t>
            </w:r>
          </w:p>
        </w:tc>
        <w:tc>
          <w:tcPr>
            <w:tcW w:w="1134" w:type="dxa"/>
            <w:shd w:val="clear" w:color="000000" w:fill="FFFFFF"/>
            <w:vAlign w:val="center"/>
            <w:hideMark/>
          </w:tcPr>
          <w:p w14:paraId="53757CDF" w14:textId="77777777" w:rsidR="00E75249"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Panel data </w:t>
            </w:r>
          </w:p>
          <w:p w14:paraId="34FE5B4B" w14:textId="7230C153"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(26 Asian countries</w:t>
            </w:r>
            <w:r w:rsidR="00E75249">
              <w:rPr>
                <w:rFonts w:ascii="Book Antiqua" w:eastAsia="Times New Roman" w:hAnsi="Book Antiqua" w:cs="Times New Roman"/>
                <w:color w:val="000000"/>
                <w:kern w:val="0"/>
                <w:sz w:val="14"/>
                <w:szCs w:val="14"/>
                <w:lang w:eastAsia="en-GB"/>
                <w14:ligatures w14:val="none"/>
              </w:rPr>
              <w:t>)</w:t>
            </w:r>
          </w:p>
        </w:tc>
        <w:tc>
          <w:tcPr>
            <w:tcW w:w="1276" w:type="dxa"/>
            <w:shd w:val="clear" w:color="000000" w:fill="FFFFFF"/>
            <w:vAlign w:val="center"/>
            <w:hideMark/>
          </w:tcPr>
          <w:p w14:paraId="1D010E5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Capability Approach; Financial Inclusion Theory</w:t>
            </w:r>
          </w:p>
        </w:tc>
        <w:tc>
          <w:tcPr>
            <w:tcW w:w="2551" w:type="dxa"/>
            <w:shd w:val="clear" w:color="000000" w:fill="FFFFFF"/>
            <w:vAlign w:val="center"/>
            <w:hideMark/>
          </w:tcPr>
          <w:p w14:paraId="4C8FB4A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Gender-based digital financial inclusion and women's empowerment significantly reduce poverty across Asia.</w:t>
            </w:r>
          </w:p>
        </w:tc>
        <w:tc>
          <w:tcPr>
            <w:tcW w:w="2268" w:type="dxa"/>
            <w:shd w:val="clear" w:color="000000" w:fill="FFFFFF"/>
            <w:vAlign w:val="center"/>
            <w:hideMark/>
          </w:tcPr>
          <w:p w14:paraId="401292C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examine household-level behavioural adoption.</w:t>
            </w:r>
          </w:p>
        </w:tc>
      </w:tr>
      <w:tr w:rsidR="006F6B27" w:rsidRPr="006F6B27" w14:paraId="2C5E6C49" w14:textId="77777777" w:rsidTr="00E75249">
        <w:trPr>
          <w:trHeight w:val="774"/>
        </w:trPr>
        <w:tc>
          <w:tcPr>
            <w:tcW w:w="388" w:type="dxa"/>
            <w:shd w:val="clear" w:color="000000" w:fill="FFFFFF"/>
            <w:vAlign w:val="center"/>
            <w:hideMark/>
          </w:tcPr>
          <w:p w14:paraId="6D2C90A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49</w:t>
            </w:r>
          </w:p>
        </w:tc>
        <w:tc>
          <w:tcPr>
            <w:tcW w:w="1592" w:type="dxa"/>
            <w:shd w:val="clear" w:color="000000" w:fill="FFFFFF"/>
            <w:vAlign w:val="center"/>
            <w:hideMark/>
          </w:tcPr>
          <w:p w14:paraId="61B7860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Lee &amp; Shin (2018)</w:t>
            </w:r>
          </w:p>
        </w:tc>
        <w:tc>
          <w:tcPr>
            <w:tcW w:w="1134" w:type="dxa"/>
            <w:shd w:val="clear" w:color="000000" w:fill="FFFFFF"/>
            <w:vAlign w:val="center"/>
            <w:hideMark/>
          </w:tcPr>
          <w:p w14:paraId="589DAF8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and ecosystem mapping</w:t>
            </w:r>
          </w:p>
        </w:tc>
        <w:tc>
          <w:tcPr>
            <w:tcW w:w="1276" w:type="dxa"/>
            <w:shd w:val="clear" w:color="000000" w:fill="FFFFFF"/>
            <w:vAlign w:val="center"/>
            <w:hideMark/>
          </w:tcPr>
          <w:p w14:paraId="3462D67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FinTech ecosystem business model framework</w:t>
            </w:r>
          </w:p>
        </w:tc>
        <w:tc>
          <w:tcPr>
            <w:tcW w:w="2551" w:type="dxa"/>
            <w:shd w:val="clear" w:color="000000" w:fill="FFFFFF"/>
            <w:vAlign w:val="center"/>
            <w:hideMark/>
          </w:tcPr>
          <w:p w14:paraId="4ECA243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Maps the FinTech ecosystem in five core elements (startups, developers, governments, incumbents, users) and various business model logics.</w:t>
            </w:r>
          </w:p>
        </w:tc>
        <w:tc>
          <w:tcPr>
            <w:tcW w:w="2268" w:type="dxa"/>
            <w:shd w:val="clear" w:color="000000" w:fill="FFFFFF"/>
            <w:vAlign w:val="center"/>
            <w:hideMark/>
          </w:tcPr>
          <w:p w14:paraId="3BDD1AE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Analyses commercial business strategy from an industrial perspective without any gender or development lens.</w:t>
            </w:r>
          </w:p>
        </w:tc>
      </w:tr>
      <w:tr w:rsidR="006F6B27" w:rsidRPr="006F6B27" w14:paraId="3071E85E" w14:textId="77777777" w:rsidTr="00D4200E">
        <w:trPr>
          <w:trHeight w:val="1150"/>
        </w:trPr>
        <w:tc>
          <w:tcPr>
            <w:tcW w:w="388" w:type="dxa"/>
            <w:shd w:val="clear" w:color="000000" w:fill="FFFFFF"/>
            <w:vAlign w:val="center"/>
            <w:hideMark/>
          </w:tcPr>
          <w:p w14:paraId="3D6CE7DD"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50</w:t>
            </w:r>
          </w:p>
        </w:tc>
        <w:tc>
          <w:tcPr>
            <w:tcW w:w="1592" w:type="dxa"/>
            <w:shd w:val="clear" w:color="000000" w:fill="FFFFFF"/>
            <w:vAlign w:val="center"/>
            <w:hideMark/>
          </w:tcPr>
          <w:p w14:paraId="1607DDB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Lee, J.N., Morduch, J., Ravindran, S., Shonchoy, A. and Zaman, H. (2021)</w:t>
            </w:r>
          </w:p>
        </w:tc>
        <w:tc>
          <w:tcPr>
            <w:tcW w:w="1134" w:type="dxa"/>
            <w:shd w:val="clear" w:color="000000" w:fill="FFFFFF"/>
            <w:vAlign w:val="center"/>
            <w:hideMark/>
          </w:tcPr>
          <w:p w14:paraId="46D21D9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Experimental field study / Randomized Controlled Trial </w:t>
            </w:r>
          </w:p>
        </w:tc>
        <w:tc>
          <w:tcPr>
            <w:tcW w:w="1276" w:type="dxa"/>
            <w:shd w:val="clear" w:color="000000" w:fill="FFFFFF"/>
            <w:vAlign w:val="center"/>
            <w:hideMark/>
          </w:tcPr>
          <w:p w14:paraId="05C6B8E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Poverty, migration, and digital remittance framework</w:t>
            </w:r>
          </w:p>
        </w:tc>
        <w:tc>
          <w:tcPr>
            <w:tcW w:w="2551" w:type="dxa"/>
            <w:shd w:val="clear" w:color="000000" w:fill="FFFFFF"/>
            <w:vAlign w:val="center"/>
            <w:hideMark/>
          </w:tcPr>
          <w:p w14:paraId="33AF1CA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Shows that urban-to-rural mobile banking remittances significantly reduce rural household poverty and buffer against shocks in Bangladesh.</w:t>
            </w:r>
          </w:p>
        </w:tc>
        <w:tc>
          <w:tcPr>
            <w:tcW w:w="2268" w:type="dxa"/>
            <w:shd w:val="clear" w:color="000000" w:fill="FFFFFF"/>
            <w:vAlign w:val="center"/>
            <w:hideMark/>
          </w:tcPr>
          <w:p w14:paraId="5FEA094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predominantly on migration-remittance pathways rather than intra-household female bargaining metrics or platform cues.</w:t>
            </w:r>
          </w:p>
        </w:tc>
      </w:tr>
      <w:tr w:rsidR="006F6B27" w:rsidRPr="006F6B27" w14:paraId="3F98497A" w14:textId="77777777" w:rsidTr="00E77EE5">
        <w:trPr>
          <w:trHeight w:val="557"/>
        </w:trPr>
        <w:tc>
          <w:tcPr>
            <w:tcW w:w="388" w:type="dxa"/>
            <w:shd w:val="clear" w:color="000000" w:fill="FFFFFF"/>
            <w:vAlign w:val="center"/>
            <w:hideMark/>
          </w:tcPr>
          <w:p w14:paraId="1CEC2B4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51</w:t>
            </w:r>
          </w:p>
        </w:tc>
        <w:tc>
          <w:tcPr>
            <w:tcW w:w="1592" w:type="dxa"/>
            <w:shd w:val="clear" w:color="000000" w:fill="FFFFFF"/>
            <w:vAlign w:val="center"/>
            <w:hideMark/>
          </w:tcPr>
          <w:p w14:paraId="2B440C9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Lee, J.N., Morduch, J., Ravindran, S. and Shonchoy, A.S., 2022. </w:t>
            </w:r>
          </w:p>
        </w:tc>
        <w:tc>
          <w:tcPr>
            <w:tcW w:w="1134" w:type="dxa"/>
            <w:shd w:val="clear" w:color="000000" w:fill="FFFFFF"/>
            <w:vAlign w:val="center"/>
            <w:hideMark/>
          </w:tcPr>
          <w:p w14:paraId="6CA2FA1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Randomised Controlled Trial (RCT)</w:t>
            </w:r>
          </w:p>
        </w:tc>
        <w:tc>
          <w:tcPr>
            <w:tcW w:w="1276" w:type="dxa"/>
            <w:shd w:val="clear" w:color="000000" w:fill="FFFFFF"/>
            <w:vAlign w:val="center"/>
            <w:hideMark/>
          </w:tcPr>
          <w:p w14:paraId="4361B91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Behavioural Economics</w:t>
            </w:r>
          </w:p>
        </w:tc>
        <w:tc>
          <w:tcPr>
            <w:tcW w:w="2551" w:type="dxa"/>
            <w:shd w:val="clear" w:color="000000" w:fill="FFFFFF"/>
            <w:vAlign w:val="center"/>
            <w:hideMark/>
          </w:tcPr>
          <w:p w14:paraId="1705CAAC" w14:textId="2F3489A0"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Financial training dramatically increased women's </w:t>
            </w:r>
            <w:r w:rsidR="00E77EE5">
              <w:rPr>
                <w:rFonts w:ascii="Book Antiqua" w:eastAsia="Times New Roman" w:hAnsi="Book Antiqua" w:cs="Times New Roman"/>
                <w:color w:val="000000"/>
                <w:kern w:val="0"/>
                <w:sz w:val="14"/>
                <w:szCs w:val="14"/>
                <w:lang w:eastAsia="en-GB"/>
                <w14:ligatures w14:val="none"/>
              </w:rPr>
              <w:t xml:space="preserve">fintech </w:t>
            </w:r>
            <w:r w:rsidRPr="006F6B27">
              <w:rPr>
                <w:rFonts w:ascii="Book Antiqua" w:eastAsia="Times New Roman" w:hAnsi="Book Antiqua" w:cs="Times New Roman"/>
                <w:color w:val="000000"/>
                <w:kern w:val="0"/>
                <w:sz w:val="14"/>
                <w:szCs w:val="14"/>
                <w:lang w:eastAsia="en-GB"/>
                <w14:ligatures w14:val="none"/>
              </w:rPr>
              <w:t>adoption in Bangladesh and substantially reduced the gender gap.</w:t>
            </w:r>
          </w:p>
        </w:tc>
        <w:tc>
          <w:tcPr>
            <w:tcW w:w="2268" w:type="dxa"/>
            <w:shd w:val="clear" w:color="000000" w:fill="FFFFFF"/>
            <w:vAlign w:val="center"/>
            <w:hideMark/>
          </w:tcPr>
          <w:p w14:paraId="543CE7D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 adoption and remittances rather than broader financial inclusion.</w:t>
            </w:r>
          </w:p>
        </w:tc>
      </w:tr>
      <w:tr w:rsidR="006F6B27" w:rsidRPr="006F6B27" w14:paraId="262163FE" w14:textId="77777777" w:rsidTr="00E77EE5">
        <w:trPr>
          <w:trHeight w:val="699"/>
        </w:trPr>
        <w:tc>
          <w:tcPr>
            <w:tcW w:w="388" w:type="dxa"/>
            <w:shd w:val="clear" w:color="000000" w:fill="FFFFFF"/>
            <w:vAlign w:val="center"/>
            <w:hideMark/>
          </w:tcPr>
          <w:p w14:paraId="5047A3A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lastRenderedPageBreak/>
              <w:t>52</w:t>
            </w:r>
          </w:p>
        </w:tc>
        <w:tc>
          <w:tcPr>
            <w:tcW w:w="1592" w:type="dxa"/>
            <w:shd w:val="clear" w:color="000000" w:fill="FFFFFF"/>
            <w:vAlign w:val="center"/>
            <w:hideMark/>
          </w:tcPr>
          <w:p w14:paraId="675D87A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Loko, M. B., &amp; Yang, Y. (2022)</w:t>
            </w:r>
          </w:p>
        </w:tc>
        <w:tc>
          <w:tcPr>
            <w:tcW w:w="1134" w:type="dxa"/>
            <w:shd w:val="clear" w:color="000000" w:fill="FFFFFF"/>
            <w:vAlign w:val="center"/>
            <w:hideMark/>
          </w:tcPr>
          <w:p w14:paraId="0A29A03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empirical analysis</w:t>
            </w:r>
          </w:p>
        </w:tc>
        <w:tc>
          <w:tcPr>
            <w:tcW w:w="1276" w:type="dxa"/>
            <w:shd w:val="clear" w:color="000000" w:fill="FFFFFF"/>
            <w:vAlign w:val="center"/>
            <w:hideMark/>
          </w:tcPr>
          <w:p w14:paraId="79F3CDD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Human Capital Theory</w:t>
            </w:r>
          </w:p>
        </w:tc>
        <w:tc>
          <w:tcPr>
            <w:tcW w:w="2551" w:type="dxa"/>
            <w:shd w:val="clear" w:color="000000" w:fill="FFFFFF"/>
            <w:vAlign w:val="center"/>
            <w:hideMark/>
          </w:tcPr>
          <w:p w14:paraId="192DBBD5" w14:textId="64EDF58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Fintech adoption increases female employment and reduces gender inequality, especially where firms lack traditional finance. </w:t>
            </w:r>
          </w:p>
        </w:tc>
        <w:tc>
          <w:tcPr>
            <w:tcW w:w="2268" w:type="dxa"/>
            <w:shd w:val="clear" w:color="000000" w:fill="FFFFFF"/>
            <w:vAlign w:val="center"/>
            <w:hideMark/>
          </w:tcPr>
          <w:p w14:paraId="0A8B895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Firm-level evidence needs validation at household and consumer levels.</w:t>
            </w:r>
          </w:p>
        </w:tc>
      </w:tr>
      <w:tr w:rsidR="006F6B27" w:rsidRPr="006F6B27" w14:paraId="7329378F" w14:textId="77777777" w:rsidTr="00E77EE5">
        <w:trPr>
          <w:trHeight w:val="695"/>
        </w:trPr>
        <w:tc>
          <w:tcPr>
            <w:tcW w:w="388" w:type="dxa"/>
            <w:shd w:val="clear" w:color="000000" w:fill="FFFFFF"/>
            <w:vAlign w:val="center"/>
            <w:hideMark/>
          </w:tcPr>
          <w:p w14:paraId="6A05CB6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53</w:t>
            </w:r>
          </w:p>
        </w:tc>
        <w:tc>
          <w:tcPr>
            <w:tcW w:w="1592" w:type="dxa"/>
            <w:shd w:val="clear" w:color="000000" w:fill="FFFFFF"/>
            <w:vAlign w:val="center"/>
            <w:hideMark/>
          </w:tcPr>
          <w:p w14:paraId="7B584CB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Lye, C.-T., Tay, L.-Y., Ng, T.-H. et al. (2025) </w:t>
            </w:r>
          </w:p>
        </w:tc>
        <w:tc>
          <w:tcPr>
            <w:tcW w:w="1134" w:type="dxa"/>
            <w:shd w:val="clear" w:color="000000" w:fill="FFFFFF"/>
            <w:vAlign w:val="center"/>
            <w:hideMark/>
          </w:tcPr>
          <w:p w14:paraId="0583C15B" w14:textId="6885BA3F"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PRISMA-based </w:t>
            </w:r>
            <w:r w:rsidR="00E77EE5">
              <w:rPr>
                <w:rFonts w:ascii="Book Antiqua" w:eastAsia="Times New Roman" w:hAnsi="Book Antiqua" w:cs="Times New Roman"/>
                <w:color w:val="000000"/>
                <w:kern w:val="0"/>
                <w:sz w:val="14"/>
                <w:szCs w:val="14"/>
                <w:lang w:eastAsia="en-GB"/>
                <w14:ligatures w14:val="none"/>
              </w:rPr>
              <w:t>SLR</w:t>
            </w:r>
            <w:r w:rsidRPr="006F6B27">
              <w:rPr>
                <w:rFonts w:ascii="Book Antiqua" w:eastAsia="Times New Roman" w:hAnsi="Book Antiqua" w:cs="Times New Roman"/>
                <w:color w:val="000000"/>
                <w:kern w:val="0"/>
                <w:sz w:val="14"/>
                <w:szCs w:val="14"/>
                <w:lang w:eastAsia="en-GB"/>
                <w14:ligatures w14:val="none"/>
              </w:rPr>
              <w:t xml:space="preserve"> (185 studies)</w:t>
            </w:r>
          </w:p>
        </w:tc>
        <w:tc>
          <w:tcPr>
            <w:tcW w:w="1276" w:type="dxa"/>
            <w:shd w:val="clear" w:color="000000" w:fill="FFFFFF"/>
            <w:vAlign w:val="center"/>
            <w:hideMark/>
          </w:tcPr>
          <w:p w14:paraId="2A9D6E7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Vulnerability Framework</w:t>
            </w:r>
          </w:p>
        </w:tc>
        <w:tc>
          <w:tcPr>
            <w:tcW w:w="2551" w:type="dxa"/>
            <w:shd w:val="clear" w:color="000000" w:fill="FFFFFF"/>
            <w:vAlign w:val="center"/>
            <w:hideMark/>
          </w:tcPr>
          <w:p w14:paraId="74A2A93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Fintech generally promotes inclusion for vulnerable groups, but evidence on older adults and people with disabilities is limited.</w:t>
            </w:r>
          </w:p>
        </w:tc>
        <w:tc>
          <w:tcPr>
            <w:tcW w:w="2268" w:type="dxa"/>
            <w:shd w:val="clear" w:color="000000" w:fill="FFFFFF"/>
            <w:vAlign w:val="center"/>
            <w:hideMark/>
          </w:tcPr>
          <w:p w14:paraId="1F4347E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Greater attention is needed on comparative regional evidence and intersectional vulnerabilities.</w:t>
            </w:r>
          </w:p>
        </w:tc>
      </w:tr>
      <w:tr w:rsidR="006F6B27" w:rsidRPr="006F6B27" w14:paraId="3C3F61F1" w14:textId="77777777" w:rsidTr="00571F9F">
        <w:trPr>
          <w:trHeight w:val="421"/>
        </w:trPr>
        <w:tc>
          <w:tcPr>
            <w:tcW w:w="388" w:type="dxa"/>
            <w:shd w:val="clear" w:color="000000" w:fill="FFFFFF"/>
            <w:vAlign w:val="center"/>
            <w:hideMark/>
          </w:tcPr>
          <w:p w14:paraId="0F456B5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54</w:t>
            </w:r>
          </w:p>
        </w:tc>
        <w:tc>
          <w:tcPr>
            <w:tcW w:w="1592" w:type="dxa"/>
            <w:shd w:val="clear" w:color="000000" w:fill="FFFFFF"/>
            <w:vAlign w:val="center"/>
            <w:hideMark/>
          </w:tcPr>
          <w:p w14:paraId="75332B1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Milian, Spinola &amp; Carvalho (2019)</w:t>
            </w:r>
          </w:p>
        </w:tc>
        <w:tc>
          <w:tcPr>
            <w:tcW w:w="1134" w:type="dxa"/>
            <w:shd w:val="clear" w:color="000000" w:fill="FFFFFF"/>
            <w:vAlign w:val="center"/>
            <w:hideMark/>
          </w:tcPr>
          <w:p w14:paraId="4708E653" w14:textId="286C2B44" w:rsidR="006F6B27" w:rsidRPr="006F6B27" w:rsidRDefault="00E77EE5"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 xml:space="preserve">SLR </w:t>
            </w:r>
            <w:r w:rsidR="006F6B27" w:rsidRPr="006F6B27">
              <w:rPr>
                <w:rFonts w:ascii="Book Antiqua" w:eastAsia="Times New Roman" w:hAnsi="Book Antiqua" w:cs="Times New Roman"/>
                <w:color w:val="000000"/>
                <w:kern w:val="0"/>
                <w:sz w:val="14"/>
                <w:szCs w:val="14"/>
                <w:lang w:eastAsia="en-GB"/>
                <w14:ligatures w14:val="none"/>
              </w:rPr>
              <w:t>(119 fintech studies)</w:t>
            </w:r>
          </w:p>
        </w:tc>
        <w:tc>
          <w:tcPr>
            <w:tcW w:w="1276" w:type="dxa"/>
            <w:shd w:val="clear" w:color="000000" w:fill="FFFFFF"/>
            <w:vAlign w:val="center"/>
            <w:hideMark/>
          </w:tcPr>
          <w:p w14:paraId="3B78D76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Innovation Theory</w:t>
            </w:r>
          </w:p>
        </w:tc>
        <w:tc>
          <w:tcPr>
            <w:tcW w:w="2551" w:type="dxa"/>
            <w:shd w:val="clear" w:color="000000" w:fill="FFFFFF"/>
            <w:vAlign w:val="center"/>
            <w:hideMark/>
          </w:tcPr>
          <w:p w14:paraId="25EBFDFB" w14:textId="6AB2088C"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Identifies major fintech themes (payments, lending, crowdfunding), proposes future research agenda.</w:t>
            </w:r>
          </w:p>
        </w:tc>
        <w:tc>
          <w:tcPr>
            <w:tcW w:w="2268" w:type="dxa"/>
            <w:shd w:val="clear" w:color="000000" w:fill="FFFFFF"/>
            <w:vAlign w:val="center"/>
            <w:hideMark/>
          </w:tcPr>
          <w:p w14:paraId="697B5A2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Little evidence from developing economies and gender-focused fintech adoption.</w:t>
            </w:r>
          </w:p>
        </w:tc>
      </w:tr>
      <w:tr w:rsidR="006F6B27" w:rsidRPr="006F6B27" w14:paraId="0D6F33F8" w14:textId="77777777" w:rsidTr="00D4200E">
        <w:trPr>
          <w:trHeight w:val="960"/>
        </w:trPr>
        <w:tc>
          <w:tcPr>
            <w:tcW w:w="388" w:type="dxa"/>
            <w:shd w:val="clear" w:color="000000" w:fill="FFFFFF"/>
            <w:vAlign w:val="center"/>
            <w:hideMark/>
          </w:tcPr>
          <w:p w14:paraId="669D1C1C"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55</w:t>
            </w:r>
          </w:p>
        </w:tc>
        <w:tc>
          <w:tcPr>
            <w:tcW w:w="1592" w:type="dxa"/>
            <w:shd w:val="clear" w:color="000000" w:fill="FFFFFF"/>
            <w:vAlign w:val="center"/>
            <w:hideMark/>
          </w:tcPr>
          <w:p w14:paraId="344C5BE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Mustafa, M., Mazhar, N., Asghar, A., Usmani, M.Z., Razaq, L. and Anderson, R. (2019)</w:t>
            </w:r>
          </w:p>
        </w:tc>
        <w:tc>
          <w:tcPr>
            <w:tcW w:w="1134" w:type="dxa"/>
            <w:shd w:val="clear" w:color="000000" w:fill="FFFFFF"/>
            <w:vAlign w:val="center"/>
            <w:hideMark/>
          </w:tcPr>
          <w:p w14:paraId="706E7ED0" w14:textId="050CF3E5"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Qualitative field study (Pakistan)</w:t>
            </w:r>
          </w:p>
        </w:tc>
        <w:tc>
          <w:tcPr>
            <w:tcW w:w="1276" w:type="dxa"/>
            <w:shd w:val="clear" w:color="000000" w:fill="FFFFFF"/>
            <w:vAlign w:val="center"/>
            <w:hideMark/>
          </w:tcPr>
          <w:p w14:paraId="5A03DFD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financial needs and human-computer interaction (HCI) framework</w:t>
            </w:r>
          </w:p>
        </w:tc>
        <w:tc>
          <w:tcPr>
            <w:tcW w:w="2551" w:type="dxa"/>
            <w:shd w:val="clear" w:color="000000" w:fill="FFFFFF"/>
            <w:vAlign w:val="center"/>
            <w:hideMark/>
          </w:tcPr>
          <w:p w14:paraId="61AFBCC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Identifies that cash-in/cash-out retail networks dominated by male agents create severe physical mobility and social interaction barriers for Pakistani women.</w:t>
            </w:r>
          </w:p>
        </w:tc>
        <w:tc>
          <w:tcPr>
            <w:tcW w:w="2268" w:type="dxa"/>
            <w:shd w:val="clear" w:color="000000" w:fill="FFFFFF"/>
            <w:vAlign w:val="center"/>
            <w:hideMark/>
          </w:tcPr>
          <w:p w14:paraId="2DEA37E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Highly localized urban/peri-urban micro-entrepreneur sample; lacks multi-country comparative data.</w:t>
            </w:r>
          </w:p>
        </w:tc>
      </w:tr>
      <w:tr w:rsidR="006F6B27" w:rsidRPr="006F6B27" w14:paraId="1CCF3F21" w14:textId="77777777" w:rsidTr="00BC29F0">
        <w:trPr>
          <w:trHeight w:val="670"/>
        </w:trPr>
        <w:tc>
          <w:tcPr>
            <w:tcW w:w="388" w:type="dxa"/>
            <w:shd w:val="clear" w:color="000000" w:fill="FFFFFF"/>
            <w:vAlign w:val="center"/>
            <w:hideMark/>
          </w:tcPr>
          <w:p w14:paraId="7E297A85"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56</w:t>
            </w:r>
          </w:p>
        </w:tc>
        <w:tc>
          <w:tcPr>
            <w:tcW w:w="1592" w:type="dxa"/>
            <w:shd w:val="clear" w:color="000000" w:fill="FFFFFF"/>
            <w:vAlign w:val="center"/>
            <w:hideMark/>
          </w:tcPr>
          <w:p w14:paraId="184E40D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Natile (2019)</w:t>
            </w:r>
          </w:p>
        </w:tc>
        <w:tc>
          <w:tcPr>
            <w:tcW w:w="1134" w:type="dxa"/>
            <w:shd w:val="clear" w:color="000000" w:fill="FFFFFF"/>
            <w:vAlign w:val="center"/>
            <w:hideMark/>
          </w:tcPr>
          <w:p w14:paraId="0D197F8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Critical legal and socio-economic analysis</w:t>
            </w:r>
          </w:p>
        </w:tc>
        <w:tc>
          <w:tcPr>
            <w:tcW w:w="1276" w:type="dxa"/>
            <w:shd w:val="clear" w:color="000000" w:fill="FFFFFF"/>
            <w:vAlign w:val="center"/>
            <w:hideMark/>
          </w:tcPr>
          <w:p w14:paraId="263EEDBC" w14:textId="310DDBFD"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Feminist political economy</w:t>
            </w:r>
          </w:p>
        </w:tc>
        <w:tc>
          <w:tcPr>
            <w:tcW w:w="2551" w:type="dxa"/>
            <w:shd w:val="clear" w:color="000000" w:fill="FFFFFF"/>
            <w:vAlign w:val="center"/>
            <w:hideMark/>
          </w:tcPr>
          <w:p w14:paraId="573310E6" w14:textId="6317F877" w:rsidR="006F6B27" w:rsidRPr="006F6B27" w:rsidRDefault="00BC29F0" w:rsidP="006F6B27">
            <w:pPr>
              <w:spacing w:after="0" w:line="240" w:lineRule="auto"/>
              <w:rPr>
                <w:rFonts w:ascii="Book Antiqua" w:eastAsia="Times New Roman" w:hAnsi="Book Antiqua" w:cs="Times New Roman"/>
                <w:color w:val="000000"/>
                <w:kern w:val="0"/>
                <w:sz w:val="14"/>
                <w:szCs w:val="14"/>
                <w:lang w:eastAsia="en-GB"/>
                <w14:ligatures w14:val="none"/>
              </w:rPr>
            </w:pPr>
            <w:r>
              <w:rPr>
                <w:rFonts w:ascii="Book Antiqua" w:eastAsia="Times New Roman" w:hAnsi="Book Antiqua" w:cs="Times New Roman"/>
                <w:color w:val="000000"/>
                <w:kern w:val="0"/>
                <w:sz w:val="14"/>
                <w:szCs w:val="14"/>
                <w:lang w:eastAsia="en-GB"/>
                <w14:ligatures w14:val="none"/>
              </w:rPr>
              <w:t>D</w:t>
            </w:r>
            <w:r w:rsidR="006F6B27" w:rsidRPr="006F6B27">
              <w:rPr>
                <w:rFonts w:ascii="Book Antiqua" w:eastAsia="Times New Roman" w:hAnsi="Book Antiqua" w:cs="Times New Roman"/>
                <w:color w:val="000000"/>
                <w:kern w:val="0"/>
                <w:sz w:val="14"/>
                <w:szCs w:val="14"/>
                <w:lang w:eastAsia="en-GB"/>
                <w14:ligatures w14:val="none"/>
              </w:rPr>
              <w:t>igital financial inclusion platforms often act as neutral-looking vectors that risk a localized 'feminisation of debt' and corporate exploitation.</w:t>
            </w:r>
          </w:p>
        </w:tc>
        <w:tc>
          <w:tcPr>
            <w:tcW w:w="2268" w:type="dxa"/>
            <w:shd w:val="clear" w:color="000000" w:fill="FFFFFF"/>
            <w:vAlign w:val="center"/>
            <w:hideMark/>
          </w:tcPr>
          <w:p w14:paraId="5D1C2BF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Primarily a qualitative legal-institutional critique; lacks statistical panel testing of household income effects.</w:t>
            </w:r>
          </w:p>
        </w:tc>
      </w:tr>
      <w:tr w:rsidR="006F6B27" w:rsidRPr="006F6B27" w14:paraId="6979D832" w14:textId="77777777" w:rsidTr="00D4200E">
        <w:trPr>
          <w:trHeight w:val="770"/>
        </w:trPr>
        <w:tc>
          <w:tcPr>
            <w:tcW w:w="388" w:type="dxa"/>
            <w:shd w:val="clear" w:color="000000" w:fill="FFFFFF"/>
            <w:vAlign w:val="center"/>
            <w:hideMark/>
          </w:tcPr>
          <w:p w14:paraId="55B5A8C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57</w:t>
            </w:r>
          </w:p>
        </w:tc>
        <w:tc>
          <w:tcPr>
            <w:tcW w:w="1592" w:type="dxa"/>
            <w:shd w:val="clear" w:color="000000" w:fill="FFFFFF"/>
            <w:vAlign w:val="center"/>
            <w:hideMark/>
          </w:tcPr>
          <w:p w14:paraId="3517F72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Olaoye, O.O., Shaddady, A., Tabash, M.I. and Ray, S. (2025)</w:t>
            </w:r>
          </w:p>
        </w:tc>
        <w:tc>
          <w:tcPr>
            <w:tcW w:w="1134" w:type="dxa"/>
            <w:shd w:val="clear" w:color="000000" w:fill="FFFFFF"/>
            <w:vAlign w:val="center"/>
            <w:hideMark/>
          </w:tcPr>
          <w:p w14:paraId="7371D42E" w14:textId="5652A023"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Panel econometric analysis (SSA)</w:t>
            </w:r>
          </w:p>
        </w:tc>
        <w:tc>
          <w:tcPr>
            <w:tcW w:w="1276" w:type="dxa"/>
            <w:shd w:val="clear" w:color="000000" w:fill="FFFFFF"/>
            <w:vAlign w:val="center"/>
            <w:hideMark/>
          </w:tcPr>
          <w:p w14:paraId="70E5E55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Digital Inclusion</w:t>
            </w:r>
          </w:p>
        </w:tc>
        <w:tc>
          <w:tcPr>
            <w:tcW w:w="2551" w:type="dxa"/>
            <w:shd w:val="clear" w:color="000000" w:fill="FFFFFF"/>
            <w:vAlign w:val="center"/>
            <w:hideMark/>
          </w:tcPr>
          <w:p w14:paraId="3E9B30F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FinTech significantly reduces the gender gap in financial access, but complementary digital inclusion policies are required.</w:t>
            </w:r>
          </w:p>
        </w:tc>
        <w:tc>
          <w:tcPr>
            <w:tcW w:w="2268" w:type="dxa"/>
            <w:shd w:val="clear" w:color="000000" w:fill="FFFFFF"/>
            <w:vAlign w:val="center"/>
            <w:hideMark/>
          </w:tcPr>
          <w:p w14:paraId="62B233C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only on SSA; comparable evidence from South Asia is still lacking.</w:t>
            </w:r>
          </w:p>
        </w:tc>
      </w:tr>
      <w:tr w:rsidR="006F6B27" w:rsidRPr="006F6B27" w14:paraId="4F12211D" w14:textId="77777777" w:rsidTr="00BC29F0">
        <w:trPr>
          <w:trHeight w:val="465"/>
        </w:trPr>
        <w:tc>
          <w:tcPr>
            <w:tcW w:w="388" w:type="dxa"/>
            <w:shd w:val="clear" w:color="000000" w:fill="FFFFFF"/>
            <w:vAlign w:val="center"/>
            <w:hideMark/>
          </w:tcPr>
          <w:p w14:paraId="0267F41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58</w:t>
            </w:r>
          </w:p>
        </w:tc>
        <w:tc>
          <w:tcPr>
            <w:tcW w:w="1592" w:type="dxa"/>
            <w:shd w:val="clear" w:color="000000" w:fill="FFFFFF"/>
            <w:vAlign w:val="center"/>
            <w:hideMark/>
          </w:tcPr>
          <w:p w14:paraId="690D09B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Olaoye, O.O., Tabash, M.I., Shaddady, A. and Ray, S. (2025)</w:t>
            </w:r>
          </w:p>
        </w:tc>
        <w:tc>
          <w:tcPr>
            <w:tcW w:w="1134" w:type="dxa"/>
            <w:shd w:val="clear" w:color="000000" w:fill="FFFFFF"/>
            <w:vAlign w:val="center"/>
            <w:hideMark/>
          </w:tcPr>
          <w:p w14:paraId="3439F9F6" w14:textId="580F85D6"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Panel data</w:t>
            </w:r>
            <w:r w:rsidR="00BC29F0">
              <w:rPr>
                <w:rFonts w:ascii="Book Antiqua" w:eastAsia="Times New Roman" w:hAnsi="Book Antiqua" w:cs="Times New Roman"/>
                <w:color w:val="000000"/>
                <w:kern w:val="0"/>
                <w:sz w:val="14"/>
                <w:szCs w:val="14"/>
                <w:lang w:eastAsia="en-GB"/>
                <w14:ligatures w14:val="none"/>
              </w:rPr>
              <w:t xml:space="preserve"> analysis</w:t>
            </w:r>
          </w:p>
        </w:tc>
        <w:tc>
          <w:tcPr>
            <w:tcW w:w="1276" w:type="dxa"/>
            <w:shd w:val="clear" w:color="000000" w:fill="FFFFFF"/>
            <w:vAlign w:val="center"/>
            <w:hideMark/>
          </w:tcPr>
          <w:p w14:paraId="2F372C5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Theory</w:t>
            </w:r>
          </w:p>
        </w:tc>
        <w:tc>
          <w:tcPr>
            <w:tcW w:w="2551" w:type="dxa"/>
            <w:shd w:val="clear" w:color="000000" w:fill="FFFFFF"/>
            <w:vAlign w:val="center"/>
            <w:hideMark/>
          </w:tcPr>
          <w:p w14:paraId="72AD7EA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Education and digital infrastructure are major transmission channels through which fintech deepens financial inclusion.</w:t>
            </w:r>
          </w:p>
        </w:tc>
        <w:tc>
          <w:tcPr>
            <w:tcW w:w="2268" w:type="dxa"/>
            <w:shd w:val="clear" w:color="000000" w:fill="FFFFFF"/>
            <w:vAlign w:val="center"/>
            <w:hideMark/>
          </w:tcPr>
          <w:p w14:paraId="04E1374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examine household-level socio-cultural barriers or compare findings with Asian economies.</w:t>
            </w:r>
          </w:p>
        </w:tc>
      </w:tr>
      <w:tr w:rsidR="006F6B27" w:rsidRPr="006F6B27" w14:paraId="552EDA53" w14:textId="77777777" w:rsidTr="00BC29F0">
        <w:trPr>
          <w:trHeight w:val="475"/>
        </w:trPr>
        <w:tc>
          <w:tcPr>
            <w:tcW w:w="388" w:type="dxa"/>
            <w:shd w:val="clear" w:color="000000" w:fill="FFFFFF"/>
            <w:vAlign w:val="center"/>
            <w:hideMark/>
          </w:tcPr>
          <w:p w14:paraId="058D479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59</w:t>
            </w:r>
          </w:p>
        </w:tc>
        <w:tc>
          <w:tcPr>
            <w:tcW w:w="1592" w:type="dxa"/>
            <w:shd w:val="clear" w:color="000000" w:fill="FFFFFF"/>
            <w:vAlign w:val="center"/>
            <w:hideMark/>
          </w:tcPr>
          <w:p w14:paraId="17FFBDC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Ozili (2018)</w:t>
            </w:r>
          </w:p>
        </w:tc>
        <w:tc>
          <w:tcPr>
            <w:tcW w:w="1134" w:type="dxa"/>
            <w:shd w:val="clear" w:color="000000" w:fill="FFFFFF"/>
            <w:vAlign w:val="center"/>
            <w:hideMark/>
          </w:tcPr>
          <w:p w14:paraId="492039E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Review</w:t>
            </w:r>
          </w:p>
        </w:tc>
        <w:tc>
          <w:tcPr>
            <w:tcW w:w="1276" w:type="dxa"/>
            <w:shd w:val="clear" w:color="000000" w:fill="FFFFFF"/>
            <w:vAlign w:val="center"/>
            <w:hideMark/>
          </w:tcPr>
          <w:p w14:paraId="745B59F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Benefits-versus-risks lens </w:t>
            </w:r>
          </w:p>
        </w:tc>
        <w:tc>
          <w:tcPr>
            <w:tcW w:w="2551" w:type="dxa"/>
            <w:shd w:val="clear" w:color="000000" w:fill="FFFFFF"/>
            <w:vAlign w:val="center"/>
            <w:hideMark/>
          </w:tcPr>
          <w:p w14:paraId="6F975841" w14:textId="4BDAA0B4"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finance support</w:t>
            </w:r>
            <w:r w:rsidR="00BC29F0">
              <w:rPr>
                <w:rFonts w:ascii="Book Antiqua" w:eastAsia="Times New Roman" w:hAnsi="Book Antiqua" w:cs="Times New Roman"/>
                <w:color w:val="000000"/>
                <w:kern w:val="0"/>
                <w:sz w:val="14"/>
                <w:szCs w:val="14"/>
                <w:lang w:eastAsia="en-GB"/>
                <w14:ligatures w14:val="none"/>
              </w:rPr>
              <w:t>s</w:t>
            </w:r>
            <w:r w:rsidRPr="006F6B27">
              <w:rPr>
                <w:rFonts w:ascii="Book Antiqua" w:eastAsia="Times New Roman" w:hAnsi="Book Antiqua" w:cs="Times New Roman"/>
                <w:color w:val="000000"/>
                <w:kern w:val="0"/>
                <w:sz w:val="14"/>
                <w:szCs w:val="14"/>
                <w:lang w:eastAsia="en-GB"/>
                <w14:ligatures w14:val="none"/>
              </w:rPr>
              <w:t xml:space="preserve"> growth in </w:t>
            </w:r>
            <w:r w:rsidR="00BC29F0" w:rsidRPr="006F6B27">
              <w:rPr>
                <w:rFonts w:ascii="Book Antiqua" w:eastAsia="Times New Roman" w:hAnsi="Book Antiqua" w:cs="Times New Roman"/>
                <w:color w:val="000000"/>
                <w:kern w:val="0"/>
                <w:sz w:val="14"/>
                <w:szCs w:val="14"/>
                <w:lang w:eastAsia="en-GB"/>
                <w14:ligatures w14:val="none"/>
              </w:rPr>
              <w:t>favourable</w:t>
            </w:r>
            <w:r w:rsidRPr="006F6B27">
              <w:rPr>
                <w:rFonts w:ascii="Book Antiqua" w:eastAsia="Times New Roman" w:hAnsi="Book Antiqua" w:cs="Times New Roman"/>
                <w:color w:val="000000"/>
                <w:kern w:val="0"/>
                <w:sz w:val="14"/>
                <w:szCs w:val="14"/>
                <w:lang w:eastAsia="en-GB"/>
                <w14:ligatures w14:val="none"/>
              </w:rPr>
              <w:t xml:space="preserve"> conditions, but its </w:t>
            </w:r>
            <w:r w:rsidR="00BC29F0" w:rsidRPr="006F6B27">
              <w:rPr>
                <w:rFonts w:ascii="Book Antiqua" w:eastAsia="Times New Roman" w:hAnsi="Book Antiqua" w:cs="Times New Roman"/>
                <w:color w:val="000000"/>
                <w:kern w:val="0"/>
                <w:sz w:val="14"/>
                <w:szCs w:val="14"/>
                <w:lang w:eastAsia="en-GB"/>
                <w14:ligatures w14:val="none"/>
              </w:rPr>
              <w:t>actions</w:t>
            </w:r>
            <w:r w:rsidRPr="006F6B27">
              <w:rPr>
                <w:rFonts w:ascii="Book Antiqua" w:eastAsia="Times New Roman" w:hAnsi="Book Antiqua" w:cs="Times New Roman"/>
                <w:color w:val="000000"/>
                <w:kern w:val="0"/>
                <w:sz w:val="14"/>
                <w:szCs w:val="14"/>
                <w:lang w:eastAsia="en-GB"/>
                <w14:ligatures w14:val="none"/>
              </w:rPr>
              <w:t xml:space="preserve"> during economic downturns remains poorly understood. </w:t>
            </w:r>
          </w:p>
        </w:tc>
        <w:tc>
          <w:tcPr>
            <w:tcW w:w="2268" w:type="dxa"/>
            <w:shd w:val="clear" w:color="000000" w:fill="FFFFFF"/>
            <w:vAlign w:val="center"/>
            <w:hideMark/>
          </w:tcPr>
          <w:p w14:paraId="1C21BBD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Calls for more collaborative research and stronger regulatory frameworks balancing inclusion against stability risk.</w:t>
            </w:r>
          </w:p>
        </w:tc>
      </w:tr>
      <w:tr w:rsidR="006F6B27" w:rsidRPr="006F6B27" w14:paraId="7605C082" w14:textId="77777777" w:rsidTr="00BC29F0">
        <w:trPr>
          <w:trHeight w:val="612"/>
        </w:trPr>
        <w:tc>
          <w:tcPr>
            <w:tcW w:w="388" w:type="dxa"/>
            <w:shd w:val="clear" w:color="000000" w:fill="FFFFFF"/>
            <w:vAlign w:val="center"/>
            <w:hideMark/>
          </w:tcPr>
          <w:p w14:paraId="017A9219"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60</w:t>
            </w:r>
          </w:p>
        </w:tc>
        <w:tc>
          <w:tcPr>
            <w:tcW w:w="1592" w:type="dxa"/>
            <w:shd w:val="clear" w:color="000000" w:fill="FFFFFF"/>
            <w:vAlign w:val="center"/>
            <w:hideMark/>
          </w:tcPr>
          <w:p w14:paraId="56438AC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Ozili (2020)</w:t>
            </w:r>
          </w:p>
        </w:tc>
        <w:tc>
          <w:tcPr>
            <w:tcW w:w="1134" w:type="dxa"/>
            <w:shd w:val="clear" w:color="000000" w:fill="FFFFFF"/>
            <w:vAlign w:val="center"/>
            <w:hideMark/>
          </w:tcPr>
          <w:p w14:paraId="7830730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Critical narrative review </w:t>
            </w:r>
          </w:p>
        </w:tc>
        <w:tc>
          <w:tcPr>
            <w:tcW w:w="1276" w:type="dxa"/>
            <w:shd w:val="clear" w:color="000000" w:fill="FFFFFF"/>
            <w:vAlign w:val="center"/>
            <w:hideMark/>
          </w:tcPr>
          <w:p w14:paraId="75BA8ED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Theory</w:t>
            </w:r>
          </w:p>
        </w:tc>
        <w:tc>
          <w:tcPr>
            <w:tcW w:w="2551" w:type="dxa"/>
            <w:shd w:val="clear" w:color="000000" w:fill="FFFFFF"/>
            <w:vAlign w:val="center"/>
            <w:hideMark/>
          </w:tcPr>
          <w:p w14:paraId="1106B52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Reviews determinants of financial inclusion and digital finance.</w:t>
            </w:r>
          </w:p>
        </w:tc>
        <w:tc>
          <w:tcPr>
            <w:tcW w:w="2268" w:type="dxa"/>
            <w:shd w:val="clear" w:color="000000" w:fill="FFFFFF"/>
            <w:vAlign w:val="center"/>
            <w:hideMark/>
          </w:tcPr>
          <w:p w14:paraId="495FA9E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Calls for more longitudinal and cross-country empirical studies on women's fintech adoption.</w:t>
            </w:r>
          </w:p>
        </w:tc>
      </w:tr>
      <w:tr w:rsidR="006F6B27" w:rsidRPr="006F6B27" w14:paraId="08DBC238" w14:textId="77777777" w:rsidTr="007E1EE9">
        <w:trPr>
          <w:trHeight w:val="564"/>
        </w:trPr>
        <w:tc>
          <w:tcPr>
            <w:tcW w:w="388" w:type="dxa"/>
            <w:shd w:val="clear" w:color="000000" w:fill="FFFFFF"/>
            <w:vAlign w:val="center"/>
            <w:hideMark/>
          </w:tcPr>
          <w:p w14:paraId="55B720E7"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61</w:t>
            </w:r>
          </w:p>
        </w:tc>
        <w:tc>
          <w:tcPr>
            <w:tcW w:w="1592" w:type="dxa"/>
            <w:shd w:val="clear" w:color="000000" w:fill="FFFFFF"/>
            <w:vAlign w:val="center"/>
            <w:hideMark/>
          </w:tcPr>
          <w:p w14:paraId="6D762A7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Padma Kiran &amp; Vedala (2025)</w:t>
            </w:r>
          </w:p>
        </w:tc>
        <w:tc>
          <w:tcPr>
            <w:tcW w:w="1134" w:type="dxa"/>
            <w:shd w:val="clear" w:color="000000" w:fill="FFFFFF"/>
            <w:vAlign w:val="center"/>
            <w:hideMark/>
          </w:tcPr>
          <w:p w14:paraId="6948DED1" w14:textId="357D0A58"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survey-based evaluation (India)</w:t>
            </w:r>
          </w:p>
        </w:tc>
        <w:tc>
          <w:tcPr>
            <w:tcW w:w="1276" w:type="dxa"/>
            <w:shd w:val="clear" w:color="000000" w:fill="FFFFFF"/>
            <w:vAlign w:val="center"/>
            <w:hideMark/>
          </w:tcPr>
          <w:p w14:paraId="2B98D6DD" w14:textId="190290D6"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Extended UTAUT </w:t>
            </w:r>
          </w:p>
        </w:tc>
        <w:tc>
          <w:tcPr>
            <w:tcW w:w="2551" w:type="dxa"/>
            <w:shd w:val="clear" w:color="000000" w:fill="FFFFFF"/>
            <w:vAlign w:val="center"/>
            <w:hideMark/>
          </w:tcPr>
          <w:p w14:paraId="21779515" w14:textId="242F68D4"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Shows platform trust, add-on services, and promotions drive active usage </w:t>
            </w:r>
            <w:r w:rsidR="007E1EE9" w:rsidRPr="006F6B27">
              <w:rPr>
                <w:rFonts w:ascii="Book Antiqua" w:eastAsia="Times New Roman" w:hAnsi="Book Antiqua" w:cs="Times New Roman"/>
                <w:color w:val="000000"/>
                <w:kern w:val="0"/>
                <w:sz w:val="14"/>
                <w:szCs w:val="14"/>
                <w:lang w:eastAsia="en-GB"/>
                <w14:ligatures w14:val="none"/>
              </w:rPr>
              <w:t>intents</w:t>
            </w:r>
            <w:r w:rsidRPr="006F6B27">
              <w:rPr>
                <w:rFonts w:ascii="Book Antiqua" w:eastAsia="Times New Roman" w:hAnsi="Book Antiqua" w:cs="Times New Roman"/>
                <w:color w:val="000000"/>
                <w:kern w:val="0"/>
                <w:sz w:val="14"/>
                <w:szCs w:val="14"/>
                <w:lang w:eastAsia="en-GB"/>
                <w14:ligatures w14:val="none"/>
              </w:rPr>
              <w:t xml:space="preserve"> for UPI-style interfaces.</w:t>
            </w:r>
          </w:p>
        </w:tc>
        <w:tc>
          <w:tcPr>
            <w:tcW w:w="2268" w:type="dxa"/>
            <w:shd w:val="clear" w:color="000000" w:fill="FFFFFF"/>
            <w:vAlign w:val="center"/>
            <w:hideMark/>
          </w:tcPr>
          <w:p w14:paraId="039F1455" w14:textId="72E5303F"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Sample is drawn from general platform users; </w:t>
            </w:r>
            <w:r w:rsidR="007A6C66">
              <w:rPr>
                <w:rFonts w:ascii="Book Antiqua" w:eastAsia="Times New Roman" w:hAnsi="Book Antiqua" w:cs="Times New Roman"/>
                <w:color w:val="000000"/>
                <w:kern w:val="0"/>
                <w:sz w:val="14"/>
                <w:szCs w:val="14"/>
                <w:lang w:eastAsia="en-GB"/>
                <w14:ligatures w14:val="none"/>
              </w:rPr>
              <w:t xml:space="preserve">does </w:t>
            </w:r>
            <w:r w:rsidRPr="006F6B27">
              <w:rPr>
                <w:rFonts w:ascii="Book Antiqua" w:eastAsia="Times New Roman" w:hAnsi="Book Antiqua" w:cs="Times New Roman"/>
                <w:color w:val="000000"/>
                <w:kern w:val="0"/>
                <w:sz w:val="14"/>
                <w:szCs w:val="14"/>
                <w:lang w:eastAsia="en-GB"/>
                <w14:ligatures w14:val="none"/>
              </w:rPr>
              <w:t xml:space="preserve">not capture specific socio-cultural </w:t>
            </w:r>
            <w:r w:rsidR="007A6C66" w:rsidRPr="006F6B27">
              <w:rPr>
                <w:rFonts w:ascii="Book Antiqua" w:eastAsia="Times New Roman" w:hAnsi="Book Antiqua" w:cs="Times New Roman"/>
                <w:color w:val="000000"/>
                <w:kern w:val="0"/>
                <w:sz w:val="14"/>
                <w:szCs w:val="14"/>
                <w:lang w:eastAsia="en-GB"/>
                <w14:ligatures w14:val="none"/>
              </w:rPr>
              <w:t>limit</w:t>
            </w:r>
            <w:r w:rsidR="007E1EE9">
              <w:rPr>
                <w:rFonts w:ascii="Book Antiqua" w:eastAsia="Times New Roman" w:hAnsi="Book Antiqua" w:cs="Times New Roman"/>
                <w:color w:val="000000"/>
                <w:kern w:val="0"/>
                <w:sz w:val="14"/>
                <w:szCs w:val="14"/>
                <w:lang w:eastAsia="en-GB"/>
                <w14:ligatures w14:val="none"/>
              </w:rPr>
              <w:t>s</w:t>
            </w:r>
            <w:r w:rsidRPr="006F6B27">
              <w:rPr>
                <w:rFonts w:ascii="Book Antiqua" w:eastAsia="Times New Roman" w:hAnsi="Book Antiqua" w:cs="Times New Roman"/>
                <w:color w:val="000000"/>
                <w:kern w:val="0"/>
                <w:sz w:val="14"/>
                <w:szCs w:val="14"/>
                <w:lang w:eastAsia="en-GB"/>
                <w14:ligatures w14:val="none"/>
              </w:rPr>
              <w:t>.</w:t>
            </w:r>
          </w:p>
        </w:tc>
      </w:tr>
      <w:tr w:rsidR="006F6B27" w:rsidRPr="006F6B27" w14:paraId="4940872A" w14:textId="77777777" w:rsidTr="00752A92">
        <w:trPr>
          <w:trHeight w:val="419"/>
        </w:trPr>
        <w:tc>
          <w:tcPr>
            <w:tcW w:w="388" w:type="dxa"/>
            <w:shd w:val="clear" w:color="000000" w:fill="FFFFFF"/>
            <w:vAlign w:val="center"/>
            <w:hideMark/>
          </w:tcPr>
          <w:p w14:paraId="71B6A0CD"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62</w:t>
            </w:r>
          </w:p>
        </w:tc>
        <w:tc>
          <w:tcPr>
            <w:tcW w:w="1592" w:type="dxa"/>
            <w:shd w:val="clear" w:color="000000" w:fill="FFFFFF"/>
            <w:vAlign w:val="center"/>
            <w:hideMark/>
          </w:tcPr>
          <w:p w14:paraId="0643DD1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Parasuraman (2000)</w:t>
            </w:r>
          </w:p>
        </w:tc>
        <w:tc>
          <w:tcPr>
            <w:tcW w:w="1134" w:type="dxa"/>
            <w:shd w:val="clear" w:color="000000" w:fill="FFFFFF"/>
            <w:vAlign w:val="center"/>
            <w:hideMark/>
          </w:tcPr>
          <w:p w14:paraId="7485CF0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Scale development</w:t>
            </w:r>
          </w:p>
        </w:tc>
        <w:tc>
          <w:tcPr>
            <w:tcW w:w="1276" w:type="dxa"/>
            <w:shd w:val="clear" w:color="000000" w:fill="FFFFFF"/>
            <w:vAlign w:val="center"/>
            <w:hideMark/>
          </w:tcPr>
          <w:p w14:paraId="4C648CF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Technology Readiness Index</w:t>
            </w:r>
          </w:p>
        </w:tc>
        <w:tc>
          <w:tcPr>
            <w:tcW w:w="2551" w:type="dxa"/>
            <w:shd w:val="clear" w:color="000000" w:fill="FFFFFF"/>
            <w:vAlign w:val="center"/>
            <w:hideMark/>
          </w:tcPr>
          <w:p w14:paraId="4881EEE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Individual readiness influences technology acceptance.</w:t>
            </w:r>
          </w:p>
        </w:tc>
        <w:tc>
          <w:tcPr>
            <w:tcW w:w="2268" w:type="dxa"/>
            <w:shd w:val="clear" w:color="000000" w:fill="FFFFFF"/>
            <w:vAlign w:val="center"/>
            <w:hideMark/>
          </w:tcPr>
          <w:p w14:paraId="3BB5D1DB" w14:textId="11F17D4B"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Technology readiness alone cannot explain adoption among financially excluded </w:t>
            </w:r>
            <w:r w:rsidR="00752A92" w:rsidRPr="006F6B27">
              <w:rPr>
                <w:rFonts w:ascii="Book Antiqua" w:eastAsia="Times New Roman" w:hAnsi="Book Antiqua" w:cs="Times New Roman"/>
                <w:color w:val="000000"/>
                <w:kern w:val="0"/>
                <w:sz w:val="14"/>
                <w:szCs w:val="14"/>
                <w:lang w:eastAsia="en-GB"/>
                <w14:ligatures w14:val="none"/>
              </w:rPr>
              <w:t>people</w:t>
            </w:r>
            <w:r w:rsidRPr="006F6B27">
              <w:rPr>
                <w:rFonts w:ascii="Book Antiqua" w:eastAsia="Times New Roman" w:hAnsi="Book Antiqua" w:cs="Times New Roman"/>
                <w:color w:val="000000"/>
                <w:kern w:val="0"/>
                <w:sz w:val="14"/>
                <w:szCs w:val="14"/>
                <w:lang w:eastAsia="en-GB"/>
                <w14:ligatures w14:val="none"/>
              </w:rPr>
              <w:t>.</w:t>
            </w:r>
          </w:p>
        </w:tc>
      </w:tr>
      <w:tr w:rsidR="006F6B27" w:rsidRPr="006F6B27" w14:paraId="642ECB75" w14:textId="77777777" w:rsidTr="00F5672D">
        <w:trPr>
          <w:trHeight w:val="455"/>
        </w:trPr>
        <w:tc>
          <w:tcPr>
            <w:tcW w:w="388" w:type="dxa"/>
            <w:shd w:val="clear" w:color="000000" w:fill="FFFFFF"/>
            <w:vAlign w:val="center"/>
            <w:hideMark/>
          </w:tcPr>
          <w:p w14:paraId="4B8E3079"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63</w:t>
            </w:r>
          </w:p>
        </w:tc>
        <w:tc>
          <w:tcPr>
            <w:tcW w:w="1592" w:type="dxa"/>
            <w:shd w:val="clear" w:color="000000" w:fill="FFFFFF"/>
            <w:vAlign w:val="center"/>
            <w:hideMark/>
          </w:tcPr>
          <w:p w14:paraId="28E6601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Pazarbasioglu, C., Garcia Mora, A., Uttamchandani, M., Natarajan, H., Feyen, E. and Saal, M. (2020) </w:t>
            </w:r>
          </w:p>
        </w:tc>
        <w:tc>
          <w:tcPr>
            <w:tcW w:w="1134" w:type="dxa"/>
            <w:shd w:val="clear" w:color="000000" w:fill="FFFFFF"/>
            <w:vAlign w:val="center"/>
            <w:hideMark/>
          </w:tcPr>
          <w:p w14:paraId="2901D6F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World Bank institutional report</w:t>
            </w:r>
          </w:p>
        </w:tc>
        <w:tc>
          <w:tcPr>
            <w:tcW w:w="1276" w:type="dxa"/>
            <w:shd w:val="clear" w:color="000000" w:fill="FFFFFF"/>
            <w:vAlign w:val="center"/>
            <w:hideMark/>
          </w:tcPr>
          <w:p w14:paraId="46A0451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Financial Services (DFS) foundational framework</w:t>
            </w:r>
          </w:p>
        </w:tc>
        <w:tc>
          <w:tcPr>
            <w:tcW w:w="2551" w:type="dxa"/>
            <w:shd w:val="clear" w:color="000000" w:fill="FFFFFF"/>
            <w:vAlign w:val="center"/>
            <w:hideMark/>
          </w:tcPr>
          <w:p w14:paraId="0D87D6F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Highlights how DFS lowers transaction costs and expands reach, but notes that market structures must adapt to reach vulnerable segments.</w:t>
            </w:r>
          </w:p>
        </w:tc>
        <w:tc>
          <w:tcPr>
            <w:tcW w:w="2268" w:type="dxa"/>
            <w:shd w:val="clear" w:color="000000" w:fill="FFFFFF"/>
            <w:vAlign w:val="center"/>
            <w:hideMark/>
          </w:tcPr>
          <w:p w14:paraId="2F4E26A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Presents high-level institutional consensus; lacks primary household ethnographic data or critical feminist framework layering.</w:t>
            </w:r>
          </w:p>
        </w:tc>
      </w:tr>
      <w:tr w:rsidR="006F6B27" w:rsidRPr="006F6B27" w14:paraId="4F6776A2" w14:textId="77777777" w:rsidTr="003F058B">
        <w:trPr>
          <w:trHeight w:val="708"/>
        </w:trPr>
        <w:tc>
          <w:tcPr>
            <w:tcW w:w="388" w:type="dxa"/>
            <w:shd w:val="clear" w:color="000000" w:fill="FFFFFF"/>
            <w:vAlign w:val="center"/>
            <w:hideMark/>
          </w:tcPr>
          <w:p w14:paraId="7240371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64</w:t>
            </w:r>
          </w:p>
        </w:tc>
        <w:tc>
          <w:tcPr>
            <w:tcW w:w="1592" w:type="dxa"/>
            <w:shd w:val="clear" w:color="000000" w:fill="FFFFFF"/>
            <w:vAlign w:val="center"/>
            <w:hideMark/>
          </w:tcPr>
          <w:p w14:paraId="248D992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Pluye &amp; Hong (2014)</w:t>
            </w:r>
          </w:p>
        </w:tc>
        <w:tc>
          <w:tcPr>
            <w:tcW w:w="1134" w:type="dxa"/>
            <w:shd w:val="clear" w:color="000000" w:fill="FFFFFF"/>
            <w:vAlign w:val="center"/>
            <w:hideMark/>
          </w:tcPr>
          <w:p w14:paraId="6738A74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Methodological review</w:t>
            </w:r>
          </w:p>
        </w:tc>
        <w:tc>
          <w:tcPr>
            <w:tcW w:w="1276" w:type="dxa"/>
            <w:shd w:val="clear" w:color="000000" w:fill="FFFFFF"/>
            <w:vAlign w:val="center"/>
            <w:hideMark/>
          </w:tcPr>
          <w:p w14:paraId="03757D2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Mixed studies review synthesis framework</w:t>
            </w:r>
          </w:p>
        </w:tc>
        <w:tc>
          <w:tcPr>
            <w:tcW w:w="2551" w:type="dxa"/>
            <w:shd w:val="clear" w:color="000000" w:fill="FFFFFF"/>
            <w:vAlign w:val="center"/>
            <w:hideMark/>
          </w:tcPr>
          <w:p w14:paraId="4D4DE88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Justifies combining qualitative stories and quantitative numbers within a single systematic review to enrich evidence utilization.</w:t>
            </w:r>
          </w:p>
        </w:tc>
        <w:tc>
          <w:tcPr>
            <w:tcW w:w="2268" w:type="dxa"/>
            <w:shd w:val="clear" w:color="000000" w:fill="FFFFFF"/>
            <w:vAlign w:val="center"/>
            <w:hideMark/>
          </w:tcPr>
          <w:p w14:paraId="40DF3E5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Purely methodological; contains no material on financial technologies, gender gaps, or South Asian demographics.</w:t>
            </w:r>
          </w:p>
        </w:tc>
      </w:tr>
      <w:tr w:rsidR="006F6B27" w:rsidRPr="006F6B27" w14:paraId="5CBCE439" w14:textId="77777777" w:rsidTr="003F058B">
        <w:trPr>
          <w:trHeight w:val="973"/>
        </w:trPr>
        <w:tc>
          <w:tcPr>
            <w:tcW w:w="388" w:type="dxa"/>
            <w:shd w:val="clear" w:color="000000" w:fill="FFFFFF"/>
            <w:vAlign w:val="center"/>
            <w:hideMark/>
          </w:tcPr>
          <w:p w14:paraId="4F3EF553"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65</w:t>
            </w:r>
          </w:p>
        </w:tc>
        <w:tc>
          <w:tcPr>
            <w:tcW w:w="1592" w:type="dxa"/>
            <w:shd w:val="clear" w:color="000000" w:fill="FFFFFF"/>
            <w:vAlign w:val="center"/>
            <w:hideMark/>
          </w:tcPr>
          <w:p w14:paraId="3D564E2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Reynolds, T.W., Biscaye, P.E., Leigh Anderson, C., O’Brien-Carelli, C. and Keel, J. (2023)</w:t>
            </w:r>
          </w:p>
        </w:tc>
        <w:tc>
          <w:tcPr>
            <w:tcW w:w="1134" w:type="dxa"/>
            <w:shd w:val="clear" w:color="000000" w:fill="FFFFFF"/>
            <w:vAlign w:val="center"/>
            <w:hideMark/>
          </w:tcPr>
          <w:p w14:paraId="33007E8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Cross-country empirical survey (8 countries)</w:t>
            </w:r>
          </w:p>
        </w:tc>
        <w:tc>
          <w:tcPr>
            <w:tcW w:w="1276" w:type="dxa"/>
            <w:shd w:val="clear" w:color="000000" w:fill="FFFFFF"/>
            <w:vAlign w:val="center"/>
            <w:hideMark/>
          </w:tcPr>
          <w:p w14:paraId="350253B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money awareness and use gender gap framework</w:t>
            </w:r>
          </w:p>
        </w:tc>
        <w:tc>
          <w:tcPr>
            <w:tcW w:w="2551" w:type="dxa"/>
            <w:shd w:val="clear" w:color="000000" w:fill="FFFFFF"/>
            <w:vAlign w:val="center"/>
            <w:hideMark/>
          </w:tcPr>
          <w:p w14:paraId="35524B1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Identifies that wide gaps in mobile money use persist despite high awareness, driven heavily by structural barriers and household gatekeeping.</w:t>
            </w:r>
          </w:p>
        </w:tc>
        <w:tc>
          <w:tcPr>
            <w:tcW w:w="2268" w:type="dxa"/>
            <w:shd w:val="clear" w:color="000000" w:fill="FFFFFF"/>
            <w:vAlign w:val="center"/>
            <w:hideMark/>
          </w:tcPr>
          <w:p w14:paraId="31170F90"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Broad cross-country dataset; lacks deep, localized focus on the specific socio-religious dynamics of South Asia.</w:t>
            </w:r>
          </w:p>
        </w:tc>
      </w:tr>
      <w:tr w:rsidR="006F6B27" w:rsidRPr="006F6B27" w14:paraId="36264EC1" w14:textId="77777777" w:rsidTr="003F058B">
        <w:trPr>
          <w:trHeight w:val="704"/>
        </w:trPr>
        <w:tc>
          <w:tcPr>
            <w:tcW w:w="388" w:type="dxa"/>
            <w:shd w:val="clear" w:color="000000" w:fill="FFFFFF"/>
            <w:vAlign w:val="center"/>
            <w:hideMark/>
          </w:tcPr>
          <w:p w14:paraId="558C4189"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66</w:t>
            </w:r>
          </w:p>
        </w:tc>
        <w:tc>
          <w:tcPr>
            <w:tcW w:w="1592" w:type="dxa"/>
            <w:shd w:val="clear" w:color="000000" w:fill="FFFFFF"/>
            <w:vAlign w:val="center"/>
            <w:hideMark/>
          </w:tcPr>
          <w:p w14:paraId="00BB150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Rogers, E.M., Singhal, A. and Quinlan, M.M., 2014. </w:t>
            </w:r>
          </w:p>
        </w:tc>
        <w:tc>
          <w:tcPr>
            <w:tcW w:w="1134" w:type="dxa"/>
            <w:shd w:val="clear" w:color="000000" w:fill="FFFFFF"/>
            <w:vAlign w:val="center"/>
            <w:hideMark/>
          </w:tcPr>
          <w:p w14:paraId="2421F1A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w:t>
            </w:r>
          </w:p>
        </w:tc>
        <w:tc>
          <w:tcPr>
            <w:tcW w:w="1276" w:type="dxa"/>
            <w:shd w:val="clear" w:color="000000" w:fill="FFFFFF"/>
            <w:vAlign w:val="center"/>
            <w:hideMark/>
          </w:tcPr>
          <w:p w14:paraId="45414EA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Diffusion of Innovation</w:t>
            </w:r>
          </w:p>
        </w:tc>
        <w:tc>
          <w:tcPr>
            <w:tcW w:w="2551" w:type="dxa"/>
            <w:shd w:val="clear" w:color="000000" w:fill="FFFFFF"/>
            <w:vAlign w:val="center"/>
            <w:hideMark/>
          </w:tcPr>
          <w:p w14:paraId="7573CCC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Adoption depends on innovation characteristics such as relative advantage and compatibility.</w:t>
            </w:r>
          </w:p>
        </w:tc>
        <w:tc>
          <w:tcPr>
            <w:tcW w:w="2268" w:type="dxa"/>
            <w:shd w:val="clear" w:color="000000" w:fill="FFFFFF"/>
            <w:vAlign w:val="center"/>
            <w:hideMark/>
          </w:tcPr>
          <w:p w14:paraId="7683B79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explain financial inclusion outcomes or institutional constraints affecting fintech diffusion.</w:t>
            </w:r>
          </w:p>
        </w:tc>
      </w:tr>
      <w:tr w:rsidR="006F6B27" w:rsidRPr="006F6B27" w14:paraId="6FDDB939" w14:textId="77777777" w:rsidTr="00125E97">
        <w:trPr>
          <w:trHeight w:val="700"/>
        </w:trPr>
        <w:tc>
          <w:tcPr>
            <w:tcW w:w="388" w:type="dxa"/>
            <w:shd w:val="clear" w:color="000000" w:fill="FFFFFF"/>
            <w:vAlign w:val="center"/>
            <w:hideMark/>
          </w:tcPr>
          <w:p w14:paraId="76A81F8C"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67</w:t>
            </w:r>
          </w:p>
        </w:tc>
        <w:tc>
          <w:tcPr>
            <w:tcW w:w="1592" w:type="dxa"/>
            <w:shd w:val="clear" w:color="000000" w:fill="FFFFFF"/>
            <w:vAlign w:val="center"/>
            <w:hideMark/>
          </w:tcPr>
          <w:p w14:paraId="2ACF2B1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Roy &amp; Patro (2022)</w:t>
            </w:r>
          </w:p>
        </w:tc>
        <w:tc>
          <w:tcPr>
            <w:tcW w:w="1134" w:type="dxa"/>
            <w:shd w:val="clear" w:color="000000" w:fill="FFFFFF"/>
            <w:vAlign w:val="center"/>
            <w:hideMark/>
          </w:tcPr>
          <w:p w14:paraId="68B57E5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Systematic literature review (SA-SSA)</w:t>
            </w:r>
          </w:p>
        </w:tc>
        <w:tc>
          <w:tcPr>
            <w:tcW w:w="1276" w:type="dxa"/>
            <w:shd w:val="clear" w:color="000000" w:fill="FFFFFF"/>
            <w:vAlign w:val="center"/>
            <w:hideMark/>
          </w:tcPr>
          <w:p w14:paraId="15BD30D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Backward linkages (access) and forward linkages (empowerment) framework</w:t>
            </w:r>
          </w:p>
        </w:tc>
        <w:tc>
          <w:tcPr>
            <w:tcW w:w="2551" w:type="dxa"/>
            <w:shd w:val="clear" w:color="000000" w:fill="FFFFFF"/>
            <w:vAlign w:val="center"/>
            <w:hideMark/>
          </w:tcPr>
          <w:p w14:paraId="1607826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Reports consistent gender gaps in access alongside unusually consistent positive associations between financial inclusion and downstream empowerment.</w:t>
            </w:r>
          </w:p>
        </w:tc>
        <w:tc>
          <w:tcPr>
            <w:tcW w:w="2268" w:type="dxa"/>
            <w:shd w:val="clear" w:color="000000" w:fill="FFFFFF"/>
            <w:vAlign w:val="center"/>
            <w:hideMark/>
          </w:tcPr>
          <w:p w14:paraId="392231D0" w14:textId="7F2C320B"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isolate FinTech as distinct from financial inclusion; does not interrogate the socio-cultural mechanisms across different household contexts.</w:t>
            </w:r>
          </w:p>
        </w:tc>
      </w:tr>
      <w:tr w:rsidR="006F6B27" w:rsidRPr="006F6B27" w14:paraId="39C9C895" w14:textId="77777777" w:rsidTr="00D4200E">
        <w:trPr>
          <w:trHeight w:val="1150"/>
        </w:trPr>
        <w:tc>
          <w:tcPr>
            <w:tcW w:w="388" w:type="dxa"/>
            <w:shd w:val="clear" w:color="000000" w:fill="FFFFFF"/>
            <w:vAlign w:val="center"/>
            <w:hideMark/>
          </w:tcPr>
          <w:p w14:paraId="2817B68C"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68</w:t>
            </w:r>
          </w:p>
        </w:tc>
        <w:tc>
          <w:tcPr>
            <w:tcW w:w="1592" w:type="dxa"/>
            <w:shd w:val="clear" w:color="000000" w:fill="FFFFFF"/>
            <w:vAlign w:val="center"/>
            <w:hideMark/>
          </w:tcPr>
          <w:p w14:paraId="30C2CFA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Sabates</w:t>
            </w:r>
            <w:r w:rsidRPr="006F6B27">
              <w:rPr>
                <w:rFonts w:ascii="Cambria Math" w:eastAsia="Times New Roman" w:hAnsi="Cambria Math" w:cs="Cambria Math"/>
                <w:color w:val="000000"/>
                <w:kern w:val="0"/>
                <w:sz w:val="14"/>
                <w:szCs w:val="14"/>
                <w:lang w:eastAsia="en-GB"/>
                <w14:ligatures w14:val="none"/>
              </w:rPr>
              <w:t>‐</w:t>
            </w:r>
            <w:r w:rsidRPr="006F6B27">
              <w:rPr>
                <w:rFonts w:ascii="Book Antiqua" w:eastAsia="Times New Roman" w:hAnsi="Book Antiqua" w:cs="Times New Roman"/>
                <w:color w:val="000000"/>
                <w:kern w:val="0"/>
                <w:sz w:val="14"/>
                <w:szCs w:val="14"/>
                <w:lang w:eastAsia="en-GB"/>
                <w14:ligatures w14:val="none"/>
              </w:rPr>
              <w:t>Wheeler, R., Lind, J. and Holland</w:t>
            </w:r>
            <w:r w:rsidRPr="006F6B27">
              <w:rPr>
                <w:rFonts w:ascii="Cambria Math" w:eastAsia="Times New Roman" w:hAnsi="Cambria Math" w:cs="Cambria Math"/>
                <w:color w:val="000000"/>
                <w:kern w:val="0"/>
                <w:sz w:val="14"/>
                <w:szCs w:val="14"/>
                <w:lang w:eastAsia="en-GB"/>
                <w14:ligatures w14:val="none"/>
              </w:rPr>
              <w:t>‐</w:t>
            </w:r>
            <w:r w:rsidRPr="006F6B27">
              <w:rPr>
                <w:rFonts w:ascii="Book Antiqua" w:eastAsia="Times New Roman" w:hAnsi="Book Antiqua" w:cs="Times New Roman"/>
                <w:color w:val="000000"/>
                <w:kern w:val="0"/>
                <w:sz w:val="14"/>
                <w:szCs w:val="14"/>
                <w:lang w:eastAsia="en-GB"/>
                <w14:ligatures w14:val="none"/>
              </w:rPr>
              <w:t>Szyp, C. (2025)</w:t>
            </w:r>
          </w:p>
        </w:tc>
        <w:tc>
          <w:tcPr>
            <w:tcW w:w="1134" w:type="dxa"/>
            <w:shd w:val="clear" w:color="000000" w:fill="FFFFFF"/>
            <w:vAlign w:val="center"/>
            <w:hideMark/>
          </w:tcPr>
          <w:p w14:paraId="3CA44B3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policy analysis</w:t>
            </w:r>
          </w:p>
        </w:tc>
        <w:tc>
          <w:tcPr>
            <w:tcW w:w="1276" w:type="dxa"/>
            <w:shd w:val="clear" w:color="000000" w:fill="FFFFFF"/>
            <w:vAlign w:val="center"/>
            <w:hideMark/>
          </w:tcPr>
          <w:p w14:paraId="05E6AD9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Cash-plus provision framework in protracted crises</w:t>
            </w:r>
          </w:p>
        </w:tc>
        <w:tc>
          <w:tcPr>
            <w:tcW w:w="2551" w:type="dxa"/>
            <w:shd w:val="clear" w:color="000000" w:fill="FFFFFF"/>
            <w:vAlign w:val="center"/>
            <w:hideMark/>
          </w:tcPr>
          <w:p w14:paraId="7D9E323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Demonstrates that purely cash/resource interventions are limited in crisis settings unless paired with 'Plus' services like social safety nets.</w:t>
            </w:r>
          </w:p>
        </w:tc>
        <w:tc>
          <w:tcPr>
            <w:tcW w:w="2268" w:type="dxa"/>
            <w:shd w:val="clear" w:color="000000" w:fill="FFFFFF"/>
            <w:vAlign w:val="center"/>
            <w:hideMark/>
          </w:tcPr>
          <w:p w14:paraId="38F8BF2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generally on humanitarian crisis contexts rather than standard commercial FinTech software adoption paths.</w:t>
            </w:r>
          </w:p>
        </w:tc>
      </w:tr>
      <w:tr w:rsidR="006F6B27" w:rsidRPr="006F6B27" w14:paraId="348A8701" w14:textId="77777777" w:rsidTr="00D4200E">
        <w:trPr>
          <w:trHeight w:val="960"/>
        </w:trPr>
        <w:tc>
          <w:tcPr>
            <w:tcW w:w="388" w:type="dxa"/>
            <w:shd w:val="clear" w:color="000000" w:fill="FFFFFF"/>
            <w:vAlign w:val="center"/>
            <w:hideMark/>
          </w:tcPr>
          <w:p w14:paraId="0D20C350"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lastRenderedPageBreak/>
              <w:t>69</w:t>
            </w:r>
          </w:p>
        </w:tc>
        <w:tc>
          <w:tcPr>
            <w:tcW w:w="1592" w:type="dxa"/>
            <w:shd w:val="clear" w:color="000000" w:fill="FFFFFF"/>
            <w:vAlign w:val="center"/>
            <w:hideMark/>
          </w:tcPr>
          <w:p w14:paraId="3CF19CF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Saluja, O.B., Singh, P. and Kumar, H. (2023) </w:t>
            </w:r>
          </w:p>
        </w:tc>
        <w:tc>
          <w:tcPr>
            <w:tcW w:w="1134" w:type="dxa"/>
            <w:shd w:val="clear" w:color="000000" w:fill="FFFFFF"/>
            <w:vAlign w:val="center"/>
            <w:hideMark/>
          </w:tcPr>
          <w:p w14:paraId="1C1FA5D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PRISMA SLR</w:t>
            </w:r>
          </w:p>
        </w:tc>
        <w:tc>
          <w:tcPr>
            <w:tcW w:w="1276" w:type="dxa"/>
            <w:shd w:val="clear" w:color="000000" w:fill="FFFFFF"/>
            <w:vAlign w:val="center"/>
            <w:hideMark/>
          </w:tcPr>
          <w:p w14:paraId="052926F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Capability Approach; Women's Empowerment</w:t>
            </w:r>
          </w:p>
        </w:tc>
        <w:tc>
          <w:tcPr>
            <w:tcW w:w="2551" w:type="dxa"/>
            <w:shd w:val="clear" w:color="000000" w:fill="FFFFFF"/>
            <w:vAlign w:val="center"/>
            <w:hideMark/>
          </w:tcPr>
          <w:p w14:paraId="16C84B4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Synthesises the main barriers to women's financial inclusion, including social norms, financial literacy, institutional barriers and digital exclusion.</w:t>
            </w:r>
          </w:p>
        </w:tc>
        <w:tc>
          <w:tcPr>
            <w:tcW w:w="2268" w:type="dxa"/>
            <w:shd w:val="clear" w:color="000000" w:fill="FFFFFF"/>
            <w:vAlign w:val="center"/>
            <w:hideMark/>
          </w:tcPr>
          <w:p w14:paraId="1CFD17E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focus on fintech-specific innovations and post-2020 digital financial services.</w:t>
            </w:r>
          </w:p>
        </w:tc>
      </w:tr>
      <w:tr w:rsidR="006F6B27" w:rsidRPr="006F6B27" w14:paraId="04756C11" w14:textId="77777777" w:rsidTr="00D4200E">
        <w:trPr>
          <w:trHeight w:val="580"/>
        </w:trPr>
        <w:tc>
          <w:tcPr>
            <w:tcW w:w="388" w:type="dxa"/>
            <w:shd w:val="clear" w:color="000000" w:fill="FFFFFF"/>
            <w:vAlign w:val="center"/>
            <w:hideMark/>
          </w:tcPr>
          <w:p w14:paraId="416A10E6"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70</w:t>
            </w:r>
          </w:p>
        </w:tc>
        <w:tc>
          <w:tcPr>
            <w:tcW w:w="1592" w:type="dxa"/>
            <w:shd w:val="clear" w:color="000000" w:fill="FFFFFF"/>
            <w:vAlign w:val="center"/>
            <w:hideMark/>
          </w:tcPr>
          <w:p w14:paraId="1D1711B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Schueffel (2016)</w:t>
            </w:r>
          </w:p>
        </w:tc>
        <w:tc>
          <w:tcPr>
            <w:tcW w:w="1134" w:type="dxa"/>
            <w:shd w:val="clear" w:color="000000" w:fill="FFFFFF"/>
            <w:vAlign w:val="center"/>
            <w:hideMark/>
          </w:tcPr>
          <w:p w14:paraId="19102C6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Conceptual review</w:t>
            </w:r>
          </w:p>
        </w:tc>
        <w:tc>
          <w:tcPr>
            <w:tcW w:w="1276" w:type="dxa"/>
            <w:shd w:val="clear" w:color="000000" w:fill="FFFFFF"/>
            <w:vAlign w:val="center"/>
            <w:hideMark/>
          </w:tcPr>
          <w:p w14:paraId="1C83E30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Innovation Theory</w:t>
            </w:r>
          </w:p>
        </w:tc>
        <w:tc>
          <w:tcPr>
            <w:tcW w:w="2551" w:type="dxa"/>
            <w:shd w:val="clear" w:color="000000" w:fill="FFFFFF"/>
            <w:vAlign w:val="center"/>
            <w:hideMark/>
          </w:tcPr>
          <w:p w14:paraId="0AA9503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Provides one of the earliest scientific definitions of fintech and classifies fintech innovation.</w:t>
            </w:r>
          </w:p>
        </w:tc>
        <w:tc>
          <w:tcPr>
            <w:tcW w:w="2268" w:type="dxa"/>
            <w:shd w:val="clear" w:color="000000" w:fill="FFFFFF"/>
            <w:vAlign w:val="center"/>
            <w:hideMark/>
          </w:tcPr>
          <w:p w14:paraId="1C76610A"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Needs empirical validation across contexts.</w:t>
            </w:r>
          </w:p>
        </w:tc>
      </w:tr>
      <w:tr w:rsidR="006F6B27" w:rsidRPr="006F6B27" w14:paraId="30752A43" w14:textId="77777777" w:rsidTr="00D4200E">
        <w:trPr>
          <w:trHeight w:val="1910"/>
        </w:trPr>
        <w:tc>
          <w:tcPr>
            <w:tcW w:w="388" w:type="dxa"/>
            <w:shd w:val="clear" w:color="000000" w:fill="FFFFFF"/>
            <w:vAlign w:val="center"/>
            <w:hideMark/>
          </w:tcPr>
          <w:p w14:paraId="27BF7AD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71</w:t>
            </w:r>
          </w:p>
        </w:tc>
        <w:tc>
          <w:tcPr>
            <w:tcW w:w="1592" w:type="dxa"/>
            <w:shd w:val="clear" w:color="000000" w:fill="FFFFFF"/>
            <w:vAlign w:val="center"/>
            <w:hideMark/>
          </w:tcPr>
          <w:p w14:paraId="77D7E8C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Scott, K., Shinde, A., Ummer, O., Yadav, S., Sharma, M., Purty, N., Jairath, A., Chamberlain, S. and LeFevre, A.E. (2021)</w:t>
            </w:r>
          </w:p>
        </w:tc>
        <w:tc>
          <w:tcPr>
            <w:tcW w:w="1134" w:type="dxa"/>
            <w:shd w:val="clear" w:color="000000" w:fill="FFFFFF"/>
            <w:vAlign w:val="center"/>
            <w:hideMark/>
          </w:tcPr>
          <w:p w14:paraId="3109613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field study (Rural Central India)</w:t>
            </w:r>
          </w:p>
        </w:tc>
        <w:tc>
          <w:tcPr>
            <w:tcW w:w="1276" w:type="dxa"/>
            <w:shd w:val="clear" w:color="000000" w:fill="FFFFFF"/>
            <w:vAlign w:val="center"/>
            <w:hideMark/>
          </w:tcPr>
          <w:p w14:paraId="4FE2ABC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Patriarchal gender norms and mobile phone affordances framework</w:t>
            </w:r>
          </w:p>
        </w:tc>
        <w:tc>
          <w:tcPr>
            <w:tcW w:w="2551" w:type="dxa"/>
            <w:shd w:val="clear" w:color="000000" w:fill="FFFFFF"/>
            <w:vAlign w:val="center"/>
            <w:hideMark/>
          </w:tcPr>
          <w:p w14:paraId="45E4F1B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Women's phone use is severely constrained by five mechanisms: (1) narrow social norms dictating how women could use phones, (2) dependence on men for ownership/access, (3) lower-quality phones relative to men's, (4) limited digital skills, and (5) time poverty combined with norms discouraging women's "leisure" phone use.</w:t>
            </w:r>
          </w:p>
        </w:tc>
        <w:tc>
          <w:tcPr>
            <w:tcW w:w="2268" w:type="dxa"/>
            <w:shd w:val="clear" w:color="000000" w:fill="FFFFFF"/>
            <w:vAlign w:val="center"/>
            <w:hideMark/>
          </w:tcPr>
          <w:p w14:paraId="7B1A066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Single-region qualitative study (rural central India only), which limits generalizability to other regions or urban contexts.</w:t>
            </w:r>
          </w:p>
        </w:tc>
      </w:tr>
      <w:tr w:rsidR="006F6B27" w:rsidRPr="006F6B27" w14:paraId="70940D1C" w14:textId="77777777" w:rsidTr="00DD517A">
        <w:trPr>
          <w:trHeight w:val="762"/>
        </w:trPr>
        <w:tc>
          <w:tcPr>
            <w:tcW w:w="388" w:type="dxa"/>
            <w:shd w:val="clear" w:color="000000" w:fill="FFFFFF"/>
            <w:vAlign w:val="center"/>
            <w:hideMark/>
          </w:tcPr>
          <w:p w14:paraId="19E31BB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72</w:t>
            </w:r>
          </w:p>
        </w:tc>
        <w:tc>
          <w:tcPr>
            <w:tcW w:w="1592" w:type="dxa"/>
            <w:shd w:val="clear" w:color="000000" w:fill="FFFFFF"/>
            <w:vAlign w:val="center"/>
            <w:hideMark/>
          </w:tcPr>
          <w:p w14:paraId="38AA167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Shahriar, A.Z.M., Shukla, A. and Peranginangin, Y. (2025) </w:t>
            </w:r>
          </w:p>
        </w:tc>
        <w:tc>
          <w:tcPr>
            <w:tcW w:w="1134" w:type="dxa"/>
            <w:shd w:val="clear" w:color="000000" w:fill="FFFFFF"/>
            <w:vAlign w:val="center"/>
            <w:hideMark/>
          </w:tcPr>
          <w:p w14:paraId="702D944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Randomised Controlled Trial (RCT)</w:t>
            </w:r>
          </w:p>
        </w:tc>
        <w:tc>
          <w:tcPr>
            <w:tcW w:w="1276" w:type="dxa"/>
            <w:shd w:val="clear" w:color="000000" w:fill="FFFFFF"/>
            <w:vAlign w:val="center"/>
            <w:hideMark/>
          </w:tcPr>
          <w:p w14:paraId="1F9F0E1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 Norms Theory; Financial Capability</w:t>
            </w:r>
          </w:p>
        </w:tc>
        <w:tc>
          <w:tcPr>
            <w:tcW w:w="2551" w:type="dxa"/>
            <w:shd w:val="clear" w:color="000000" w:fill="FFFFFF"/>
            <w:vAlign w:val="center"/>
            <w:hideMark/>
          </w:tcPr>
          <w:p w14:paraId="33ED3498" w14:textId="05BF38F5"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 norms influence adoption; mobile banking is particularly effective in patriarchal communities where mobility is constrained.</w:t>
            </w:r>
          </w:p>
        </w:tc>
        <w:tc>
          <w:tcPr>
            <w:tcW w:w="2268" w:type="dxa"/>
            <w:shd w:val="clear" w:color="000000" w:fill="FFFFFF"/>
            <w:vAlign w:val="center"/>
            <w:hideMark/>
          </w:tcPr>
          <w:p w14:paraId="2E077EB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Evidence is limited to selected societies; broader cross-country validation is required.</w:t>
            </w:r>
          </w:p>
        </w:tc>
      </w:tr>
      <w:tr w:rsidR="006F6B27" w:rsidRPr="006F6B27" w14:paraId="3C09A569" w14:textId="77777777" w:rsidTr="00D4200E">
        <w:trPr>
          <w:trHeight w:val="960"/>
        </w:trPr>
        <w:tc>
          <w:tcPr>
            <w:tcW w:w="388" w:type="dxa"/>
            <w:shd w:val="clear" w:color="000000" w:fill="FFFFFF"/>
            <w:vAlign w:val="center"/>
            <w:hideMark/>
          </w:tcPr>
          <w:p w14:paraId="7AC7EFF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73</w:t>
            </w:r>
          </w:p>
        </w:tc>
        <w:tc>
          <w:tcPr>
            <w:tcW w:w="1592" w:type="dxa"/>
            <w:shd w:val="clear" w:color="000000" w:fill="FFFFFF"/>
            <w:vAlign w:val="center"/>
            <w:hideMark/>
          </w:tcPr>
          <w:p w14:paraId="634CEBA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Shahriar, A.Z.M., Shukla, A. and Peranginangin, Y. (2025) </w:t>
            </w:r>
          </w:p>
        </w:tc>
        <w:tc>
          <w:tcPr>
            <w:tcW w:w="1134" w:type="dxa"/>
            <w:shd w:val="clear" w:color="000000" w:fill="FFFFFF"/>
            <w:vAlign w:val="center"/>
            <w:hideMark/>
          </w:tcPr>
          <w:p w14:paraId="18F976A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Randomised controlled experiment</w:t>
            </w:r>
          </w:p>
        </w:tc>
        <w:tc>
          <w:tcPr>
            <w:tcW w:w="1276" w:type="dxa"/>
            <w:shd w:val="clear" w:color="000000" w:fill="FFFFFF"/>
            <w:vAlign w:val="center"/>
            <w:hideMark/>
          </w:tcPr>
          <w:p w14:paraId="3549D0B7"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Gender Norm Theory</w:t>
            </w:r>
          </w:p>
        </w:tc>
        <w:tc>
          <w:tcPr>
            <w:tcW w:w="2551" w:type="dxa"/>
            <w:shd w:val="clear" w:color="000000" w:fill="FFFFFF"/>
            <w:vAlign w:val="center"/>
            <w:hideMark/>
          </w:tcPr>
          <w:p w14:paraId="6BD8D378" w14:textId="49BAC481"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Mobile banking is particularly effective where women's mobility is socially constrained, </w:t>
            </w:r>
            <w:r w:rsidR="00DD517A">
              <w:rPr>
                <w:rFonts w:ascii="Book Antiqua" w:eastAsia="Times New Roman" w:hAnsi="Book Antiqua" w:cs="Times New Roman"/>
                <w:color w:val="000000"/>
                <w:kern w:val="0"/>
                <w:sz w:val="14"/>
                <w:szCs w:val="14"/>
                <w:lang w:eastAsia="en-GB"/>
                <w14:ligatures w14:val="none"/>
              </w:rPr>
              <w:t>showing</w:t>
            </w:r>
            <w:r w:rsidRPr="006F6B27">
              <w:rPr>
                <w:rFonts w:ascii="Book Antiqua" w:eastAsia="Times New Roman" w:hAnsi="Book Antiqua" w:cs="Times New Roman"/>
                <w:color w:val="000000"/>
                <w:kern w:val="0"/>
                <w:sz w:val="14"/>
                <w:szCs w:val="14"/>
                <w:lang w:eastAsia="en-GB"/>
                <w14:ligatures w14:val="none"/>
              </w:rPr>
              <w:t xml:space="preserve"> the importance of gender norms in financial inclusion.</w:t>
            </w:r>
          </w:p>
        </w:tc>
        <w:tc>
          <w:tcPr>
            <w:tcW w:w="2268" w:type="dxa"/>
            <w:shd w:val="clear" w:color="000000" w:fill="FFFFFF"/>
            <w:vAlign w:val="center"/>
            <w:hideMark/>
          </w:tcPr>
          <w:p w14:paraId="78359E5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Conducted in selected Bangladeshi communities; external validity should be tested elsewhere.</w:t>
            </w:r>
          </w:p>
        </w:tc>
      </w:tr>
      <w:tr w:rsidR="006F6B27" w:rsidRPr="006F6B27" w14:paraId="73BA10CD" w14:textId="77777777" w:rsidTr="00D4200E">
        <w:trPr>
          <w:trHeight w:val="960"/>
        </w:trPr>
        <w:tc>
          <w:tcPr>
            <w:tcW w:w="388" w:type="dxa"/>
            <w:shd w:val="clear" w:color="000000" w:fill="FFFFFF"/>
            <w:vAlign w:val="center"/>
            <w:hideMark/>
          </w:tcPr>
          <w:p w14:paraId="591B9392"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74</w:t>
            </w:r>
          </w:p>
        </w:tc>
        <w:tc>
          <w:tcPr>
            <w:tcW w:w="1592" w:type="dxa"/>
            <w:shd w:val="clear" w:color="000000" w:fill="FFFFFF"/>
            <w:vAlign w:val="center"/>
            <w:hideMark/>
          </w:tcPr>
          <w:p w14:paraId="11F92D7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Sumi, Hoque &amp; Ahmed (2025)</w:t>
            </w:r>
          </w:p>
        </w:tc>
        <w:tc>
          <w:tcPr>
            <w:tcW w:w="1134" w:type="dxa"/>
            <w:shd w:val="clear" w:color="000000" w:fill="FFFFFF"/>
            <w:vAlign w:val="center"/>
            <w:hideMark/>
          </w:tcPr>
          <w:p w14:paraId="1F53125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Mixed-methods survey (Rural Bangladesh)</w:t>
            </w:r>
          </w:p>
        </w:tc>
        <w:tc>
          <w:tcPr>
            <w:tcW w:w="1276" w:type="dxa"/>
            <w:shd w:val="clear" w:color="000000" w:fill="FFFFFF"/>
            <w:vAlign w:val="center"/>
            <w:hideMark/>
          </w:tcPr>
          <w:p w14:paraId="50F4609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Socio-economic determinants framework with gender moderation</w:t>
            </w:r>
          </w:p>
        </w:tc>
        <w:tc>
          <w:tcPr>
            <w:tcW w:w="2551" w:type="dxa"/>
            <w:shd w:val="clear" w:color="000000" w:fill="FFFFFF"/>
            <w:vAlign w:val="center"/>
            <w:hideMark/>
          </w:tcPr>
          <w:p w14:paraId="4A2A3C6C" w14:textId="458356A5"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Digital literacy and device ownership drive adoption</w:t>
            </w:r>
            <w:r w:rsidR="00A10692">
              <w:rPr>
                <w:rFonts w:ascii="Book Antiqua" w:eastAsia="Times New Roman" w:hAnsi="Book Antiqua" w:cs="Times New Roman"/>
                <w:color w:val="000000"/>
                <w:kern w:val="0"/>
                <w:sz w:val="14"/>
                <w:szCs w:val="14"/>
                <w:lang w:eastAsia="en-GB"/>
                <w14:ligatures w14:val="none"/>
              </w:rPr>
              <w:t>,</w:t>
            </w:r>
            <w:r w:rsidRPr="006F6B27">
              <w:rPr>
                <w:rFonts w:ascii="Book Antiqua" w:eastAsia="Times New Roman" w:hAnsi="Book Antiqua" w:cs="Times New Roman"/>
                <w:color w:val="000000"/>
                <w:kern w:val="0"/>
                <w:sz w:val="14"/>
                <w:szCs w:val="14"/>
                <w:lang w:eastAsia="en-GB"/>
                <w14:ligatures w14:val="none"/>
              </w:rPr>
              <w:t xml:space="preserve"> patriarchal authority hinders use, with 43% of women experiencing male transaction control.</w:t>
            </w:r>
          </w:p>
        </w:tc>
        <w:tc>
          <w:tcPr>
            <w:tcW w:w="2268" w:type="dxa"/>
            <w:shd w:val="clear" w:color="000000" w:fill="FFFFFF"/>
            <w:vAlign w:val="center"/>
            <w:hideMark/>
          </w:tcPr>
          <w:p w14:paraId="515CE49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Cross-sectional design; cannot verify long-term post-adoption causal shifts in household bargaining equity.</w:t>
            </w:r>
          </w:p>
        </w:tc>
      </w:tr>
      <w:tr w:rsidR="006F6B27" w:rsidRPr="006F6B27" w14:paraId="00ED9D87" w14:textId="77777777" w:rsidTr="00EB0EB1">
        <w:trPr>
          <w:trHeight w:val="603"/>
        </w:trPr>
        <w:tc>
          <w:tcPr>
            <w:tcW w:w="388" w:type="dxa"/>
            <w:shd w:val="clear" w:color="000000" w:fill="FFFFFF"/>
            <w:vAlign w:val="center"/>
            <w:hideMark/>
          </w:tcPr>
          <w:p w14:paraId="44237F29"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75</w:t>
            </w:r>
          </w:p>
        </w:tc>
        <w:tc>
          <w:tcPr>
            <w:tcW w:w="1592" w:type="dxa"/>
            <w:shd w:val="clear" w:color="000000" w:fill="FFFFFF"/>
            <w:vAlign w:val="center"/>
            <w:hideMark/>
          </w:tcPr>
          <w:p w14:paraId="20D216F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Suri &amp; Jack (2016)</w:t>
            </w:r>
          </w:p>
        </w:tc>
        <w:tc>
          <w:tcPr>
            <w:tcW w:w="1134" w:type="dxa"/>
            <w:shd w:val="clear" w:color="000000" w:fill="FFFFFF"/>
            <w:vAlign w:val="center"/>
            <w:hideMark/>
          </w:tcPr>
          <w:p w14:paraId="36C70D9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Longitudinal Quasi-experimental analysis</w:t>
            </w:r>
          </w:p>
        </w:tc>
        <w:tc>
          <w:tcPr>
            <w:tcW w:w="1276" w:type="dxa"/>
            <w:shd w:val="clear" w:color="000000" w:fill="FFFFFF"/>
            <w:vAlign w:val="center"/>
            <w:hideMark/>
          </w:tcPr>
          <w:p w14:paraId="0D61453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Capability Approach</w:t>
            </w:r>
          </w:p>
        </w:tc>
        <w:tc>
          <w:tcPr>
            <w:tcW w:w="2551" w:type="dxa"/>
            <w:shd w:val="clear" w:color="000000" w:fill="FFFFFF"/>
            <w:vAlign w:val="center"/>
            <w:hideMark/>
          </w:tcPr>
          <w:p w14:paraId="67A9A71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Mobile money significantly reduces extreme poverty and increases women's participation in self-employment.</w:t>
            </w:r>
          </w:p>
        </w:tc>
        <w:tc>
          <w:tcPr>
            <w:tcW w:w="2268" w:type="dxa"/>
            <w:shd w:val="clear" w:color="000000" w:fill="FFFFFF"/>
            <w:vAlign w:val="center"/>
            <w:hideMark/>
          </w:tcPr>
          <w:p w14:paraId="727B580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Limited examination of socio-cultural barriers, financial literacy and gender differences in adoption.</w:t>
            </w:r>
          </w:p>
        </w:tc>
      </w:tr>
      <w:tr w:rsidR="006F6B27" w:rsidRPr="006F6B27" w14:paraId="4E7D080C" w14:textId="77777777" w:rsidTr="00EB0EB1">
        <w:trPr>
          <w:trHeight w:val="598"/>
        </w:trPr>
        <w:tc>
          <w:tcPr>
            <w:tcW w:w="388" w:type="dxa"/>
            <w:shd w:val="clear" w:color="000000" w:fill="FFFFFF"/>
            <w:vAlign w:val="center"/>
            <w:hideMark/>
          </w:tcPr>
          <w:p w14:paraId="36C0FD84"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76</w:t>
            </w:r>
          </w:p>
        </w:tc>
        <w:tc>
          <w:tcPr>
            <w:tcW w:w="1592" w:type="dxa"/>
            <w:shd w:val="clear" w:color="000000" w:fill="FFFFFF"/>
            <w:vAlign w:val="center"/>
            <w:hideMark/>
          </w:tcPr>
          <w:p w14:paraId="24CA70A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Swamy (2014)</w:t>
            </w:r>
          </w:p>
        </w:tc>
        <w:tc>
          <w:tcPr>
            <w:tcW w:w="1134" w:type="dxa"/>
            <w:shd w:val="clear" w:color="000000" w:fill="FFFFFF"/>
            <w:vAlign w:val="center"/>
            <w:hideMark/>
          </w:tcPr>
          <w:p w14:paraId="0550380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Longitudinal empirical study (India)</w:t>
            </w:r>
          </w:p>
        </w:tc>
        <w:tc>
          <w:tcPr>
            <w:tcW w:w="1276" w:type="dxa"/>
            <w:shd w:val="clear" w:color="000000" w:fill="FFFFFF"/>
            <w:vAlign w:val="center"/>
            <w:hideMark/>
          </w:tcPr>
          <w:p w14:paraId="7181D5A1"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economic impact framework</w:t>
            </w:r>
          </w:p>
        </w:tc>
        <w:tc>
          <w:tcPr>
            <w:tcW w:w="2551" w:type="dxa"/>
            <w:shd w:val="clear" w:color="000000" w:fill="FFFFFF"/>
            <w:vAlign w:val="center"/>
            <w:hideMark/>
          </w:tcPr>
          <w:p w14:paraId="1CED7C1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Finds financial inclusion significantly boosts income and savings for poor households, yielding stronger long-term gains when targeted at women.</w:t>
            </w:r>
          </w:p>
        </w:tc>
        <w:tc>
          <w:tcPr>
            <w:tcW w:w="2268" w:type="dxa"/>
            <w:shd w:val="clear" w:color="000000" w:fill="FFFFFF"/>
            <w:vAlign w:val="center"/>
            <w:hideMark/>
          </w:tcPr>
          <w:p w14:paraId="5DBD9EAC"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Focuses on traditional financial inclusion without examining digital app architecture or FinTech ecosystem mechanics.</w:t>
            </w:r>
          </w:p>
        </w:tc>
      </w:tr>
      <w:tr w:rsidR="006F6B27" w:rsidRPr="006F6B27" w14:paraId="3EC53EC5" w14:textId="77777777" w:rsidTr="00EB0EB1">
        <w:trPr>
          <w:trHeight w:val="50"/>
        </w:trPr>
        <w:tc>
          <w:tcPr>
            <w:tcW w:w="388" w:type="dxa"/>
            <w:shd w:val="clear" w:color="000000" w:fill="FFFFFF"/>
            <w:vAlign w:val="center"/>
            <w:hideMark/>
          </w:tcPr>
          <w:p w14:paraId="2DAA8CDA"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77</w:t>
            </w:r>
          </w:p>
        </w:tc>
        <w:tc>
          <w:tcPr>
            <w:tcW w:w="1592" w:type="dxa"/>
            <w:shd w:val="clear" w:color="000000" w:fill="FFFFFF"/>
            <w:vAlign w:val="center"/>
            <w:hideMark/>
          </w:tcPr>
          <w:p w14:paraId="02EA4E8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Venkatesh, V., Morris, M.G., Davis, G.B. and Davis, F.D. (2003) </w:t>
            </w:r>
          </w:p>
        </w:tc>
        <w:tc>
          <w:tcPr>
            <w:tcW w:w="1134" w:type="dxa"/>
            <w:shd w:val="clear" w:color="000000" w:fill="FFFFFF"/>
            <w:vAlign w:val="center"/>
            <w:hideMark/>
          </w:tcPr>
          <w:p w14:paraId="71D367E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SEM</w:t>
            </w:r>
          </w:p>
        </w:tc>
        <w:tc>
          <w:tcPr>
            <w:tcW w:w="1276" w:type="dxa"/>
            <w:shd w:val="clear" w:color="000000" w:fill="FFFFFF"/>
            <w:vAlign w:val="center"/>
            <w:hideMark/>
          </w:tcPr>
          <w:p w14:paraId="564536F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UTAUT</w:t>
            </w:r>
          </w:p>
        </w:tc>
        <w:tc>
          <w:tcPr>
            <w:tcW w:w="2551" w:type="dxa"/>
            <w:shd w:val="clear" w:color="000000" w:fill="FFFFFF"/>
            <w:vAlign w:val="center"/>
            <w:hideMark/>
          </w:tcPr>
          <w:p w14:paraId="3859DDC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Performance expectancy, effort expectancy, social influence and facilitating conditions determine technology adoption.</w:t>
            </w:r>
          </w:p>
        </w:tc>
        <w:tc>
          <w:tcPr>
            <w:tcW w:w="2268" w:type="dxa"/>
            <w:shd w:val="clear" w:color="000000" w:fill="FFFFFF"/>
            <w:vAlign w:val="center"/>
            <w:hideMark/>
          </w:tcPr>
          <w:p w14:paraId="6A9DB21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Does not capture trust, regulation, financial literacy or gender-specific barriers in digital finance.</w:t>
            </w:r>
          </w:p>
        </w:tc>
      </w:tr>
      <w:tr w:rsidR="006F6B27" w:rsidRPr="006F6B27" w14:paraId="5A87A3A4" w14:textId="77777777" w:rsidTr="00EB0EB1">
        <w:trPr>
          <w:trHeight w:val="463"/>
        </w:trPr>
        <w:tc>
          <w:tcPr>
            <w:tcW w:w="388" w:type="dxa"/>
            <w:shd w:val="clear" w:color="000000" w:fill="FFFFFF"/>
            <w:vAlign w:val="center"/>
            <w:hideMark/>
          </w:tcPr>
          <w:p w14:paraId="3005EA6D"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78</w:t>
            </w:r>
          </w:p>
        </w:tc>
        <w:tc>
          <w:tcPr>
            <w:tcW w:w="1592" w:type="dxa"/>
            <w:shd w:val="clear" w:color="000000" w:fill="FFFFFF"/>
            <w:vAlign w:val="center"/>
            <w:hideMark/>
          </w:tcPr>
          <w:p w14:paraId="6DFF2FC9"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Venkatesh, V., Thong, J.Y.L. and Xu, X. (2012)</w:t>
            </w:r>
          </w:p>
        </w:tc>
        <w:tc>
          <w:tcPr>
            <w:tcW w:w="1134" w:type="dxa"/>
            <w:shd w:val="clear" w:color="000000" w:fill="FFFFFF"/>
            <w:vAlign w:val="center"/>
            <w:hideMark/>
          </w:tcPr>
          <w:p w14:paraId="71D92A3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Multi-country empirical study</w:t>
            </w:r>
          </w:p>
        </w:tc>
        <w:tc>
          <w:tcPr>
            <w:tcW w:w="1276" w:type="dxa"/>
            <w:shd w:val="clear" w:color="000000" w:fill="FFFFFF"/>
            <w:vAlign w:val="center"/>
            <w:hideMark/>
          </w:tcPr>
          <w:p w14:paraId="3334F43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UTAUT2</w:t>
            </w:r>
          </w:p>
        </w:tc>
        <w:tc>
          <w:tcPr>
            <w:tcW w:w="2551" w:type="dxa"/>
            <w:shd w:val="clear" w:color="000000" w:fill="FFFFFF"/>
            <w:vAlign w:val="center"/>
            <w:hideMark/>
          </w:tcPr>
          <w:p w14:paraId="1189CE68"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Extends UTAUT by including habit, price value and hedonic motivation.</w:t>
            </w:r>
          </w:p>
        </w:tc>
        <w:tc>
          <w:tcPr>
            <w:tcW w:w="2268" w:type="dxa"/>
            <w:shd w:val="clear" w:color="000000" w:fill="FFFFFF"/>
            <w:vAlign w:val="center"/>
            <w:hideMark/>
          </w:tcPr>
          <w:p w14:paraId="6EC018E3"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Consumer technology focus; limited evidence for financial services in low-income and developing-country settings.</w:t>
            </w:r>
          </w:p>
        </w:tc>
      </w:tr>
      <w:tr w:rsidR="006F6B27" w:rsidRPr="006F6B27" w14:paraId="6F6F7024" w14:textId="77777777" w:rsidTr="00815799">
        <w:trPr>
          <w:trHeight w:val="898"/>
        </w:trPr>
        <w:tc>
          <w:tcPr>
            <w:tcW w:w="388" w:type="dxa"/>
            <w:shd w:val="clear" w:color="000000" w:fill="FFFFFF"/>
            <w:vAlign w:val="center"/>
            <w:hideMark/>
          </w:tcPr>
          <w:p w14:paraId="209DA911"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79</w:t>
            </w:r>
          </w:p>
        </w:tc>
        <w:tc>
          <w:tcPr>
            <w:tcW w:w="1592" w:type="dxa"/>
            <w:shd w:val="clear" w:color="000000" w:fill="FFFFFF"/>
            <w:vAlign w:val="center"/>
            <w:hideMark/>
          </w:tcPr>
          <w:p w14:paraId="5B6BA68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World Bank (2022)</w:t>
            </w:r>
          </w:p>
        </w:tc>
        <w:tc>
          <w:tcPr>
            <w:tcW w:w="1134" w:type="dxa"/>
            <w:shd w:val="clear" w:color="000000" w:fill="FFFFFF"/>
            <w:vAlign w:val="center"/>
            <w:hideMark/>
          </w:tcPr>
          <w:p w14:paraId="4BE0491B"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 xml:space="preserve">Global survey </w:t>
            </w:r>
          </w:p>
        </w:tc>
        <w:tc>
          <w:tcPr>
            <w:tcW w:w="1276" w:type="dxa"/>
            <w:shd w:val="clear" w:color="000000" w:fill="FFFFFF"/>
            <w:vAlign w:val="center"/>
            <w:hideMark/>
          </w:tcPr>
          <w:p w14:paraId="76617642"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Financial Inclusion Framework</w:t>
            </w:r>
          </w:p>
        </w:tc>
        <w:tc>
          <w:tcPr>
            <w:tcW w:w="2551" w:type="dxa"/>
            <w:shd w:val="clear" w:color="000000" w:fill="FFFFFF"/>
            <w:vAlign w:val="center"/>
            <w:hideMark/>
          </w:tcPr>
          <w:p w14:paraId="1402BFEF"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Positions digital financial inclusion as a milestone for poverty reduction and economic resilience, urging multi-stakeholder strategic roadmaps.</w:t>
            </w:r>
          </w:p>
        </w:tc>
        <w:tc>
          <w:tcPr>
            <w:tcW w:w="2268" w:type="dxa"/>
            <w:shd w:val="clear" w:color="000000" w:fill="FFFFFF"/>
            <w:vAlign w:val="center"/>
            <w:hideMark/>
          </w:tcPr>
          <w:p w14:paraId="4889F456"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High-level developmental advocacy document; lacks primary empirical testing of local intra-household power struggles.</w:t>
            </w:r>
          </w:p>
        </w:tc>
      </w:tr>
      <w:tr w:rsidR="006F6B27" w:rsidRPr="006F6B27" w14:paraId="02D64810" w14:textId="77777777" w:rsidTr="00D4200E">
        <w:trPr>
          <w:trHeight w:val="960"/>
        </w:trPr>
        <w:tc>
          <w:tcPr>
            <w:tcW w:w="388" w:type="dxa"/>
            <w:shd w:val="clear" w:color="000000" w:fill="FFFFFF"/>
            <w:vAlign w:val="center"/>
            <w:hideMark/>
          </w:tcPr>
          <w:p w14:paraId="212DFA4F" w14:textId="77777777" w:rsidR="006F6B27" w:rsidRPr="006F6B27" w:rsidRDefault="006F6B27" w:rsidP="006F6B27">
            <w:pPr>
              <w:spacing w:after="0" w:line="240" w:lineRule="auto"/>
              <w:jc w:val="center"/>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80</w:t>
            </w:r>
          </w:p>
        </w:tc>
        <w:tc>
          <w:tcPr>
            <w:tcW w:w="1592" w:type="dxa"/>
            <w:shd w:val="clear" w:color="000000" w:fill="FFFFFF"/>
            <w:vAlign w:val="center"/>
            <w:hideMark/>
          </w:tcPr>
          <w:p w14:paraId="7BE86B75" w14:textId="62073463" w:rsidR="006F6B27" w:rsidRPr="006F6B27" w:rsidRDefault="002C5AA5" w:rsidP="006F6B27">
            <w:pPr>
              <w:spacing w:after="0" w:line="240" w:lineRule="auto"/>
              <w:rPr>
                <w:rFonts w:ascii="Book Antiqua" w:eastAsia="Times New Roman" w:hAnsi="Book Antiqua" w:cs="Times New Roman"/>
                <w:color w:val="000000"/>
                <w:kern w:val="0"/>
                <w:sz w:val="14"/>
                <w:szCs w:val="14"/>
                <w:lang w:eastAsia="en-GB"/>
                <w14:ligatures w14:val="none"/>
              </w:rPr>
            </w:pPr>
            <w:r w:rsidRPr="002C5AA5">
              <w:rPr>
                <w:rFonts w:ascii="Book Antiqua" w:eastAsia="Times New Roman" w:hAnsi="Book Antiqua" w:cs="Times New Roman"/>
                <w:color w:val="000000"/>
                <w:kern w:val="0"/>
                <w:sz w:val="14"/>
                <w:szCs w:val="14"/>
                <w:lang w:eastAsia="en-GB"/>
                <w14:ligatures w14:val="none"/>
              </w:rPr>
              <w:t>Zhang, W., Siyal, S., Riaz, S., Ahmad, R., Hilmi, M.F. and Li, Z. (2023)</w:t>
            </w:r>
          </w:p>
        </w:tc>
        <w:tc>
          <w:tcPr>
            <w:tcW w:w="1134" w:type="dxa"/>
            <w:shd w:val="clear" w:color="000000" w:fill="FFFFFF"/>
            <w:vAlign w:val="center"/>
            <w:hideMark/>
          </w:tcPr>
          <w:p w14:paraId="1E6F61A4"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Empirical quantitative analysis (Pakistan)</w:t>
            </w:r>
          </w:p>
        </w:tc>
        <w:tc>
          <w:tcPr>
            <w:tcW w:w="1276" w:type="dxa"/>
            <w:shd w:val="clear" w:color="000000" w:fill="FFFFFF"/>
            <w:vAlign w:val="center"/>
            <w:hideMark/>
          </w:tcPr>
          <w:p w14:paraId="3201870D"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Data security, customer trust, and adoption framework</w:t>
            </w:r>
          </w:p>
        </w:tc>
        <w:tc>
          <w:tcPr>
            <w:tcW w:w="2551" w:type="dxa"/>
            <w:shd w:val="clear" w:color="000000" w:fill="FFFFFF"/>
            <w:vAlign w:val="center"/>
            <w:hideMark/>
          </w:tcPr>
          <w:p w14:paraId="7FA6D995"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Demonstrates that rigorous data security and customer trust are joint, critical drivers of digital finance platform adoption intentions.</w:t>
            </w:r>
          </w:p>
        </w:tc>
        <w:tc>
          <w:tcPr>
            <w:tcW w:w="2268" w:type="dxa"/>
            <w:shd w:val="clear" w:color="000000" w:fill="FFFFFF"/>
            <w:vAlign w:val="center"/>
            <w:hideMark/>
          </w:tcPr>
          <w:p w14:paraId="3EF61D7E" w14:textId="77777777" w:rsidR="006F6B27" w:rsidRPr="006F6B27" w:rsidRDefault="006F6B27" w:rsidP="006F6B27">
            <w:pPr>
              <w:spacing w:after="0" w:line="240" w:lineRule="auto"/>
              <w:rPr>
                <w:rFonts w:ascii="Book Antiqua" w:eastAsia="Times New Roman" w:hAnsi="Book Antiqua" w:cs="Times New Roman"/>
                <w:color w:val="000000"/>
                <w:kern w:val="0"/>
                <w:sz w:val="14"/>
                <w:szCs w:val="14"/>
                <w:lang w:eastAsia="en-GB"/>
                <w14:ligatures w14:val="none"/>
              </w:rPr>
            </w:pPr>
            <w:r w:rsidRPr="006F6B27">
              <w:rPr>
                <w:rFonts w:ascii="Book Antiqua" w:eastAsia="Times New Roman" w:hAnsi="Book Antiqua" w:cs="Times New Roman"/>
                <w:color w:val="000000"/>
                <w:kern w:val="0"/>
                <w:sz w:val="14"/>
                <w:szCs w:val="14"/>
                <w:lang w:eastAsia="en-GB"/>
                <w14:ligatures w14:val="none"/>
              </w:rPr>
              <w:t>Based on existing bank account users, which structurally excludes unbanked or highly vulnerable rural women.</w:t>
            </w:r>
          </w:p>
        </w:tc>
      </w:tr>
    </w:tbl>
    <w:p w14:paraId="6761CC04" w14:textId="77777777" w:rsidR="001226A4" w:rsidRDefault="001226A4" w:rsidP="00052FB0">
      <w:pPr>
        <w:jc w:val="both"/>
        <w:rPr>
          <w:rFonts w:ascii="Book Antiqua" w:hAnsi="Book Antiqua" w:cs="Times New Roman"/>
          <w:sz w:val="16"/>
          <w:szCs w:val="16"/>
        </w:rPr>
      </w:pPr>
    </w:p>
    <w:p w14:paraId="545E0C00" w14:textId="77777777" w:rsidR="003F74FD" w:rsidRDefault="003F74FD" w:rsidP="00052FB0">
      <w:pPr>
        <w:jc w:val="both"/>
        <w:rPr>
          <w:rFonts w:ascii="Book Antiqua" w:hAnsi="Book Antiqua" w:cs="Times New Roman"/>
          <w:sz w:val="16"/>
          <w:szCs w:val="16"/>
        </w:rPr>
      </w:pPr>
    </w:p>
    <w:p w14:paraId="7687F8DF" w14:textId="77777777" w:rsidR="003F74FD" w:rsidRDefault="003F74FD" w:rsidP="00052FB0">
      <w:pPr>
        <w:jc w:val="both"/>
        <w:rPr>
          <w:rFonts w:ascii="Book Antiqua" w:hAnsi="Book Antiqua" w:cs="Times New Roman"/>
          <w:sz w:val="16"/>
          <w:szCs w:val="16"/>
        </w:rPr>
      </w:pPr>
    </w:p>
    <w:p w14:paraId="57F01AB2" w14:textId="77777777" w:rsidR="003F74FD" w:rsidRDefault="003F74FD" w:rsidP="00052FB0">
      <w:pPr>
        <w:jc w:val="both"/>
        <w:rPr>
          <w:rFonts w:ascii="Book Antiqua" w:hAnsi="Book Antiqua" w:cs="Times New Roman"/>
          <w:sz w:val="16"/>
          <w:szCs w:val="16"/>
        </w:rPr>
      </w:pPr>
    </w:p>
    <w:p w14:paraId="0EC23440" w14:textId="77777777" w:rsidR="003F74FD" w:rsidRDefault="003F74FD" w:rsidP="00052FB0">
      <w:pPr>
        <w:jc w:val="both"/>
        <w:rPr>
          <w:rFonts w:ascii="Book Antiqua" w:hAnsi="Book Antiqua" w:cs="Times New Roman"/>
          <w:sz w:val="16"/>
          <w:szCs w:val="16"/>
        </w:rPr>
      </w:pPr>
    </w:p>
    <w:p w14:paraId="0350506E" w14:textId="77777777" w:rsidR="003F74FD" w:rsidRDefault="003F74FD" w:rsidP="00052FB0">
      <w:pPr>
        <w:jc w:val="both"/>
        <w:rPr>
          <w:rFonts w:ascii="Book Antiqua" w:hAnsi="Book Antiqua" w:cs="Times New Roman"/>
          <w:sz w:val="16"/>
          <w:szCs w:val="16"/>
        </w:rPr>
      </w:pPr>
    </w:p>
    <w:p w14:paraId="5C9A36D6" w14:textId="77777777" w:rsidR="003F74FD" w:rsidRDefault="003F74FD" w:rsidP="00052FB0">
      <w:pPr>
        <w:jc w:val="both"/>
        <w:rPr>
          <w:rFonts w:ascii="Book Antiqua" w:hAnsi="Book Antiqua" w:cs="Times New Roman"/>
          <w:sz w:val="16"/>
          <w:szCs w:val="16"/>
        </w:rPr>
      </w:pPr>
    </w:p>
    <w:p w14:paraId="0D8DE433" w14:textId="77777777" w:rsidR="002C5AA5" w:rsidRDefault="002C5AA5" w:rsidP="002C5AA5">
      <w:pPr>
        <w:pStyle w:val="ListParagraph"/>
        <w:ind w:left="0"/>
        <w:rPr>
          <w:rFonts w:ascii="Book Antiqua" w:hAnsi="Book Antiqua" w:cs="Times New Roman"/>
          <w:b/>
          <w:bCs/>
          <w:color w:val="215E99" w:themeColor="text2" w:themeTint="BF"/>
        </w:rPr>
      </w:pPr>
    </w:p>
    <w:p w14:paraId="185A0CBC" w14:textId="17783898" w:rsidR="002C5AA5" w:rsidRPr="002B6F32" w:rsidRDefault="002C5AA5" w:rsidP="002C5AA5">
      <w:pPr>
        <w:pStyle w:val="ListParagraph"/>
        <w:ind w:left="0"/>
        <w:jc w:val="center"/>
        <w:rPr>
          <w:rFonts w:ascii="Book Antiqua" w:hAnsi="Book Antiqua" w:cs="Times New Roman"/>
          <w:b/>
          <w:bCs/>
          <w:color w:val="215E99" w:themeColor="text2" w:themeTint="BF"/>
        </w:rPr>
      </w:pPr>
      <w:r w:rsidRPr="002B6F32">
        <w:rPr>
          <w:rFonts w:ascii="Book Antiqua" w:hAnsi="Book Antiqua" w:cs="Times New Roman"/>
          <w:b/>
          <w:bCs/>
          <w:color w:val="215E99" w:themeColor="text2" w:themeTint="BF"/>
        </w:rPr>
        <w:lastRenderedPageBreak/>
        <w:t>PART I</w:t>
      </w:r>
      <w:r>
        <w:rPr>
          <w:rFonts w:ascii="Book Antiqua" w:hAnsi="Book Antiqua" w:cs="Times New Roman"/>
          <w:b/>
          <w:bCs/>
          <w:color w:val="215E99" w:themeColor="text2" w:themeTint="BF"/>
        </w:rPr>
        <w:t>I</w:t>
      </w:r>
    </w:p>
    <w:p w14:paraId="7601A15F" w14:textId="18AE7A90" w:rsidR="003F74FD" w:rsidRDefault="004D5356" w:rsidP="004D5356">
      <w:pPr>
        <w:pStyle w:val="ListParagraph"/>
        <w:ind w:left="0"/>
        <w:jc w:val="center"/>
        <w:rPr>
          <w:rFonts w:ascii="Book Antiqua" w:hAnsi="Book Antiqua" w:cs="Times New Roman"/>
          <w:b/>
          <w:bCs/>
          <w:color w:val="215E99" w:themeColor="text2" w:themeTint="BF"/>
        </w:rPr>
      </w:pPr>
      <w:r w:rsidRPr="004D5356">
        <w:rPr>
          <w:rFonts w:ascii="Book Antiqua" w:hAnsi="Book Antiqua" w:cs="Times New Roman"/>
          <w:b/>
          <w:bCs/>
          <w:color w:val="215E99" w:themeColor="text2" w:themeTint="BF"/>
        </w:rPr>
        <w:t xml:space="preserve">Writing a Reflective Report </w:t>
      </w:r>
    </w:p>
    <w:p w14:paraId="0809DA8F" w14:textId="77777777" w:rsidR="006768E9" w:rsidRPr="006768E9" w:rsidRDefault="006768E9" w:rsidP="004D5356">
      <w:pPr>
        <w:pStyle w:val="ListParagraph"/>
        <w:ind w:left="0"/>
        <w:jc w:val="center"/>
        <w:rPr>
          <w:rFonts w:ascii="Book Antiqua" w:hAnsi="Book Antiqua" w:cs="Times New Roman"/>
          <w:b/>
          <w:bCs/>
          <w:color w:val="215E99" w:themeColor="text2" w:themeTint="BF"/>
          <w:sz w:val="16"/>
          <w:szCs w:val="16"/>
        </w:rPr>
      </w:pPr>
    </w:p>
    <w:p w14:paraId="2F0FF765" w14:textId="77777777" w:rsidR="006768E9" w:rsidRPr="006768E9" w:rsidRDefault="006768E9" w:rsidP="006768E9">
      <w:pPr>
        <w:spacing w:after="0"/>
        <w:jc w:val="both"/>
        <w:rPr>
          <w:rFonts w:ascii="Book Antiqua" w:hAnsi="Book Antiqua"/>
          <w:b/>
          <w:bCs/>
          <w:color w:val="0070C0"/>
          <w:sz w:val="16"/>
          <w:szCs w:val="16"/>
        </w:rPr>
      </w:pPr>
      <w:r w:rsidRPr="006768E9">
        <w:rPr>
          <w:rFonts w:ascii="Book Antiqua" w:hAnsi="Book Antiqua"/>
          <w:b/>
          <w:bCs/>
          <w:color w:val="0070C0"/>
          <w:sz w:val="16"/>
          <w:szCs w:val="16"/>
        </w:rPr>
        <w:t>1. Introduction</w:t>
      </w:r>
    </w:p>
    <w:p w14:paraId="12929E22" w14:textId="77777777" w:rsidR="006768E9" w:rsidRPr="006768E9" w:rsidRDefault="006768E9" w:rsidP="006768E9">
      <w:pPr>
        <w:spacing w:after="0"/>
        <w:jc w:val="both"/>
        <w:rPr>
          <w:rFonts w:ascii="Book Antiqua" w:hAnsi="Book Antiqua"/>
          <w:sz w:val="16"/>
          <w:szCs w:val="16"/>
        </w:rPr>
      </w:pPr>
    </w:p>
    <w:p w14:paraId="1DC939EC" w14:textId="07FBA81A"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This reflective report looks back on my learning experience in the module "Converting Research into Practice". The primary goal of this module was to help me move from theoretical ideas to a working research proposal. It covered research foundations, the CIMO framework, systematic searching, quality appraisal, coding, thematic analysis, and the discussion of findings, alongside the craft of qualitative writing through </w:t>
      </w:r>
      <w:r w:rsidRPr="006768E9">
        <w:rPr>
          <w:rFonts w:ascii="Book Antiqua" w:hAnsi="Book Antiqua"/>
          <w:color w:val="0070C0"/>
          <w:sz w:val="16"/>
          <w:szCs w:val="16"/>
        </w:rPr>
        <w:t xml:space="preserve">Staller (2015) </w:t>
      </w:r>
      <w:r w:rsidRPr="006768E9">
        <w:rPr>
          <w:rFonts w:ascii="Book Antiqua" w:hAnsi="Book Antiqua"/>
          <w:sz w:val="16"/>
          <w:szCs w:val="16"/>
        </w:rPr>
        <w:t xml:space="preserve">on moving beyond thin description and </w:t>
      </w:r>
      <w:r w:rsidRPr="006768E9">
        <w:rPr>
          <w:rFonts w:ascii="Book Antiqua" w:hAnsi="Book Antiqua"/>
          <w:color w:val="0070C0"/>
          <w:sz w:val="16"/>
          <w:szCs w:val="16"/>
        </w:rPr>
        <w:t>Gilgun (201</w:t>
      </w:r>
      <w:r w:rsidR="0058443D">
        <w:rPr>
          <w:rFonts w:ascii="Book Antiqua" w:hAnsi="Book Antiqua"/>
          <w:color w:val="0070C0"/>
          <w:sz w:val="16"/>
          <w:szCs w:val="16"/>
        </w:rPr>
        <w:t>5</w:t>
      </w:r>
      <w:r w:rsidRPr="006768E9">
        <w:rPr>
          <w:rFonts w:ascii="Book Antiqua" w:hAnsi="Book Antiqua"/>
          <w:color w:val="0070C0"/>
          <w:sz w:val="16"/>
          <w:szCs w:val="16"/>
        </w:rPr>
        <w:t xml:space="preserve">) </w:t>
      </w:r>
      <w:r w:rsidRPr="006768E9">
        <w:rPr>
          <w:rFonts w:ascii="Book Antiqua" w:hAnsi="Book Antiqua"/>
          <w:sz w:val="16"/>
          <w:szCs w:val="16"/>
        </w:rPr>
        <w:t xml:space="preserve">on writing up qualitative research with a clear analytical voice. Each week combined a lecture with a practical activity, so I was constantly applying new ideas. Here I have used two models to structure this reflection: </w:t>
      </w:r>
      <w:r w:rsidRPr="00001FDC">
        <w:rPr>
          <w:rFonts w:ascii="Book Antiqua" w:hAnsi="Book Antiqua"/>
          <w:color w:val="0070C0"/>
          <w:sz w:val="16"/>
          <w:szCs w:val="16"/>
        </w:rPr>
        <w:t>Gibbs' Reflective Cycle (1988)</w:t>
      </w:r>
      <w:r w:rsidRPr="00DC620E">
        <w:rPr>
          <w:rFonts w:ascii="Book Antiqua" w:hAnsi="Book Antiqua"/>
          <w:b/>
          <w:bCs/>
          <w:sz w:val="16"/>
          <w:szCs w:val="16"/>
        </w:rPr>
        <w:t xml:space="preserve"> </w:t>
      </w:r>
      <w:r w:rsidRPr="00001FDC">
        <w:rPr>
          <w:rFonts w:ascii="Book Antiqua" w:hAnsi="Book Antiqua"/>
          <w:sz w:val="16"/>
          <w:szCs w:val="16"/>
        </w:rPr>
        <w:t xml:space="preserve">and </w:t>
      </w:r>
      <w:r w:rsidRPr="00001FDC">
        <w:rPr>
          <w:rFonts w:ascii="Book Antiqua" w:hAnsi="Book Antiqua"/>
          <w:color w:val="0070C0"/>
          <w:sz w:val="16"/>
          <w:szCs w:val="16"/>
        </w:rPr>
        <w:t>Kolb's Experiential Learning Cycle (1984)</w:t>
      </w:r>
      <w:r w:rsidRPr="00001FDC">
        <w:rPr>
          <w:rFonts w:ascii="Book Antiqua" w:hAnsi="Book Antiqua"/>
          <w:sz w:val="16"/>
          <w:szCs w:val="16"/>
        </w:rPr>
        <w:t xml:space="preserve">. </w:t>
      </w:r>
      <w:r w:rsidRPr="006768E9">
        <w:rPr>
          <w:rFonts w:ascii="Book Antiqua" w:hAnsi="Book Antiqua"/>
          <w:sz w:val="16"/>
          <w:szCs w:val="16"/>
        </w:rPr>
        <w:t>Gibbs offers six clear stages, moving from description through to a concrete action plan, giving a simple structure for a first-time reflective writer. Kolb links reflection directly to future action and treats learning as a cycle rather than a single event. Gibbs helps me look closely at my emotional and cognitive reactions, whereas Kolb helps me see how these reactions translate into a continuous cycle of professional development. By using both models together, I can analyse my learning from multiple angles.</w:t>
      </w:r>
    </w:p>
    <w:p w14:paraId="4BBFD5B8" w14:textId="77777777" w:rsidR="006768E9" w:rsidRPr="006768E9" w:rsidRDefault="006768E9" w:rsidP="006768E9">
      <w:pPr>
        <w:spacing w:after="0"/>
        <w:jc w:val="both"/>
        <w:rPr>
          <w:rFonts w:ascii="Book Antiqua" w:hAnsi="Book Antiqua"/>
          <w:sz w:val="16"/>
          <w:szCs w:val="16"/>
        </w:rPr>
      </w:pPr>
    </w:p>
    <w:p w14:paraId="1976DC85" w14:textId="77777777" w:rsidR="006768E9" w:rsidRPr="00DC620E" w:rsidRDefault="006768E9" w:rsidP="006768E9">
      <w:pPr>
        <w:spacing w:after="0"/>
        <w:jc w:val="both"/>
        <w:rPr>
          <w:rFonts w:ascii="Book Antiqua" w:hAnsi="Book Antiqua"/>
          <w:b/>
          <w:bCs/>
          <w:color w:val="0070C0"/>
          <w:sz w:val="16"/>
          <w:szCs w:val="16"/>
        </w:rPr>
      </w:pPr>
      <w:r w:rsidRPr="00DC620E">
        <w:rPr>
          <w:rFonts w:ascii="Book Antiqua" w:hAnsi="Book Antiqua"/>
          <w:b/>
          <w:bCs/>
          <w:color w:val="0070C0"/>
          <w:sz w:val="16"/>
          <w:szCs w:val="16"/>
        </w:rPr>
        <w:t>2. Applying Gibbs' Reflective Cycle (1988)</w:t>
      </w:r>
    </w:p>
    <w:p w14:paraId="7FF6AAA3" w14:textId="77777777" w:rsidR="006768E9" w:rsidRPr="006768E9" w:rsidRDefault="006768E9" w:rsidP="006768E9">
      <w:pPr>
        <w:spacing w:after="0"/>
        <w:jc w:val="both"/>
        <w:rPr>
          <w:rFonts w:ascii="Book Antiqua" w:hAnsi="Book Antiqua"/>
          <w:sz w:val="16"/>
          <w:szCs w:val="16"/>
        </w:rPr>
      </w:pPr>
    </w:p>
    <w:p w14:paraId="34FD24A1" w14:textId="57D27BD9" w:rsidR="006768E9" w:rsidRDefault="006768E9" w:rsidP="006768E9">
      <w:pPr>
        <w:spacing w:after="0"/>
        <w:jc w:val="both"/>
        <w:rPr>
          <w:rFonts w:ascii="Book Antiqua" w:hAnsi="Book Antiqua"/>
          <w:b/>
          <w:bCs/>
          <w:color w:val="000000" w:themeColor="text1"/>
          <w:sz w:val="16"/>
          <w:szCs w:val="16"/>
        </w:rPr>
      </w:pPr>
      <w:r w:rsidRPr="00DC620E">
        <w:rPr>
          <w:rFonts w:ascii="Book Antiqua" w:hAnsi="Book Antiqua"/>
          <w:b/>
          <w:bCs/>
          <w:color w:val="000000" w:themeColor="text1"/>
          <w:sz w:val="16"/>
          <w:szCs w:val="16"/>
        </w:rPr>
        <w:t>i</w:t>
      </w:r>
      <w:r w:rsidR="00DC620E">
        <w:rPr>
          <w:rFonts w:ascii="Book Antiqua" w:hAnsi="Book Antiqua"/>
          <w:b/>
          <w:bCs/>
          <w:color w:val="000000" w:themeColor="text1"/>
          <w:sz w:val="16"/>
          <w:szCs w:val="16"/>
        </w:rPr>
        <w:t>.</w:t>
      </w:r>
      <w:r w:rsidRPr="00DC620E">
        <w:rPr>
          <w:rFonts w:ascii="Book Antiqua" w:hAnsi="Book Antiqua"/>
          <w:b/>
          <w:bCs/>
          <w:color w:val="000000" w:themeColor="text1"/>
          <w:sz w:val="16"/>
          <w:szCs w:val="16"/>
        </w:rPr>
        <w:t xml:space="preserve"> Description</w:t>
      </w:r>
    </w:p>
    <w:p w14:paraId="5428D6D8" w14:textId="77777777" w:rsidR="00DC620E" w:rsidRPr="00DC620E" w:rsidRDefault="00DC620E" w:rsidP="006768E9">
      <w:pPr>
        <w:spacing w:after="0"/>
        <w:jc w:val="both"/>
        <w:rPr>
          <w:rFonts w:ascii="Book Antiqua" w:hAnsi="Book Antiqua"/>
          <w:color w:val="000000" w:themeColor="text1"/>
          <w:sz w:val="16"/>
          <w:szCs w:val="16"/>
        </w:rPr>
      </w:pPr>
    </w:p>
    <w:p w14:paraId="6E73003D"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The module began with foundational sessions on research design and philosophy. We discussed how to choose a workable research topic, set clear aims, and write precise objectives. From there, we moved into the mechanics of systematic literature reviews while studying quality appraisal tools, text coding, and thematic analysis. Each weekly session combined a lecture with hands-on classroom activities. For example, we practiced building a data extraction table using sample academic papers. We also practiced first-cycle and second-cycle coding, moving from descriptive codes to broader analytical themes. Later in the module, we applied the PRISMA process to a real search strategy. We designed search strings using Boolean operators and set clear inclusion and exclusion criteria. Finally, we used the CASP checklist and the TAPUPAM framework to score paper quality. This carried into a session on writing the Discussion of Findings chapter, where we linked every theme back to CIMO and asked, of every finding, why it matters to a practising manager. We ended each week with a task linked to our own research topic, so the classroom work fed directly into my assignment.</w:t>
      </w:r>
    </w:p>
    <w:p w14:paraId="4CDD1680" w14:textId="77777777" w:rsidR="006768E9" w:rsidRPr="006768E9" w:rsidRDefault="006768E9" w:rsidP="006768E9">
      <w:pPr>
        <w:spacing w:after="0"/>
        <w:jc w:val="both"/>
        <w:rPr>
          <w:rFonts w:ascii="Book Antiqua" w:hAnsi="Book Antiqua"/>
          <w:sz w:val="16"/>
          <w:szCs w:val="16"/>
        </w:rPr>
      </w:pPr>
    </w:p>
    <w:p w14:paraId="58B50D88" w14:textId="77777777" w:rsidR="006768E9" w:rsidRDefault="006768E9" w:rsidP="006768E9">
      <w:pPr>
        <w:spacing w:after="0"/>
        <w:jc w:val="both"/>
        <w:rPr>
          <w:rFonts w:ascii="Book Antiqua" w:hAnsi="Book Antiqua"/>
          <w:b/>
          <w:bCs/>
          <w:color w:val="000000" w:themeColor="text1"/>
          <w:sz w:val="16"/>
          <w:szCs w:val="16"/>
        </w:rPr>
      </w:pPr>
      <w:r w:rsidRPr="00DC620E">
        <w:rPr>
          <w:rFonts w:ascii="Book Antiqua" w:hAnsi="Book Antiqua"/>
          <w:b/>
          <w:bCs/>
          <w:color w:val="000000" w:themeColor="text1"/>
          <w:sz w:val="16"/>
          <w:szCs w:val="16"/>
        </w:rPr>
        <w:t>ii. Feelings</w:t>
      </w:r>
    </w:p>
    <w:p w14:paraId="1900170A" w14:textId="77777777" w:rsidR="00DC620E" w:rsidRPr="00DC620E" w:rsidRDefault="00DC620E" w:rsidP="006768E9">
      <w:pPr>
        <w:spacing w:after="0"/>
        <w:jc w:val="both"/>
        <w:rPr>
          <w:rFonts w:ascii="Book Antiqua" w:hAnsi="Book Antiqua"/>
          <w:b/>
          <w:bCs/>
          <w:color w:val="000000" w:themeColor="text1"/>
          <w:sz w:val="16"/>
          <w:szCs w:val="16"/>
        </w:rPr>
      </w:pPr>
    </w:p>
    <w:p w14:paraId="34D4FCDD" w14:textId="39204BA2"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I found this module genuinely enjoyable from the very first session. The activities were highly practical and interactive. I was not just sitting and listening to presentation slides. Instead, I was actively building tables, coding raw text, and mapping out themes with </w:t>
      </w:r>
      <w:r w:rsidR="00E54AC1" w:rsidRPr="00E54AC1">
        <w:rPr>
          <w:rFonts w:ascii="Book Antiqua" w:hAnsi="Book Antiqua"/>
          <w:sz w:val="16"/>
          <w:szCs w:val="16"/>
        </w:rPr>
        <w:t>sustained, focused</w:t>
      </w:r>
      <w:r w:rsidR="00E54AC1">
        <w:rPr>
          <w:rFonts w:ascii="Book Antiqua" w:hAnsi="Book Antiqua"/>
          <w:sz w:val="16"/>
          <w:szCs w:val="16"/>
        </w:rPr>
        <w:t xml:space="preserve"> </w:t>
      </w:r>
      <w:r w:rsidRPr="006768E9">
        <w:rPr>
          <w:rFonts w:ascii="Book Antiqua" w:hAnsi="Book Antiqua"/>
          <w:sz w:val="16"/>
          <w:szCs w:val="16"/>
        </w:rPr>
        <w:t>work. This hands-on approach made the complex material much easier to understand and retain. The professor was exceptionally warm, approachable, and communicative. She was always ready to pause and explain difficult concepts again if anyone was confused. Questions were always welcomed and never rushed past. This supportive environment made me feel safe to ask simple questions without any embarrassment. As a result, my academic confidence grew steadily each week. However, I also experienced moments of genuine frustration. When I began searching the databases for my own literature review, I struggled to find papers that fit my exact context. Many search results initially looked perfect. Yet, upon closer reading, they turned out to be simple opinion pieces, or broad economic papers that ignored my required content. This slowed down my progress and left me feeling quite anxious and uncertain at times.</w:t>
      </w:r>
    </w:p>
    <w:p w14:paraId="69F577AF" w14:textId="77777777" w:rsidR="006768E9" w:rsidRPr="006768E9" w:rsidRDefault="006768E9" w:rsidP="006768E9">
      <w:pPr>
        <w:spacing w:after="0"/>
        <w:jc w:val="both"/>
        <w:rPr>
          <w:rFonts w:ascii="Book Antiqua" w:hAnsi="Book Antiqua"/>
          <w:sz w:val="16"/>
          <w:szCs w:val="16"/>
        </w:rPr>
      </w:pPr>
    </w:p>
    <w:p w14:paraId="08FD66C5" w14:textId="77777777" w:rsidR="006768E9" w:rsidRDefault="006768E9" w:rsidP="006768E9">
      <w:pPr>
        <w:spacing w:after="0"/>
        <w:jc w:val="both"/>
        <w:rPr>
          <w:rFonts w:ascii="Book Antiqua" w:hAnsi="Book Antiqua"/>
          <w:b/>
          <w:bCs/>
          <w:color w:val="000000" w:themeColor="text1"/>
          <w:sz w:val="16"/>
          <w:szCs w:val="16"/>
        </w:rPr>
      </w:pPr>
      <w:r w:rsidRPr="00DC620E">
        <w:rPr>
          <w:rFonts w:ascii="Book Antiqua" w:hAnsi="Book Antiqua"/>
          <w:b/>
          <w:bCs/>
          <w:color w:val="000000" w:themeColor="text1"/>
          <w:sz w:val="16"/>
          <w:szCs w:val="16"/>
        </w:rPr>
        <w:t>iii. Evaluation</w:t>
      </w:r>
    </w:p>
    <w:p w14:paraId="69B56D5A" w14:textId="77777777" w:rsidR="00DC620E" w:rsidRPr="00DC620E" w:rsidRDefault="00DC620E" w:rsidP="006768E9">
      <w:pPr>
        <w:spacing w:after="0"/>
        <w:jc w:val="both"/>
        <w:rPr>
          <w:rFonts w:ascii="Book Antiqua" w:hAnsi="Book Antiqua"/>
          <w:b/>
          <w:bCs/>
          <w:color w:val="000000" w:themeColor="text1"/>
          <w:sz w:val="16"/>
          <w:szCs w:val="16"/>
        </w:rPr>
      </w:pPr>
    </w:p>
    <w:p w14:paraId="7C5C4025" w14:textId="616742B8"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The most positive aspect of this module was the perfect balance between structured theory and hands-on practice. The discussions gave me a clear, step-by-step protocol: define research questions with CIMO, search databases with Boolean strings, screen articles with PRISMA, appraise with CASP, then code and synthesise the findings. Having this clear roadmap meant I never felt truly lost. I always knew exactly what my next step should be. Furthermore, the classroom activities worked well because they were completely </w:t>
      </w:r>
      <w:r w:rsidR="00A1520A" w:rsidRPr="006768E9">
        <w:rPr>
          <w:rFonts w:ascii="Book Antiqua" w:hAnsi="Book Antiqua"/>
          <w:sz w:val="16"/>
          <w:szCs w:val="16"/>
        </w:rPr>
        <w:t>low</w:t>
      </w:r>
      <w:r w:rsidR="00A1520A">
        <w:rPr>
          <w:rFonts w:ascii="Book Antiqua" w:hAnsi="Book Antiqua"/>
          <w:sz w:val="16"/>
          <w:szCs w:val="16"/>
        </w:rPr>
        <w:t xml:space="preserve"> risk</w:t>
      </w:r>
      <w:r w:rsidRPr="006768E9">
        <w:rPr>
          <w:rFonts w:ascii="Book Antiqua" w:hAnsi="Book Antiqua"/>
          <w:sz w:val="16"/>
          <w:szCs w:val="16"/>
        </w:rPr>
        <w:t>. Making mistakes on shared practices felt safe and natural. It allowed me to learn from my errors without worrying about my final grade. The main downside was the sheer difficulty of the literature search itself. Finding authentic, high-quality, peer-reviewed sources that spoke directly to my niche topic took far longer than I had anticipated. Many search results were either too broad or lacked empirical rigor. I had to refine my database keywords multiple times. I also had to check every single paper carefully against our strict inclusion and exclusion criteria. This sorting process was mentally tiring, but it taught me to be much more disciplined about what counts as high-quality, academic evidence.</w:t>
      </w:r>
    </w:p>
    <w:p w14:paraId="7A15CE90" w14:textId="77777777" w:rsidR="006768E9" w:rsidRPr="006768E9" w:rsidRDefault="006768E9" w:rsidP="006768E9">
      <w:pPr>
        <w:spacing w:after="0"/>
        <w:jc w:val="both"/>
        <w:rPr>
          <w:rFonts w:ascii="Book Antiqua" w:hAnsi="Book Antiqua"/>
          <w:sz w:val="16"/>
          <w:szCs w:val="16"/>
        </w:rPr>
      </w:pPr>
    </w:p>
    <w:p w14:paraId="31A265B8" w14:textId="77777777" w:rsidR="006768E9" w:rsidRPr="00DC620E" w:rsidRDefault="006768E9" w:rsidP="006768E9">
      <w:pPr>
        <w:spacing w:after="0"/>
        <w:jc w:val="both"/>
        <w:rPr>
          <w:rFonts w:ascii="Book Antiqua" w:hAnsi="Book Antiqua"/>
          <w:b/>
          <w:bCs/>
          <w:color w:val="000000" w:themeColor="text1"/>
          <w:sz w:val="16"/>
          <w:szCs w:val="16"/>
        </w:rPr>
      </w:pPr>
      <w:r w:rsidRPr="00DC620E">
        <w:rPr>
          <w:rFonts w:ascii="Book Antiqua" w:hAnsi="Book Antiqua"/>
          <w:b/>
          <w:bCs/>
          <w:color w:val="000000" w:themeColor="text1"/>
          <w:sz w:val="16"/>
          <w:szCs w:val="16"/>
        </w:rPr>
        <w:t>iv. Analysis</w:t>
      </w:r>
    </w:p>
    <w:p w14:paraId="2655A7E7" w14:textId="77777777" w:rsidR="00DC620E" w:rsidRDefault="00DC620E" w:rsidP="006768E9">
      <w:pPr>
        <w:spacing w:after="0"/>
        <w:jc w:val="both"/>
        <w:rPr>
          <w:rFonts w:ascii="Book Antiqua" w:hAnsi="Book Antiqua"/>
          <w:sz w:val="16"/>
          <w:szCs w:val="16"/>
        </w:rPr>
      </w:pPr>
    </w:p>
    <w:p w14:paraId="3E2523FA" w14:textId="6EA5027B"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Why did I face the initial search difficulties? Looking back, my early database searches were simply too broad. I relied on single, basic keywords instead of combining them with strategic Boolean operators. Once I strictly applied the search strategies we practiced in class, using AND/OR combinations and clearer inclusion criteria, my results improved, and the CASP checklist </w:t>
      </w:r>
      <w:r w:rsidRPr="006768E9">
        <w:rPr>
          <w:rFonts w:ascii="Book Antiqua" w:hAnsi="Book Antiqua"/>
          <w:sz w:val="16"/>
          <w:szCs w:val="16"/>
        </w:rPr>
        <w:lastRenderedPageBreak/>
        <w:t>helped me filter out weak papers quickly. The module gave me the correct tools; I simply needed to apply them with more discipline and precision. I also recogni</w:t>
      </w:r>
      <w:r w:rsidR="00A1520A">
        <w:rPr>
          <w:rFonts w:ascii="Book Antiqua" w:hAnsi="Book Antiqua"/>
          <w:sz w:val="16"/>
          <w:szCs w:val="16"/>
        </w:rPr>
        <w:t>s</w:t>
      </w:r>
      <w:r w:rsidRPr="006768E9">
        <w:rPr>
          <w:rFonts w:ascii="Book Antiqua" w:hAnsi="Book Antiqua"/>
          <w:sz w:val="16"/>
          <w:szCs w:val="16"/>
        </w:rPr>
        <w:t>e that the professor's teaching style was crucial to my success. Because the sessions were highly interactive, and I could ask for guidance on my specific search terms in real time. This immediate feedback loop shortened my learning curve significantly. Without that direct support, my learning outcome would have taken much longer and felt far more discouraging.</w:t>
      </w:r>
    </w:p>
    <w:p w14:paraId="31E20962" w14:textId="77777777" w:rsidR="006768E9" w:rsidRPr="006768E9" w:rsidRDefault="006768E9" w:rsidP="006768E9">
      <w:pPr>
        <w:spacing w:after="0"/>
        <w:jc w:val="both"/>
        <w:rPr>
          <w:rFonts w:ascii="Book Antiqua" w:hAnsi="Book Antiqua"/>
          <w:sz w:val="16"/>
          <w:szCs w:val="16"/>
        </w:rPr>
      </w:pPr>
    </w:p>
    <w:p w14:paraId="478ECD17" w14:textId="77777777" w:rsidR="006768E9" w:rsidRDefault="006768E9" w:rsidP="006768E9">
      <w:pPr>
        <w:spacing w:after="0"/>
        <w:jc w:val="both"/>
        <w:rPr>
          <w:rFonts w:ascii="Book Antiqua" w:hAnsi="Book Antiqua"/>
          <w:b/>
          <w:bCs/>
          <w:color w:val="000000" w:themeColor="text1"/>
          <w:sz w:val="16"/>
          <w:szCs w:val="16"/>
        </w:rPr>
      </w:pPr>
      <w:r w:rsidRPr="003308B4">
        <w:rPr>
          <w:rFonts w:ascii="Book Antiqua" w:hAnsi="Book Antiqua"/>
          <w:b/>
          <w:bCs/>
          <w:color w:val="000000" w:themeColor="text1"/>
          <w:sz w:val="16"/>
          <w:szCs w:val="16"/>
        </w:rPr>
        <w:t>v. Conclusion</w:t>
      </w:r>
    </w:p>
    <w:p w14:paraId="38CBE780" w14:textId="77777777" w:rsidR="003308B4" w:rsidRPr="003308B4" w:rsidRDefault="003308B4" w:rsidP="006768E9">
      <w:pPr>
        <w:spacing w:after="0"/>
        <w:jc w:val="both"/>
        <w:rPr>
          <w:rFonts w:ascii="Book Antiqua" w:hAnsi="Book Antiqua"/>
          <w:b/>
          <w:bCs/>
          <w:color w:val="000000" w:themeColor="text1"/>
          <w:sz w:val="16"/>
          <w:szCs w:val="16"/>
        </w:rPr>
      </w:pPr>
    </w:p>
    <w:p w14:paraId="4C5ED90D" w14:textId="187FE733"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Looking back, the module gave me a strong foundation in systematic literature review and qualitative thematic analysis. Experiencing an open</w:t>
      </w:r>
      <w:r w:rsidR="00BC42F2">
        <w:rPr>
          <w:rFonts w:ascii="Book Antiqua" w:hAnsi="Book Antiqua"/>
          <w:sz w:val="16"/>
          <w:szCs w:val="16"/>
        </w:rPr>
        <w:t xml:space="preserve"> and</w:t>
      </w:r>
      <w:r w:rsidRPr="006768E9">
        <w:rPr>
          <w:rFonts w:ascii="Book Antiqua" w:hAnsi="Book Antiqua"/>
          <w:sz w:val="16"/>
          <w:szCs w:val="16"/>
        </w:rPr>
        <w:t xml:space="preserve"> communicative teaching style makes a </w:t>
      </w:r>
      <w:r w:rsidR="00E94B75">
        <w:rPr>
          <w:rFonts w:ascii="Book Antiqua" w:hAnsi="Book Antiqua"/>
          <w:sz w:val="16"/>
          <w:szCs w:val="16"/>
        </w:rPr>
        <w:t>significant</w:t>
      </w:r>
      <w:r w:rsidRPr="006768E9">
        <w:rPr>
          <w:rFonts w:ascii="Book Antiqua" w:hAnsi="Book Antiqua"/>
          <w:sz w:val="16"/>
          <w:szCs w:val="16"/>
        </w:rPr>
        <w:t xml:space="preserve"> difference in research education. It encouraged me to speak up and seek help rather than staying stuck. Finally, I want to conclude that if I had been more confident with Boolean search techniques from day one, I would have saved a lot of valuable time. This is a very clear lesson that I will carry forward into my final research project.</w:t>
      </w:r>
    </w:p>
    <w:p w14:paraId="6DB99E90" w14:textId="77777777" w:rsidR="006768E9" w:rsidRPr="006768E9" w:rsidRDefault="006768E9" w:rsidP="006768E9">
      <w:pPr>
        <w:spacing w:after="0"/>
        <w:jc w:val="both"/>
        <w:rPr>
          <w:rFonts w:ascii="Book Antiqua" w:hAnsi="Book Antiqua"/>
          <w:b/>
          <w:bCs/>
          <w:color w:val="0070C0"/>
          <w:sz w:val="16"/>
          <w:szCs w:val="16"/>
        </w:rPr>
      </w:pPr>
    </w:p>
    <w:p w14:paraId="0504E829" w14:textId="77777777" w:rsidR="006768E9" w:rsidRDefault="006768E9" w:rsidP="006768E9">
      <w:pPr>
        <w:spacing w:after="0"/>
        <w:rPr>
          <w:rFonts w:ascii="Book Antiqua" w:hAnsi="Book Antiqua"/>
          <w:b/>
          <w:bCs/>
          <w:color w:val="000000" w:themeColor="text1"/>
          <w:sz w:val="16"/>
          <w:szCs w:val="16"/>
        </w:rPr>
      </w:pPr>
      <w:r w:rsidRPr="003308B4">
        <w:rPr>
          <w:rFonts w:ascii="Book Antiqua" w:hAnsi="Book Antiqua"/>
          <w:b/>
          <w:bCs/>
          <w:color w:val="000000" w:themeColor="text1"/>
          <w:sz w:val="16"/>
          <w:szCs w:val="16"/>
        </w:rPr>
        <w:t>vi. Action Plan</w:t>
      </w:r>
    </w:p>
    <w:p w14:paraId="31D7FF0C" w14:textId="77777777" w:rsidR="003308B4" w:rsidRPr="003308B4" w:rsidRDefault="003308B4" w:rsidP="006768E9">
      <w:pPr>
        <w:spacing w:after="0"/>
        <w:rPr>
          <w:rFonts w:ascii="Book Antiqua" w:hAnsi="Book Antiqua"/>
          <w:b/>
          <w:bCs/>
          <w:color w:val="000000" w:themeColor="text1"/>
          <w:sz w:val="16"/>
          <w:szCs w:val="16"/>
        </w:rPr>
      </w:pPr>
    </w:p>
    <w:p w14:paraId="284B2B76" w14:textId="0B548F3F"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Going forward, I will build my search strings before I start searching, not during the process. I will apply the CASP checklist to every source as soon as I find it, rather than leaving quality appraisal until later. I will also keep a search log, recording each database, keyword combination, and result count. This will make my process more transparent and easier to defend later. Finally, I will reach out for guidance earlier when a search stalls, rather than struggling alone for too long. When I write my discussion of findings, I will use CIMO to keep my synthesis structured, and I will apply Staller's thick description standard so that not </w:t>
      </w:r>
      <w:r w:rsidR="00FF0126">
        <w:rPr>
          <w:rFonts w:ascii="Book Antiqua" w:hAnsi="Book Antiqua"/>
          <w:sz w:val="16"/>
          <w:szCs w:val="16"/>
        </w:rPr>
        <w:t xml:space="preserve">only </w:t>
      </w:r>
      <w:r w:rsidRPr="006768E9">
        <w:rPr>
          <w:rFonts w:ascii="Book Antiqua" w:hAnsi="Book Antiqua"/>
          <w:sz w:val="16"/>
          <w:szCs w:val="16"/>
        </w:rPr>
        <w:t>my sources, also my analysis does the talking.</w:t>
      </w:r>
    </w:p>
    <w:p w14:paraId="66CF1B0B" w14:textId="77777777" w:rsidR="006768E9" w:rsidRPr="006768E9" w:rsidRDefault="006768E9" w:rsidP="006768E9">
      <w:pPr>
        <w:spacing w:after="0"/>
        <w:jc w:val="both"/>
        <w:rPr>
          <w:rFonts w:ascii="Book Antiqua" w:hAnsi="Book Antiqua"/>
          <w:sz w:val="16"/>
          <w:szCs w:val="16"/>
        </w:rPr>
      </w:pPr>
    </w:p>
    <w:p w14:paraId="324D5248" w14:textId="77777777" w:rsidR="006768E9" w:rsidRPr="003308B4" w:rsidRDefault="006768E9" w:rsidP="006768E9">
      <w:pPr>
        <w:spacing w:after="0"/>
        <w:jc w:val="both"/>
        <w:rPr>
          <w:rFonts w:ascii="Book Antiqua" w:hAnsi="Book Antiqua"/>
          <w:b/>
          <w:bCs/>
          <w:color w:val="0070C0"/>
          <w:sz w:val="16"/>
          <w:szCs w:val="16"/>
        </w:rPr>
      </w:pPr>
      <w:r w:rsidRPr="003308B4">
        <w:rPr>
          <w:rFonts w:ascii="Book Antiqua" w:hAnsi="Book Antiqua"/>
          <w:b/>
          <w:bCs/>
          <w:color w:val="0070C0"/>
          <w:sz w:val="16"/>
          <w:szCs w:val="16"/>
        </w:rPr>
        <w:t>3. Applying Kolb’s Experiential Learning Cycle (1984)</w:t>
      </w:r>
    </w:p>
    <w:p w14:paraId="5B5A7377" w14:textId="77777777" w:rsidR="006768E9" w:rsidRPr="006768E9" w:rsidRDefault="006768E9" w:rsidP="006768E9">
      <w:pPr>
        <w:spacing w:after="0"/>
        <w:jc w:val="both"/>
        <w:rPr>
          <w:rFonts w:ascii="Book Antiqua" w:hAnsi="Book Antiqua"/>
          <w:sz w:val="16"/>
          <w:szCs w:val="16"/>
        </w:rPr>
      </w:pPr>
    </w:p>
    <w:p w14:paraId="380C77DE"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Kolb’s model offers a different, complementary lens on my learning. It explains how concrete experiences turn into abstract concepts and active skills. The cycle consists of four distinct stages:</w:t>
      </w:r>
    </w:p>
    <w:p w14:paraId="515F5F1B" w14:textId="77777777" w:rsidR="006768E9" w:rsidRPr="006768E9" w:rsidRDefault="006768E9" w:rsidP="006768E9">
      <w:pPr>
        <w:spacing w:after="0"/>
        <w:jc w:val="both"/>
        <w:rPr>
          <w:rFonts w:ascii="Book Antiqua" w:hAnsi="Book Antiqua"/>
          <w:sz w:val="16"/>
          <w:szCs w:val="16"/>
        </w:rPr>
      </w:pPr>
    </w:p>
    <w:p w14:paraId="52D07862" w14:textId="77777777" w:rsidR="006768E9" w:rsidRDefault="006768E9" w:rsidP="006768E9">
      <w:pPr>
        <w:spacing w:after="0"/>
        <w:jc w:val="both"/>
        <w:rPr>
          <w:rFonts w:ascii="Book Antiqua" w:hAnsi="Book Antiqua"/>
          <w:b/>
          <w:bCs/>
          <w:sz w:val="16"/>
          <w:szCs w:val="16"/>
        </w:rPr>
      </w:pPr>
      <w:r w:rsidRPr="003308B4">
        <w:rPr>
          <w:rFonts w:ascii="Book Antiqua" w:hAnsi="Book Antiqua"/>
          <w:b/>
          <w:bCs/>
          <w:sz w:val="16"/>
          <w:szCs w:val="16"/>
        </w:rPr>
        <w:t>i. Concrete Experience (CE)</w:t>
      </w:r>
    </w:p>
    <w:p w14:paraId="039FEE20" w14:textId="77777777" w:rsidR="003308B4" w:rsidRPr="003308B4" w:rsidRDefault="003308B4" w:rsidP="006768E9">
      <w:pPr>
        <w:spacing w:after="0"/>
        <w:jc w:val="both"/>
        <w:rPr>
          <w:rFonts w:ascii="Book Antiqua" w:hAnsi="Book Antiqua"/>
          <w:b/>
          <w:bCs/>
          <w:sz w:val="16"/>
          <w:szCs w:val="16"/>
        </w:rPr>
      </w:pPr>
    </w:p>
    <w:p w14:paraId="22A71ED2"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My concrete experiences were the practical, hands-on activities within the class. This included building our first data extraction tables, coding raw text with the cohort, quality assessment, and running early database searches for our individual assignments.</w:t>
      </w:r>
    </w:p>
    <w:p w14:paraId="00562241" w14:textId="77777777" w:rsidR="006768E9" w:rsidRPr="006768E9" w:rsidRDefault="006768E9" w:rsidP="006768E9">
      <w:pPr>
        <w:spacing w:after="0"/>
        <w:jc w:val="both"/>
        <w:rPr>
          <w:rFonts w:ascii="Book Antiqua" w:hAnsi="Book Antiqua"/>
          <w:sz w:val="16"/>
          <w:szCs w:val="16"/>
        </w:rPr>
      </w:pPr>
    </w:p>
    <w:p w14:paraId="036CC16D" w14:textId="77777777" w:rsidR="006768E9" w:rsidRDefault="006768E9" w:rsidP="006768E9">
      <w:pPr>
        <w:spacing w:after="0"/>
        <w:jc w:val="both"/>
        <w:rPr>
          <w:rFonts w:ascii="Book Antiqua" w:hAnsi="Book Antiqua"/>
          <w:b/>
          <w:bCs/>
          <w:sz w:val="16"/>
          <w:szCs w:val="16"/>
        </w:rPr>
      </w:pPr>
      <w:r w:rsidRPr="003308B4">
        <w:rPr>
          <w:rFonts w:ascii="Book Antiqua" w:hAnsi="Book Antiqua"/>
          <w:b/>
          <w:bCs/>
          <w:sz w:val="16"/>
          <w:szCs w:val="16"/>
        </w:rPr>
        <w:t>ii. Reflective Observation (RO)</w:t>
      </w:r>
    </w:p>
    <w:p w14:paraId="07233165" w14:textId="77777777" w:rsidR="003308B4" w:rsidRPr="006768E9" w:rsidRDefault="003308B4" w:rsidP="006768E9">
      <w:pPr>
        <w:spacing w:after="0"/>
        <w:jc w:val="both"/>
        <w:rPr>
          <w:rFonts w:ascii="Book Antiqua" w:hAnsi="Book Antiqua"/>
          <w:b/>
          <w:bCs/>
          <w:color w:val="0070C0"/>
          <w:sz w:val="16"/>
          <w:szCs w:val="16"/>
        </w:rPr>
      </w:pPr>
    </w:p>
    <w:p w14:paraId="7E4533B5" w14:textId="12183DF6"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During this stage, I observed my own research behaviours. I noticed that my initial, broad keyword searches returned hundreds of irrelevant, low-quality papers. However, when I switched to narrow, structured Boolean search strings, the relevance of my results improved </w:t>
      </w:r>
      <w:r w:rsidR="00127D0E">
        <w:rPr>
          <w:rFonts w:ascii="Book Antiqua" w:hAnsi="Book Antiqua"/>
          <w:sz w:val="16"/>
          <w:szCs w:val="16"/>
        </w:rPr>
        <w:t>considerab</w:t>
      </w:r>
      <w:r w:rsidRPr="006768E9">
        <w:rPr>
          <w:rFonts w:ascii="Book Antiqua" w:hAnsi="Book Antiqua"/>
          <w:sz w:val="16"/>
          <w:szCs w:val="16"/>
        </w:rPr>
        <w:t>ly. I also observed that my early attempts at coding were far too descriptive; I was simply summarizing what the authors wrote instead of analysing the underlying concepts.</w:t>
      </w:r>
    </w:p>
    <w:p w14:paraId="3FDDAF69" w14:textId="77777777" w:rsidR="006768E9" w:rsidRPr="006768E9" w:rsidRDefault="006768E9" w:rsidP="006768E9">
      <w:pPr>
        <w:spacing w:after="0"/>
        <w:jc w:val="both"/>
        <w:rPr>
          <w:rFonts w:ascii="Book Antiqua" w:hAnsi="Book Antiqua"/>
          <w:sz w:val="16"/>
          <w:szCs w:val="16"/>
        </w:rPr>
      </w:pPr>
    </w:p>
    <w:p w14:paraId="369F1E32" w14:textId="77777777" w:rsidR="006768E9" w:rsidRDefault="006768E9" w:rsidP="006768E9">
      <w:pPr>
        <w:spacing w:after="0"/>
        <w:jc w:val="both"/>
        <w:rPr>
          <w:rFonts w:ascii="Book Antiqua" w:hAnsi="Book Antiqua"/>
          <w:b/>
          <w:bCs/>
          <w:sz w:val="16"/>
          <w:szCs w:val="16"/>
        </w:rPr>
      </w:pPr>
      <w:r w:rsidRPr="003308B4">
        <w:rPr>
          <w:rFonts w:ascii="Book Antiqua" w:hAnsi="Book Antiqua"/>
          <w:b/>
          <w:bCs/>
          <w:sz w:val="16"/>
          <w:szCs w:val="16"/>
        </w:rPr>
        <w:t>iii. Abstract Conceptualisation (AC)</w:t>
      </w:r>
    </w:p>
    <w:p w14:paraId="3D129FA7" w14:textId="77777777" w:rsidR="003308B4" w:rsidRPr="003308B4" w:rsidRDefault="003308B4" w:rsidP="006768E9">
      <w:pPr>
        <w:spacing w:after="0"/>
        <w:jc w:val="both"/>
        <w:rPr>
          <w:rFonts w:ascii="Book Antiqua" w:hAnsi="Book Antiqua"/>
          <w:b/>
          <w:bCs/>
          <w:sz w:val="16"/>
          <w:szCs w:val="16"/>
        </w:rPr>
      </w:pPr>
    </w:p>
    <w:p w14:paraId="11562FD8"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This step allowed me to understand search strategy as a systematic, academic skill. I realized that a systematic review is not just about finding papers. It is a scientific process built on Boolean logic, clear inclusion criteria, and rigorous quality appraisal working together, connected to the wider protocol from CIMO through to PRISMA screening.</w:t>
      </w:r>
    </w:p>
    <w:p w14:paraId="3276367B" w14:textId="77777777" w:rsidR="006768E9" w:rsidRPr="006768E9" w:rsidRDefault="006768E9" w:rsidP="006768E9">
      <w:pPr>
        <w:spacing w:after="0"/>
        <w:jc w:val="both"/>
        <w:rPr>
          <w:rFonts w:ascii="Book Antiqua" w:hAnsi="Book Antiqua"/>
          <w:sz w:val="16"/>
          <w:szCs w:val="16"/>
        </w:rPr>
      </w:pPr>
    </w:p>
    <w:p w14:paraId="7C14CB52" w14:textId="77777777" w:rsidR="006768E9" w:rsidRDefault="006768E9" w:rsidP="006768E9">
      <w:pPr>
        <w:spacing w:after="0"/>
        <w:jc w:val="both"/>
        <w:rPr>
          <w:rFonts w:ascii="Book Antiqua" w:hAnsi="Book Antiqua"/>
          <w:b/>
          <w:bCs/>
          <w:sz w:val="16"/>
          <w:szCs w:val="16"/>
        </w:rPr>
      </w:pPr>
      <w:r w:rsidRPr="003308B4">
        <w:rPr>
          <w:rFonts w:ascii="Book Antiqua" w:hAnsi="Book Antiqua"/>
          <w:b/>
          <w:bCs/>
          <w:sz w:val="16"/>
          <w:szCs w:val="16"/>
        </w:rPr>
        <w:t>iv. Active Experimentation (AE)</w:t>
      </w:r>
    </w:p>
    <w:p w14:paraId="6A558D35" w14:textId="77777777" w:rsidR="003308B4" w:rsidRPr="003308B4" w:rsidRDefault="003308B4" w:rsidP="006768E9">
      <w:pPr>
        <w:spacing w:after="0"/>
        <w:jc w:val="both"/>
        <w:rPr>
          <w:rFonts w:ascii="Book Antiqua" w:hAnsi="Book Antiqua"/>
          <w:b/>
          <w:bCs/>
          <w:sz w:val="16"/>
          <w:szCs w:val="16"/>
        </w:rPr>
      </w:pPr>
    </w:p>
    <w:p w14:paraId="44C9034C"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In this final stage, I applied my new conceptual understanding back into my research. I completely rebuilt my database search strings using Boolean logic. I applied CASP checklist systematically to filter out weaker papers. Finally, I began documenting my search process in a formal log so it would be easy to explain and defend later. </w:t>
      </w:r>
    </w:p>
    <w:p w14:paraId="6E9053D9" w14:textId="77777777" w:rsidR="006768E9" w:rsidRPr="006768E9" w:rsidRDefault="006768E9" w:rsidP="006768E9">
      <w:pPr>
        <w:spacing w:after="0"/>
        <w:jc w:val="both"/>
        <w:rPr>
          <w:rFonts w:ascii="Book Antiqua" w:hAnsi="Book Antiqua"/>
          <w:sz w:val="16"/>
          <w:szCs w:val="16"/>
        </w:rPr>
      </w:pPr>
    </w:p>
    <w:p w14:paraId="31ED927C" w14:textId="77777777"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This cycle did not stop after one pass. Each new database search taught me something new, which immediately improved my next search attempt. This matches exactly how Kolb describes learning as a repeating, upward spiral of experiencing, reflecting, thinking, and testing.</w:t>
      </w:r>
    </w:p>
    <w:p w14:paraId="02197332" w14:textId="77777777" w:rsidR="006768E9" w:rsidRPr="006768E9" w:rsidRDefault="006768E9" w:rsidP="006768E9">
      <w:pPr>
        <w:spacing w:after="0"/>
        <w:jc w:val="both"/>
        <w:rPr>
          <w:rFonts w:ascii="Book Antiqua" w:hAnsi="Book Antiqua"/>
          <w:sz w:val="16"/>
          <w:szCs w:val="16"/>
        </w:rPr>
      </w:pPr>
    </w:p>
    <w:p w14:paraId="2564F7F8" w14:textId="77777777" w:rsidR="006768E9" w:rsidRPr="006768E9" w:rsidRDefault="006768E9" w:rsidP="006768E9">
      <w:pPr>
        <w:spacing w:after="0"/>
        <w:jc w:val="both"/>
        <w:rPr>
          <w:rFonts w:ascii="Book Antiqua" w:hAnsi="Book Antiqua"/>
          <w:b/>
          <w:bCs/>
          <w:sz w:val="16"/>
          <w:szCs w:val="16"/>
        </w:rPr>
      </w:pPr>
      <w:r w:rsidRPr="00C01564">
        <w:rPr>
          <w:rFonts w:ascii="Book Antiqua" w:hAnsi="Book Antiqua"/>
          <w:b/>
          <w:bCs/>
          <w:color w:val="0070C0"/>
          <w:sz w:val="16"/>
          <w:szCs w:val="16"/>
        </w:rPr>
        <w:t>4. Reflecting Further: Guiding Questions</w:t>
      </w:r>
    </w:p>
    <w:p w14:paraId="2D899E6B" w14:textId="77777777" w:rsidR="006768E9" w:rsidRPr="006768E9" w:rsidRDefault="006768E9" w:rsidP="006768E9">
      <w:pPr>
        <w:spacing w:after="0"/>
        <w:jc w:val="both"/>
        <w:rPr>
          <w:rFonts w:ascii="Book Antiqua" w:hAnsi="Book Antiqua"/>
          <w:sz w:val="16"/>
          <w:szCs w:val="16"/>
        </w:rPr>
      </w:pPr>
    </w:p>
    <w:p w14:paraId="138F37A1" w14:textId="5EBDCBCA" w:rsid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The module's own guidance on reflective writing offered a final, personal layer to my self-directed questions. </w:t>
      </w:r>
      <w:r w:rsidR="00C56ED0" w:rsidRPr="00C56ED0">
        <w:rPr>
          <w:rFonts w:ascii="Book Antiqua" w:hAnsi="Book Antiqua"/>
          <w:sz w:val="16"/>
          <w:szCs w:val="16"/>
        </w:rPr>
        <w:t>Initially I assumed that a broader search strategy would capture more relevant evidence. This assumption proved ineffective because it generated a large volume of irrelevant studies, highlighting the importance of planning before searching</w:t>
      </w:r>
      <w:r w:rsidR="00C56ED0">
        <w:rPr>
          <w:rFonts w:ascii="Book Antiqua" w:hAnsi="Book Antiqua"/>
          <w:sz w:val="16"/>
          <w:szCs w:val="16"/>
        </w:rPr>
        <w:t xml:space="preserve">. </w:t>
      </w:r>
      <w:r w:rsidRPr="006768E9">
        <w:rPr>
          <w:rFonts w:ascii="Book Antiqua" w:hAnsi="Book Antiqua"/>
          <w:sz w:val="16"/>
          <w:szCs w:val="16"/>
        </w:rPr>
        <w:t>Overall, it was a genuinely useful learning experience. I learned specific skills such as Boolean search, CASP and TAPUPAM appraisal, first- and second-cycle coding, CIMO framing and PRISMA screening. Looking back, I would apply CASP from day one, rather than midway through my searches.</w:t>
      </w:r>
    </w:p>
    <w:p w14:paraId="7288E143" w14:textId="77777777" w:rsidR="00C01564" w:rsidRPr="006768E9" w:rsidRDefault="00C01564" w:rsidP="006768E9">
      <w:pPr>
        <w:spacing w:after="0"/>
        <w:jc w:val="both"/>
        <w:rPr>
          <w:rFonts w:ascii="Book Antiqua" w:hAnsi="Book Antiqua"/>
          <w:sz w:val="16"/>
          <w:szCs w:val="16"/>
        </w:rPr>
      </w:pPr>
    </w:p>
    <w:p w14:paraId="7855DD46" w14:textId="77777777" w:rsidR="006768E9" w:rsidRPr="006768E9" w:rsidRDefault="006768E9" w:rsidP="006768E9">
      <w:pPr>
        <w:spacing w:after="0"/>
        <w:jc w:val="both"/>
        <w:rPr>
          <w:rFonts w:ascii="Book Antiqua" w:hAnsi="Book Antiqua"/>
          <w:sz w:val="16"/>
          <w:szCs w:val="16"/>
        </w:rPr>
      </w:pPr>
    </w:p>
    <w:p w14:paraId="1116B2B4" w14:textId="77777777" w:rsidR="006768E9" w:rsidRPr="006768E9" w:rsidRDefault="006768E9" w:rsidP="006768E9">
      <w:pPr>
        <w:spacing w:after="0"/>
        <w:jc w:val="both"/>
        <w:rPr>
          <w:rFonts w:ascii="Book Antiqua" w:hAnsi="Book Antiqua"/>
          <w:b/>
          <w:bCs/>
          <w:sz w:val="16"/>
          <w:szCs w:val="16"/>
        </w:rPr>
      </w:pPr>
      <w:r w:rsidRPr="00C01564">
        <w:rPr>
          <w:rFonts w:ascii="Book Antiqua" w:hAnsi="Book Antiqua"/>
          <w:b/>
          <w:bCs/>
          <w:color w:val="0070C0"/>
          <w:sz w:val="16"/>
          <w:szCs w:val="16"/>
        </w:rPr>
        <w:t>5. Conclusion: Synthesizing the Models</w:t>
      </w:r>
    </w:p>
    <w:p w14:paraId="2ED26900" w14:textId="77777777" w:rsidR="006768E9" w:rsidRPr="006768E9" w:rsidRDefault="006768E9" w:rsidP="006768E9">
      <w:pPr>
        <w:spacing w:after="0"/>
        <w:jc w:val="both"/>
        <w:rPr>
          <w:rFonts w:ascii="Book Antiqua" w:hAnsi="Book Antiqua"/>
          <w:sz w:val="16"/>
          <w:szCs w:val="16"/>
        </w:rPr>
      </w:pPr>
    </w:p>
    <w:p w14:paraId="5912F506" w14:textId="759A8D76" w:rsidR="006768E9" w:rsidRPr="006768E9" w:rsidRDefault="006768E9" w:rsidP="006768E9">
      <w:pPr>
        <w:spacing w:after="0"/>
        <w:jc w:val="both"/>
        <w:rPr>
          <w:rFonts w:ascii="Book Antiqua" w:hAnsi="Book Antiqua"/>
          <w:sz w:val="16"/>
          <w:szCs w:val="16"/>
        </w:rPr>
      </w:pPr>
      <w:r w:rsidRPr="006768E9">
        <w:rPr>
          <w:rFonts w:ascii="Book Antiqua" w:hAnsi="Book Antiqua"/>
          <w:sz w:val="16"/>
          <w:szCs w:val="16"/>
        </w:rPr>
        <w:t xml:space="preserve">This module has been one of the most engaging parts of my studies so far. The hands-on activities, combined with a friendly and communicative teaching style, created a genuinely supportive learning environment. My key challenge was finding </w:t>
      </w:r>
      <w:r w:rsidR="00593B98" w:rsidRPr="00593B98">
        <w:rPr>
          <w:rFonts w:ascii="Book Antiqua" w:hAnsi="Book Antiqua"/>
          <w:sz w:val="16"/>
          <w:szCs w:val="16"/>
        </w:rPr>
        <w:t xml:space="preserve">high-quality peer-reviewed </w:t>
      </w:r>
      <w:r w:rsidRPr="006768E9">
        <w:rPr>
          <w:rFonts w:ascii="Book Antiqua" w:hAnsi="Book Antiqua"/>
          <w:sz w:val="16"/>
          <w:szCs w:val="16"/>
        </w:rPr>
        <w:t>literature suited to my research topic. Reflecting through Gibbs' cycle helped me understand my feelings and evaluate what went wrong and why. Reflecting through Kolb's cycle helped me see this challenge as one loop in an ongoing learning process, and answering the module's own guiding questions helped me see it as personal growth, not just a technical fix. Systematic, disciplined search strategy is a skill that improves with practice, feedback, and honest reflection. I now feel better prepared to carry this skill into the next stage of my research.</w:t>
      </w:r>
    </w:p>
    <w:p w14:paraId="474EC0B8" w14:textId="77777777" w:rsidR="006768E9" w:rsidRDefault="006768E9" w:rsidP="006768E9">
      <w:pPr>
        <w:spacing w:after="0"/>
        <w:jc w:val="both"/>
        <w:rPr>
          <w:rFonts w:ascii="Book Antiqua" w:hAnsi="Book Antiqua"/>
          <w:sz w:val="16"/>
          <w:szCs w:val="16"/>
        </w:rPr>
      </w:pPr>
    </w:p>
    <w:p w14:paraId="5DDA2E07" w14:textId="77777777" w:rsidR="00C01564" w:rsidRDefault="00C01564" w:rsidP="006768E9">
      <w:pPr>
        <w:spacing w:after="0"/>
        <w:jc w:val="both"/>
        <w:rPr>
          <w:rFonts w:ascii="Book Antiqua" w:hAnsi="Book Antiqua"/>
          <w:sz w:val="16"/>
          <w:szCs w:val="16"/>
        </w:rPr>
      </w:pPr>
    </w:p>
    <w:p w14:paraId="19504215" w14:textId="77777777" w:rsidR="00C01564" w:rsidRPr="006768E9" w:rsidRDefault="00C01564" w:rsidP="006768E9">
      <w:pPr>
        <w:spacing w:after="0"/>
        <w:jc w:val="both"/>
        <w:rPr>
          <w:rFonts w:ascii="Book Antiqua" w:hAnsi="Book Antiqua"/>
          <w:sz w:val="16"/>
          <w:szCs w:val="16"/>
        </w:rPr>
      </w:pPr>
    </w:p>
    <w:p w14:paraId="33442F02" w14:textId="77777777" w:rsidR="006768E9" w:rsidRPr="006768E9" w:rsidRDefault="006768E9" w:rsidP="006768E9">
      <w:pPr>
        <w:spacing w:after="0"/>
        <w:jc w:val="both"/>
        <w:rPr>
          <w:rFonts w:ascii="Book Antiqua" w:hAnsi="Book Antiqua"/>
          <w:sz w:val="16"/>
          <w:szCs w:val="16"/>
        </w:rPr>
      </w:pPr>
    </w:p>
    <w:p w14:paraId="59CC233C" w14:textId="27F4C8D3" w:rsidR="006768E9" w:rsidRPr="00C01564" w:rsidRDefault="006768E9" w:rsidP="006768E9">
      <w:pPr>
        <w:spacing w:after="0"/>
        <w:jc w:val="both"/>
        <w:rPr>
          <w:rFonts w:ascii="Book Antiqua" w:hAnsi="Book Antiqua"/>
          <w:b/>
          <w:bCs/>
          <w:color w:val="0070C0"/>
          <w:sz w:val="16"/>
          <w:szCs w:val="16"/>
        </w:rPr>
      </w:pPr>
      <w:r w:rsidRPr="00C01564">
        <w:rPr>
          <w:rFonts w:ascii="Book Antiqua" w:hAnsi="Book Antiqua"/>
          <w:b/>
          <w:bCs/>
          <w:color w:val="0070C0"/>
          <w:sz w:val="16"/>
          <w:szCs w:val="16"/>
        </w:rPr>
        <w:t>6. Reference</w:t>
      </w:r>
      <w:r w:rsidR="00C01564">
        <w:rPr>
          <w:rFonts w:ascii="Book Antiqua" w:hAnsi="Book Antiqua"/>
          <w:b/>
          <w:bCs/>
          <w:color w:val="0070C0"/>
          <w:sz w:val="16"/>
          <w:szCs w:val="16"/>
        </w:rPr>
        <w:t>s</w:t>
      </w:r>
    </w:p>
    <w:p w14:paraId="0770A7E4" w14:textId="77777777" w:rsidR="006768E9" w:rsidRPr="006768E9" w:rsidRDefault="006768E9" w:rsidP="006768E9">
      <w:pPr>
        <w:spacing w:after="0"/>
        <w:jc w:val="both"/>
        <w:rPr>
          <w:rFonts w:ascii="Book Antiqua" w:hAnsi="Book Antiqua"/>
          <w:sz w:val="16"/>
          <w:szCs w:val="16"/>
        </w:rPr>
      </w:pPr>
    </w:p>
    <w:p w14:paraId="7C0B9B4E" w14:textId="77777777" w:rsidR="00204E8C" w:rsidRDefault="00204E8C" w:rsidP="00811D56">
      <w:pPr>
        <w:pStyle w:val="ListParagraph"/>
        <w:spacing w:after="0"/>
        <w:ind w:hanging="720"/>
        <w:rPr>
          <w:rFonts w:ascii="Book Antiqua" w:hAnsi="Book Antiqua" w:cs="Times New Roman"/>
          <w:sz w:val="16"/>
          <w:szCs w:val="16"/>
        </w:rPr>
      </w:pPr>
      <w:r w:rsidRPr="00204E8C">
        <w:rPr>
          <w:rFonts w:ascii="Book Antiqua" w:hAnsi="Book Antiqua" w:cs="Times New Roman"/>
          <w:sz w:val="16"/>
          <w:szCs w:val="16"/>
        </w:rPr>
        <w:t>Gibbs, G. (1988) Learning by Doing: A Guide to Teaching and Learning Methods. Oxford: Further Education Unit, Oxford Polytechnic.</w:t>
      </w:r>
    </w:p>
    <w:p w14:paraId="6686D015" w14:textId="77777777" w:rsidR="00C672A3" w:rsidRDefault="00C672A3" w:rsidP="00811D56">
      <w:pPr>
        <w:pStyle w:val="ListParagraph"/>
        <w:spacing w:after="0"/>
        <w:ind w:hanging="720"/>
        <w:rPr>
          <w:rFonts w:ascii="Book Antiqua" w:hAnsi="Book Antiqua" w:cs="Times New Roman"/>
          <w:sz w:val="16"/>
          <w:szCs w:val="16"/>
        </w:rPr>
      </w:pPr>
    </w:p>
    <w:p w14:paraId="27B39BCF" w14:textId="77777777" w:rsidR="00C672A3" w:rsidRDefault="00C672A3" w:rsidP="00C672A3">
      <w:pPr>
        <w:pStyle w:val="ListParagraph"/>
        <w:spacing w:after="0"/>
        <w:ind w:hanging="720"/>
        <w:rPr>
          <w:rFonts w:ascii="Book Antiqua" w:hAnsi="Book Antiqua" w:cs="Times New Roman"/>
          <w:sz w:val="16"/>
          <w:szCs w:val="16"/>
        </w:rPr>
      </w:pPr>
      <w:r w:rsidRPr="0058443D">
        <w:rPr>
          <w:rFonts w:ascii="Book Antiqua" w:hAnsi="Book Antiqua" w:cs="Times New Roman"/>
          <w:sz w:val="16"/>
          <w:szCs w:val="16"/>
        </w:rPr>
        <w:t>Gilgun, J.F., 2015. Beyond description to interpretation and theory in qualitative social work research. </w:t>
      </w:r>
      <w:r w:rsidRPr="0058443D">
        <w:rPr>
          <w:rFonts w:ascii="Book Antiqua" w:hAnsi="Book Antiqua" w:cs="Times New Roman"/>
          <w:i/>
          <w:iCs/>
          <w:sz w:val="16"/>
          <w:szCs w:val="16"/>
        </w:rPr>
        <w:t>Qualitative Social Work</w:t>
      </w:r>
      <w:r w:rsidRPr="0058443D">
        <w:rPr>
          <w:rFonts w:ascii="Book Antiqua" w:hAnsi="Book Antiqua" w:cs="Times New Roman"/>
          <w:sz w:val="16"/>
          <w:szCs w:val="16"/>
        </w:rPr>
        <w:t>, </w:t>
      </w:r>
      <w:r w:rsidRPr="0058443D">
        <w:rPr>
          <w:rFonts w:ascii="Book Antiqua" w:hAnsi="Book Antiqua" w:cs="Times New Roman"/>
          <w:i/>
          <w:iCs/>
          <w:sz w:val="16"/>
          <w:szCs w:val="16"/>
        </w:rPr>
        <w:t>14</w:t>
      </w:r>
      <w:r w:rsidRPr="0058443D">
        <w:rPr>
          <w:rFonts w:ascii="Book Antiqua" w:hAnsi="Book Antiqua" w:cs="Times New Roman"/>
          <w:sz w:val="16"/>
          <w:szCs w:val="16"/>
        </w:rPr>
        <w:t>(6), pp.741-752.</w:t>
      </w:r>
    </w:p>
    <w:p w14:paraId="6451EDC7" w14:textId="77777777" w:rsidR="00204E8C" w:rsidRPr="00204E8C" w:rsidRDefault="00204E8C" w:rsidP="00811D56">
      <w:pPr>
        <w:pStyle w:val="ListParagraph"/>
        <w:spacing w:after="0"/>
        <w:ind w:hanging="720"/>
        <w:rPr>
          <w:rFonts w:ascii="Book Antiqua" w:hAnsi="Book Antiqua" w:cs="Times New Roman"/>
          <w:sz w:val="16"/>
          <w:szCs w:val="16"/>
        </w:rPr>
      </w:pPr>
    </w:p>
    <w:p w14:paraId="361BE19B" w14:textId="77777777" w:rsidR="00204E8C" w:rsidRPr="00204E8C" w:rsidRDefault="00204E8C" w:rsidP="00811D56">
      <w:pPr>
        <w:pStyle w:val="ListParagraph"/>
        <w:spacing w:after="0"/>
        <w:ind w:hanging="720"/>
        <w:rPr>
          <w:rFonts w:ascii="Book Antiqua" w:hAnsi="Book Antiqua" w:cs="Times New Roman"/>
          <w:sz w:val="16"/>
          <w:szCs w:val="16"/>
        </w:rPr>
      </w:pPr>
      <w:r w:rsidRPr="00204E8C">
        <w:rPr>
          <w:rFonts w:ascii="Book Antiqua" w:hAnsi="Book Antiqua" w:cs="Times New Roman"/>
          <w:sz w:val="16"/>
          <w:szCs w:val="16"/>
        </w:rPr>
        <w:t>Kolb, D.A. (1984) Experiential Learning: Experience as the Source of Learning and Development. Englewood Cliffs, NJ: Prentice Hall.</w:t>
      </w:r>
    </w:p>
    <w:p w14:paraId="66AAC9E1" w14:textId="77777777" w:rsidR="00204E8C" w:rsidRPr="00204E8C" w:rsidRDefault="00204E8C" w:rsidP="00811D56">
      <w:pPr>
        <w:pStyle w:val="ListParagraph"/>
        <w:spacing w:after="0"/>
        <w:ind w:hanging="720"/>
        <w:rPr>
          <w:rFonts w:ascii="Book Antiqua" w:hAnsi="Book Antiqua" w:cs="Times New Roman"/>
          <w:sz w:val="16"/>
          <w:szCs w:val="16"/>
        </w:rPr>
      </w:pPr>
    </w:p>
    <w:p w14:paraId="2236DF94" w14:textId="35509DAD" w:rsidR="00204E8C" w:rsidRPr="00204E8C" w:rsidRDefault="00204E8C" w:rsidP="00811D56">
      <w:pPr>
        <w:pStyle w:val="ListParagraph"/>
        <w:spacing w:after="0"/>
        <w:ind w:hanging="720"/>
        <w:rPr>
          <w:rFonts w:ascii="Book Antiqua" w:hAnsi="Book Antiqua" w:cs="Times New Roman"/>
          <w:sz w:val="16"/>
          <w:szCs w:val="16"/>
        </w:rPr>
      </w:pPr>
      <w:r w:rsidRPr="00204E8C">
        <w:rPr>
          <w:rFonts w:ascii="Book Antiqua" w:hAnsi="Book Antiqua" w:cs="Times New Roman"/>
          <w:sz w:val="16"/>
          <w:szCs w:val="16"/>
        </w:rPr>
        <w:t>Staller, K.M. (2015) 'Moving beyond description: Closing the analysis gap in qualitative research', Qualitative Social Work, 14(6), pp. 731–743.</w:t>
      </w:r>
    </w:p>
    <w:sectPr w:rsidR="00204E8C" w:rsidRPr="00204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Poppins SemiBold">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522"/>
    <w:multiLevelType w:val="hybridMultilevel"/>
    <w:tmpl w:val="F0965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6378F8"/>
    <w:multiLevelType w:val="hybridMultilevel"/>
    <w:tmpl w:val="043CB5EA"/>
    <w:lvl w:ilvl="0" w:tplc="41D01BC0">
      <w:start w:val="1"/>
      <w:numFmt w:val="bullet"/>
      <w:lvlText w:val=""/>
      <w:lvlJc w:val="left"/>
      <w:pPr>
        <w:ind w:left="1080" w:hanging="360"/>
      </w:pPr>
      <w:rPr>
        <w:rFonts w:ascii="Symbol" w:hAnsi="Symbol"/>
      </w:rPr>
    </w:lvl>
    <w:lvl w:ilvl="1" w:tplc="156A00F4">
      <w:start w:val="1"/>
      <w:numFmt w:val="bullet"/>
      <w:lvlText w:val=""/>
      <w:lvlJc w:val="left"/>
      <w:pPr>
        <w:ind w:left="1080" w:hanging="360"/>
      </w:pPr>
      <w:rPr>
        <w:rFonts w:ascii="Symbol" w:hAnsi="Symbol"/>
      </w:rPr>
    </w:lvl>
    <w:lvl w:ilvl="2" w:tplc="CF127C64">
      <w:start w:val="1"/>
      <w:numFmt w:val="bullet"/>
      <w:lvlText w:val=""/>
      <w:lvlJc w:val="left"/>
      <w:pPr>
        <w:ind w:left="1080" w:hanging="360"/>
      </w:pPr>
      <w:rPr>
        <w:rFonts w:ascii="Symbol" w:hAnsi="Symbol"/>
      </w:rPr>
    </w:lvl>
    <w:lvl w:ilvl="3" w:tplc="A044DBA0">
      <w:start w:val="1"/>
      <w:numFmt w:val="bullet"/>
      <w:lvlText w:val=""/>
      <w:lvlJc w:val="left"/>
      <w:pPr>
        <w:ind w:left="1080" w:hanging="360"/>
      </w:pPr>
      <w:rPr>
        <w:rFonts w:ascii="Symbol" w:hAnsi="Symbol"/>
      </w:rPr>
    </w:lvl>
    <w:lvl w:ilvl="4" w:tplc="2DBA94B6">
      <w:start w:val="1"/>
      <w:numFmt w:val="bullet"/>
      <w:lvlText w:val=""/>
      <w:lvlJc w:val="left"/>
      <w:pPr>
        <w:ind w:left="1080" w:hanging="360"/>
      </w:pPr>
      <w:rPr>
        <w:rFonts w:ascii="Symbol" w:hAnsi="Symbol"/>
      </w:rPr>
    </w:lvl>
    <w:lvl w:ilvl="5" w:tplc="ABFECA6C">
      <w:start w:val="1"/>
      <w:numFmt w:val="bullet"/>
      <w:lvlText w:val=""/>
      <w:lvlJc w:val="left"/>
      <w:pPr>
        <w:ind w:left="1080" w:hanging="360"/>
      </w:pPr>
      <w:rPr>
        <w:rFonts w:ascii="Symbol" w:hAnsi="Symbol"/>
      </w:rPr>
    </w:lvl>
    <w:lvl w:ilvl="6" w:tplc="0942A0C6">
      <w:start w:val="1"/>
      <w:numFmt w:val="bullet"/>
      <w:lvlText w:val=""/>
      <w:lvlJc w:val="left"/>
      <w:pPr>
        <w:ind w:left="1080" w:hanging="360"/>
      </w:pPr>
      <w:rPr>
        <w:rFonts w:ascii="Symbol" w:hAnsi="Symbol"/>
      </w:rPr>
    </w:lvl>
    <w:lvl w:ilvl="7" w:tplc="79D2CB8C">
      <w:start w:val="1"/>
      <w:numFmt w:val="bullet"/>
      <w:lvlText w:val=""/>
      <w:lvlJc w:val="left"/>
      <w:pPr>
        <w:ind w:left="1080" w:hanging="360"/>
      </w:pPr>
      <w:rPr>
        <w:rFonts w:ascii="Symbol" w:hAnsi="Symbol"/>
      </w:rPr>
    </w:lvl>
    <w:lvl w:ilvl="8" w:tplc="480C8B88">
      <w:start w:val="1"/>
      <w:numFmt w:val="bullet"/>
      <w:lvlText w:val=""/>
      <w:lvlJc w:val="left"/>
      <w:pPr>
        <w:ind w:left="1080" w:hanging="360"/>
      </w:pPr>
      <w:rPr>
        <w:rFonts w:ascii="Symbol" w:hAnsi="Symbol"/>
      </w:rPr>
    </w:lvl>
  </w:abstractNum>
  <w:abstractNum w:abstractNumId="2" w15:restartNumberingAfterBreak="0">
    <w:nsid w:val="0FA5522B"/>
    <w:multiLevelType w:val="hybridMultilevel"/>
    <w:tmpl w:val="1004E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EC7D61"/>
    <w:multiLevelType w:val="hybridMultilevel"/>
    <w:tmpl w:val="A57E5C7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800E7A"/>
    <w:multiLevelType w:val="hybridMultilevel"/>
    <w:tmpl w:val="62887984"/>
    <w:lvl w:ilvl="0" w:tplc="5D108AC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8911C75"/>
    <w:multiLevelType w:val="hybridMultilevel"/>
    <w:tmpl w:val="FE92E1F2"/>
    <w:lvl w:ilvl="0" w:tplc="08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9976B25"/>
    <w:multiLevelType w:val="hybridMultilevel"/>
    <w:tmpl w:val="4B52FAB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A06265"/>
    <w:multiLevelType w:val="hybridMultilevel"/>
    <w:tmpl w:val="6256EC1A"/>
    <w:lvl w:ilvl="0" w:tplc="717621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291563"/>
    <w:multiLevelType w:val="hybridMultilevel"/>
    <w:tmpl w:val="7A2EA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25436"/>
    <w:multiLevelType w:val="multilevel"/>
    <w:tmpl w:val="D59AFCF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12423AD"/>
    <w:multiLevelType w:val="hybridMultilevel"/>
    <w:tmpl w:val="932EB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FE1B9E"/>
    <w:multiLevelType w:val="hybridMultilevel"/>
    <w:tmpl w:val="7B36411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DC0F7F"/>
    <w:multiLevelType w:val="multilevel"/>
    <w:tmpl w:val="7B669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F4303B"/>
    <w:multiLevelType w:val="hybridMultilevel"/>
    <w:tmpl w:val="160058D4"/>
    <w:lvl w:ilvl="0" w:tplc="4EC093B8">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CB28D7"/>
    <w:multiLevelType w:val="hybridMultilevel"/>
    <w:tmpl w:val="77EE6AEE"/>
    <w:lvl w:ilvl="0" w:tplc="014866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9C6A21"/>
    <w:multiLevelType w:val="hybridMultilevel"/>
    <w:tmpl w:val="EBDE6216"/>
    <w:lvl w:ilvl="0" w:tplc="8590486C">
      <w:start w:val="2"/>
      <w:numFmt w:val="lowerRoman"/>
      <w:lvlText w:val="%1."/>
      <w:lvlJc w:val="left"/>
      <w:pPr>
        <w:ind w:left="862" w:hanging="720"/>
      </w:pPr>
      <w:rPr>
        <w:rFonts w:hint="default"/>
        <w:b/>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6" w15:restartNumberingAfterBreak="0">
    <w:nsid w:val="35F54991"/>
    <w:multiLevelType w:val="hybridMultilevel"/>
    <w:tmpl w:val="1B10960E"/>
    <w:lvl w:ilvl="0" w:tplc="0809001B">
      <w:start w:val="1"/>
      <w:numFmt w:val="lowerRoman"/>
      <w:lvlText w:val="%1."/>
      <w:lvlJc w:val="right"/>
      <w:pPr>
        <w:ind w:left="1649" w:hanging="360"/>
      </w:pPr>
    </w:lvl>
    <w:lvl w:ilvl="1" w:tplc="08090019" w:tentative="1">
      <w:start w:val="1"/>
      <w:numFmt w:val="lowerLetter"/>
      <w:lvlText w:val="%2."/>
      <w:lvlJc w:val="left"/>
      <w:pPr>
        <w:ind w:left="2369" w:hanging="360"/>
      </w:pPr>
    </w:lvl>
    <w:lvl w:ilvl="2" w:tplc="0809001B" w:tentative="1">
      <w:start w:val="1"/>
      <w:numFmt w:val="lowerRoman"/>
      <w:lvlText w:val="%3."/>
      <w:lvlJc w:val="right"/>
      <w:pPr>
        <w:ind w:left="3089" w:hanging="180"/>
      </w:pPr>
    </w:lvl>
    <w:lvl w:ilvl="3" w:tplc="0809000F" w:tentative="1">
      <w:start w:val="1"/>
      <w:numFmt w:val="decimal"/>
      <w:lvlText w:val="%4."/>
      <w:lvlJc w:val="left"/>
      <w:pPr>
        <w:ind w:left="3809" w:hanging="360"/>
      </w:pPr>
    </w:lvl>
    <w:lvl w:ilvl="4" w:tplc="08090019" w:tentative="1">
      <w:start w:val="1"/>
      <w:numFmt w:val="lowerLetter"/>
      <w:lvlText w:val="%5."/>
      <w:lvlJc w:val="left"/>
      <w:pPr>
        <w:ind w:left="4529" w:hanging="360"/>
      </w:pPr>
    </w:lvl>
    <w:lvl w:ilvl="5" w:tplc="0809001B" w:tentative="1">
      <w:start w:val="1"/>
      <w:numFmt w:val="lowerRoman"/>
      <w:lvlText w:val="%6."/>
      <w:lvlJc w:val="right"/>
      <w:pPr>
        <w:ind w:left="5249" w:hanging="180"/>
      </w:pPr>
    </w:lvl>
    <w:lvl w:ilvl="6" w:tplc="0809000F" w:tentative="1">
      <w:start w:val="1"/>
      <w:numFmt w:val="decimal"/>
      <w:lvlText w:val="%7."/>
      <w:lvlJc w:val="left"/>
      <w:pPr>
        <w:ind w:left="5969" w:hanging="360"/>
      </w:pPr>
    </w:lvl>
    <w:lvl w:ilvl="7" w:tplc="08090019" w:tentative="1">
      <w:start w:val="1"/>
      <w:numFmt w:val="lowerLetter"/>
      <w:lvlText w:val="%8."/>
      <w:lvlJc w:val="left"/>
      <w:pPr>
        <w:ind w:left="6689" w:hanging="360"/>
      </w:pPr>
    </w:lvl>
    <w:lvl w:ilvl="8" w:tplc="0809001B" w:tentative="1">
      <w:start w:val="1"/>
      <w:numFmt w:val="lowerRoman"/>
      <w:lvlText w:val="%9."/>
      <w:lvlJc w:val="right"/>
      <w:pPr>
        <w:ind w:left="7409" w:hanging="180"/>
      </w:pPr>
    </w:lvl>
  </w:abstractNum>
  <w:abstractNum w:abstractNumId="17" w15:restartNumberingAfterBreak="0">
    <w:nsid w:val="3A616364"/>
    <w:multiLevelType w:val="hybridMultilevel"/>
    <w:tmpl w:val="29E0EC56"/>
    <w:lvl w:ilvl="0" w:tplc="F6ACC514">
      <w:start w:val="1"/>
      <w:numFmt w:val="decimal"/>
      <w:lvlText w:val="%1."/>
      <w:lvlJc w:val="left"/>
      <w:pPr>
        <w:ind w:left="-349" w:hanging="360"/>
      </w:pPr>
      <w:rPr>
        <w:rFonts w:hint="default"/>
        <w:b/>
      </w:rPr>
    </w:lvl>
    <w:lvl w:ilvl="1" w:tplc="08090019" w:tentative="1">
      <w:start w:val="1"/>
      <w:numFmt w:val="lowerLetter"/>
      <w:lvlText w:val="%2."/>
      <w:lvlJc w:val="left"/>
      <w:pPr>
        <w:ind w:left="371" w:hanging="360"/>
      </w:pPr>
    </w:lvl>
    <w:lvl w:ilvl="2" w:tplc="0809001B" w:tentative="1">
      <w:start w:val="1"/>
      <w:numFmt w:val="lowerRoman"/>
      <w:lvlText w:val="%3."/>
      <w:lvlJc w:val="right"/>
      <w:pPr>
        <w:ind w:left="1091" w:hanging="180"/>
      </w:pPr>
    </w:lvl>
    <w:lvl w:ilvl="3" w:tplc="0809000F" w:tentative="1">
      <w:start w:val="1"/>
      <w:numFmt w:val="decimal"/>
      <w:lvlText w:val="%4."/>
      <w:lvlJc w:val="left"/>
      <w:pPr>
        <w:ind w:left="1811" w:hanging="360"/>
      </w:pPr>
    </w:lvl>
    <w:lvl w:ilvl="4" w:tplc="08090019" w:tentative="1">
      <w:start w:val="1"/>
      <w:numFmt w:val="lowerLetter"/>
      <w:lvlText w:val="%5."/>
      <w:lvlJc w:val="left"/>
      <w:pPr>
        <w:ind w:left="2531" w:hanging="360"/>
      </w:pPr>
    </w:lvl>
    <w:lvl w:ilvl="5" w:tplc="0809001B" w:tentative="1">
      <w:start w:val="1"/>
      <w:numFmt w:val="lowerRoman"/>
      <w:lvlText w:val="%6."/>
      <w:lvlJc w:val="right"/>
      <w:pPr>
        <w:ind w:left="3251" w:hanging="180"/>
      </w:pPr>
    </w:lvl>
    <w:lvl w:ilvl="6" w:tplc="0809000F" w:tentative="1">
      <w:start w:val="1"/>
      <w:numFmt w:val="decimal"/>
      <w:lvlText w:val="%7."/>
      <w:lvlJc w:val="left"/>
      <w:pPr>
        <w:ind w:left="3971" w:hanging="360"/>
      </w:pPr>
    </w:lvl>
    <w:lvl w:ilvl="7" w:tplc="08090019" w:tentative="1">
      <w:start w:val="1"/>
      <w:numFmt w:val="lowerLetter"/>
      <w:lvlText w:val="%8."/>
      <w:lvlJc w:val="left"/>
      <w:pPr>
        <w:ind w:left="4691" w:hanging="360"/>
      </w:pPr>
    </w:lvl>
    <w:lvl w:ilvl="8" w:tplc="0809001B" w:tentative="1">
      <w:start w:val="1"/>
      <w:numFmt w:val="lowerRoman"/>
      <w:lvlText w:val="%9."/>
      <w:lvlJc w:val="right"/>
      <w:pPr>
        <w:ind w:left="5411" w:hanging="180"/>
      </w:pPr>
    </w:lvl>
  </w:abstractNum>
  <w:abstractNum w:abstractNumId="18" w15:restartNumberingAfterBreak="0">
    <w:nsid w:val="3D6C25E0"/>
    <w:multiLevelType w:val="hybridMultilevel"/>
    <w:tmpl w:val="77383D58"/>
    <w:lvl w:ilvl="0" w:tplc="0809001B">
      <w:start w:val="1"/>
      <w:numFmt w:val="lowerRoman"/>
      <w:lvlText w:val="%1."/>
      <w:lvlJc w:val="right"/>
      <w:pPr>
        <w:ind w:left="371" w:hanging="360"/>
      </w:pPr>
    </w:lvl>
    <w:lvl w:ilvl="1" w:tplc="08090019" w:tentative="1">
      <w:start w:val="1"/>
      <w:numFmt w:val="lowerLetter"/>
      <w:lvlText w:val="%2."/>
      <w:lvlJc w:val="left"/>
      <w:pPr>
        <w:ind w:left="1091" w:hanging="360"/>
      </w:pPr>
    </w:lvl>
    <w:lvl w:ilvl="2" w:tplc="0809001B" w:tentative="1">
      <w:start w:val="1"/>
      <w:numFmt w:val="lowerRoman"/>
      <w:lvlText w:val="%3."/>
      <w:lvlJc w:val="right"/>
      <w:pPr>
        <w:ind w:left="1811" w:hanging="180"/>
      </w:pPr>
    </w:lvl>
    <w:lvl w:ilvl="3" w:tplc="0809000F" w:tentative="1">
      <w:start w:val="1"/>
      <w:numFmt w:val="decimal"/>
      <w:lvlText w:val="%4."/>
      <w:lvlJc w:val="left"/>
      <w:pPr>
        <w:ind w:left="2531" w:hanging="360"/>
      </w:pPr>
    </w:lvl>
    <w:lvl w:ilvl="4" w:tplc="08090019" w:tentative="1">
      <w:start w:val="1"/>
      <w:numFmt w:val="lowerLetter"/>
      <w:lvlText w:val="%5."/>
      <w:lvlJc w:val="left"/>
      <w:pPr>
        <w:ind w:left="3251" w:hanging="360"/>
      </w:pPr>
    </w:lvl>
    <w:lvl w:ilvl="5" w:tplc="0809001B" w:tentative="1">
      <w:start w:val="1"/>
      <w:numFmt w:val="lowerRoman"/>
      <w:lvlText w:val="%6."/>
      <w:lvlJc w:val="right"/>
      <w:pPr>
        <w:ind w:left="3971" w:hanging="180"/>
      </w:pPr>
    </w:lvl>
    <w:lvl w:ilvl="6" w:tplc="0809000F" w:tentative="1">
      <w:start w:val="1"/>
      <w:numFmt w:val="decimal"/>
      <w:lvlText w:val="%7."/>
      <w:lvlJc w:val="left"/>
      <w:pPr>
        <w:ind w:left="4691" w:hanging="360"/>
      </w:pPr>
    </w:lvl>
    <w:lvl w:ilvl="7" w:tplc="08090019" w:tentative="1">
      <w:start w:val="1"/>
      <w:numFmt w:val="lowerLetter"/>
      <w:lvlText w:val="%8."/>
      <w:lvlJc w:val="left"/>
      <w:pPr>
        <w:ind w:left="5411" w:hanging="360"/>
      </w:pPr>
    </w:lvl>
    <w:lvl w:ilvl="8" w:tplc="0809001B" w:tentative="1">
      <w:start w:val="1"/>
      <w:numFmt w:val="lowerRoman"/>
      <w:lvlText w:val="%9."/>
      <w:lvlJc w:val="right"/>
      <w:pPr>
        <w:ind w:left="6131" w:hanging="180"/>
      </w:pPr>
    </w:lvl>
  </w:abstractNum>
  <w:abstractNum w:abstractNumId="19" w15:restartNumberingAfterBreak="0">
    <w:nsid w:val="42D233C1"/>
    <w:multiLevelType w:val="hybridMultilevel"/>
    <w:tmpl w:val="5EAEA3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ED5125"/>
    <w:multiLevelType w:val="hybridMultilevel"/>
    <w:tmpl w:val="52E81688"/>
    <w:lvl w:ilvl="0" w:tplc="FFFFFFFF">
      <w:start w:val="1"/>
      <w:numFmt w:val="lowerRoman"/>
      <w:lvlText w:val="%1."/>
      <w:lvlJc w:val="right"/>
      <w:pPr>
        <w:ind w:left="720" w:hanging="360"/>
      </w:pPr>
    </w:lvl>
    <w:lvl w:ilvl="1" w:tplc="0809001B">
      <w:start w:val="1"/>
      <w:numFmt w:val="lowerRoman"/>
      <w:lvlText w:val="%2."/>
      <w:lvlJc w:val="righ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7D327BB"/>
    <w:multiLevelType w:val="multilevel"/>
    <w:tmpl w:val="DA0EF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EF7862"/>
    <w:multiLevelType w:val="multilevel"/>
    <w:tmpl w:val="17A2087C"/>
    <w:lvl w:ilvl="0">
      <w:start w:val="4"/>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69B3450"/>
    <w:multiLevelType w:val="hybridMultilevel"/>
    <w:tmpl w:val="42FC1E94"/>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A357CA7"/>
    <w:multiLevelType w:val="hybridMultilevel"/>
    <w:tmpl w:val="EA8CBD38"/>
    <w:lvl w:ilvl="0" w:tplc="0809000F">
      <w:start w:val="1"/>
      <w:numFmt w:val="decimal"/>
      <w:lvlText w:val="%1."/>
      <w:lvlJc w:val="left"/>
      <w:pPr>
        <w:ind w:left="1080" w:hanging="72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A6E7BEC"/>
    <w:multiLevelType w:val="hybridMultilevel"/>
    <w:tmpl w:val="9CD0405C"/>
    <w:lvl w:ilvl="0" w:tplc="0809001B">
      <w:start w:val="1"/>
      <w:numFmt w:val="lowerRoman"/>
      <w:lvlText w:val="%1."/>
      <w:lvlJc w:val="right"/>
      <w:pPr>
        <w:ind w:left="720" w:hanging="360"/>
      </w:pPr>
    </w:lvl>
    <w:lvl w:ilvl="1" w:tplc="8B7CB71C">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AD443F"/>
    <w:multiLevelType w:val="hybridMultilevel"/>
    <w:tmpl w:val="C8F86676"/>
    <w:lvl w:ilvl="0" w:tplc="1F78B7FE">
      <w:start w:val="1"/>
      <w:numFmt w:val="bullet"/>
      <w:lvlText w:val=""/>
      <w:lvlJc w:val="left"/>
      <w:pPr>
        <w:ind w:left="1080" w:hanging="360"/>
      </w:pPr>
      <w:rPr>
        <w:rFonts w:ascii="Symbol" w:hAnsi="Symbol"/>
      </w:rPr>
    </w:lvl>
    <w:lvl w:ilvl="1" w:tplc="14323D64">
      <w:start w:val="1"/>
      <w:numFmt w:val="bullet"/>
      <w:lvlText w:val=""/>
      <w:lvlJc w:val="left"/>
      <w:pPr>
        <w:ind w:left="1080" w:hanging="360"/>
      </w:pPr>
      <w:rPr>
        <w:rFonts w:ascii="Symbol" w:hAnsi="Symbol"/>
      </w:rPr>
    </w:lvl>
    <w:lvl w:ilvl="2" w:tplc="9760D660">
      <w:start w:val="1"/>
      <w:numFmt w:val="bullet"/>
      <w:lvlText w:val=""/>
      <w:lvlJc w:val="left"/>
      <w:pPr>
        <w:ind w:left="1080" w:hanging="360"/>
      </w:pPr>
      <w:rPr>
        <w:rFonts w:ascii="Symbol" w:hAnsi="Symbol"/>
      </w:rPr>
    </w:lvl>
    <w:lvl w:ilvl="3" w:tplc="D0BC5906">
      <w:start w:val="1"/>
      <w:numFmt w:val="bullet"/>
      <w:lvlText w:val=""/>
      <w:lvlJc w:val="left"/>
      <w:pPr>
        <w:ind w:left="1080" w:hanging="360"/>
      </w:pPr>
      <w:rPr>
        <w:rFonts w:ascii="Symbol" w:hAnsi="Symbol"/>
      </w:rPr>
    </w:lvl>
    <w:lvl w:ilvl="4" w:tplc="CAD83D6C">
      <w:start w:val="1"/>
      <w:numFmt w:val="bullet"/>
      <w:lvlText w:val=""/>
      <w:lvlJc w:val="left"/>
      <w:pPr>
        <w:ind w:left="1080" w:hanging="360"/>
      </w:pPr>
      <w:rPr>
        <w:rFonts w:ascii="Symbol" w:hAnsi="Symbol"/>
      </w:rPr>
    </w:lvl>
    <w:lvl w:ilvl="5" w:tplc="CE4A65EE">
      <w:start w:val="1"/>
      <w:numFmt w:val="bullet"/>
      <w:lvlText w:val=""/>
      <w:lvlJc w:val="left"/>
      <w:pPr>
        <w:ind w:left="1080" w:hanging="360"/>
      </w:pPr>
      <w:rPr>
        <w:rFonts w:ascii="Symbol" w:hAnsi="Symbol"/>
      </w:rPr>
    </w:lvl>
    <w:lvl w:ilvl="6" w:tplc="B6B4AB58">
      <w:start w:val="1"/>
      <w:numFmt w:val="bullet"/>
      <w:lvlText w:val=""/>
      <w:lvlJc w:val="left"/>
      <w:pPr>
        <w:ind w:left="1080" w:hanging="360"/>
      </w:pPr>
      <w:rPr>
        <w:rFonts w:ascii="Symbol" w:hAnsi="Symbol"/>
      </w:rPr>
    </w:lvl>
    <w:lvl w:ilvl="7" w:tplc="E49004AC">
      <w:start w:val="1"/>
      <w:numFmt w:val="bullet"/>
      <w:lvlText w:val=""/>
      <w:lvlJc w:val="left"/>
      <w:pPr>
        <w:ind w:left="1080" w:hanging="360"/>
      </w:pPr>
      <w:rPr>
        <w:rFonts w:ascii="Symbol" w:hAnsi="Symbol"/>
      </w:rPr>
    </w:lvl>
    <w:lvl w:ilvl="8" w:tplc="8B2E09FC">
      <w:start w:val="1"/>
      <w:numFmt w:val="bullet"/>
      <w:lvlText w:val=""/>
      <w:lvlJc w:val="left"/>
      <w:pPr>
        <w:ind w:left="1080" w:hanging="360"/>
      </w:pPr>
      <w:rPr>
        <w:rFonts w:ascii="Symbol" w:hAnsi="Symbol"/>
      </w:rPr>
    </w:lvl>
  </w:abstractNum>
  <w:abstractNum w:abstractNumId="27" w15:restartNumberingAfterBreak="0">
    <w:nsid w:val="5D0E3BC6"/>
    <w:multiLevelType w:val="hybridMultilevel"/>
    <w:tmpl w:val="D3587FE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54375C"/>
    <w:multiLevelType w:val="hybridMultilevel"/>
    <w:tmpl w:val="00BC8D96"/>
    <w:lvl w:ilvl="0" w:tplc="3BB04EFE">
      <w:start w:val="1"/>
      <w:numFmt w:val="lowerRoman"/>
      <w:lvlText w:val="%1."/>
      <w:lvlJc w:val="left"/>
      <w:pPr>
        <w:ind w:left="1080" w:hanging="720"/>
      </w:pPr>
      <w:rPr>
        <w:rFonts w:ascii="Book Antiqua" w:eastAsiaTheme="minorHAnsi" w:hAnsi="Book Antiqua"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053D20"/>
    <w:multiLevelType w:val="multilevel"/>
    <w:tmpl w:val="8760024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3B85A71"/>
    <w:multiLevelType w:val="multilevel"/>
    <w:tmpl w:val="BAACCBD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5CD2434"/>
    <w:multiLevelType w:val="multilevel"/>
    <w:tmpl w:val="297AAD1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5E308FB"/>
    <w:multiLevelType w:val="hybridMultilevel"/>
    <w:tmpl w:val="772EABB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2B0A55"/>
    <w:multiLevelType w:val="hybridMultilevel"/>
    <w:tmpl w:val="46A80846"/>
    <w:lvl w:ilvl="0" w:tplc="9E9658E8">
      <w:start w:val="1"/>
      <w:numFmt w:val="lowerRoman"/>
      <w:lvlText w:val="%1."/>
      <w:lvlJc w:val="left"/>
      <w:pPr>
        <w:ind w:left="1811" w:hanging="720"/>
      </w:pPr>
      <w:rPr>
        <w:rFonts w:hint="default"/>
      </w:rPr>
    </w:lvl>
    <w:lvl w:ilvl="1" w:tplc="08090019" w:tentative="1">
      <w:start w:val="1"/>
      <w:numFmt w:val="lowerLetter"/>
      <w:lvlText w:val="%2."/>
      <w:lvlJc w:val="left"/>
      <w:pPr>
        <w:ind w:left="2171" w:hanging="360"/>
      </w:pPr>
    </w:lvl>
    <w:lvl w:ilvl="2" w:tplc="0809001B" w:tentative="1">
      <w:start w:val="1"/>
      <w:numFmt w:val="lowerRoman"/>
      <w:lvlText w:val="%3."/>
      <w:lvlJc w:val="right"/>
      <w:pPr>
        <w:ind w:left="2891" w:hanging="180"/>
      </w:pPr>
    </w:lvl>
    <w:lvl w:ilvl="3" w:tplc="0809000F" w:tentative="1">
      <w:start w:val="1"/>
      <w:numFmt w:val="decimal"/>
      <w:lvlText w:val="%4."/>
      <w:lvlJc w:val="left"/>
      <w:pPr>
        <w:ind w:left="3611" w:hanging="360"/>
      </w:pPr>
    </w:lvl>
    <w:lvl w:ilvl="4" w:tplc="08090019" w:tentative="1">
      <w:start w:val="1"/>
      <w:numFmt w:val="lowerLetter"/>
      <w:lvlText w:val="%5."/>
      <w:lvlJc w:val="left"/>
      <w:pPr>
        <w:ind w:left="4331" w:hanging="360"/>
      </w:pPr>
    </w:lvl>
    <w:lvl w:ilvl="5" w:tplc="0809001B" w:tentative="1">
      <w:start w:val="1"/>
      <w:numFmt w:val="lowerRoman"/>
      <w:lvlText w:val="%6."/>
      <w:lvlJc w:val="right"/>
      <w:pPr>
        <w:ind w:left="5051" w:hanging="180"/>
      </w:pPr>
    </w:lvl>
    <w:lvl w:ilvl="6" w:tplc="0809000F" w:tentative="1">
      <w:start w:val="1"/>
      <w:numFmt w:val="decimal"/>
      <w:lvlText w:val="%7."/>
      <w:lvlJc w:val="left"/>
      <w:pPr>
        <w:ind w:left="5771" w:hanging="360"/>
      </w:pPr>
    </w:lvl>
    <w:lvl w:ilvl="7" w:tplc="08090019" w:tentative="1">
      <w:start w:val="1"/>
      <w:numFmt w:val="lowerLetter"/>
      <w:lvlText w:val="%8."/>
      <w:lvlJc w:val="left"/>
      <w:pPr>
        <w:ind w:left="6491" w:hanging="360"/>
      </w:pPr>
    </w:lvl>
    <w:lvl w:ilvl="8" w:tplc="0809001B" w:tentative="1">
      <w:start w:val="1"/>
      <w:numFmt w:val="lowerRoman"/>
      <w:lvlText w:val="%9."/>
      <w:lvlJc w:val="right"/>
      <w:pPr>
        <w:ind w:left="7211" w:hanging="180"/>
      </w:pPr>
    </w:lvl>
  </w:abstractNum>
  <w:abstractNum w:abstractNumId="34" w15:restartNumberingAfterBreak="0">
    <w:nsid w:val="6EDE0E57"/>
    <w:multiLevelType w:val="hybridMultilevel"/>
    <w:tmpl w:val="B9F8EC62"/>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8103AE"/>
    <w:multiLevelType w:val="multilevel"/>
    <w:tmpl w:val="854E6932"/>
    <w:lvl w:ilvl="0">
      <w:start w:val="1"/>
      <w:numFmt w:val="decimal"/>
      <w:lvlText w:val="%1."/>
      <w:lvlJc w:val="left"/>
      <w:pPr>
        <w:ind w:left="731" w:hanging="360"/>
      </w:pPr>
      <w:rPr>
        <w:rFonts w:hint="default"/>
        <w:b/>
      </w:rPr>
    </w:lvl>
    <w:lvl w:ilvl="1">
      <w:start w:val="1"/>
      <w:numFmt w:val="decimal"/>
      <w:isLgl/>
      <w:lvlText w:val="%1.%2"/>
      <w:lvlJc w:val="left"/>
      <w:pPr>
        <w:ind w:left="731" w:hanging="360"/>
      </w:pPr>
      <w:rPr>
        <w:rFonts w:hint="default"/>
      </w:rPr>
    </w:lvl>
    <w:lvl w:ilvl="2">
      <w:start w:val="1"/>
      <w:numFmt w:val="decimal"/>
      <w:isLgl/>
      <w:lvlText w:val="%1.%2.%3"/>
      <w:lvlJc w:val="left"/>
      <w:pPr>
        <w:ind w:left="1091" w:hanging="720"/>
      </w:pPr>
      <w:rPr>
        <w:rFonts w:hint="default"/>
      </w:rPr>
    </w:lvl>
    <w:lvl w:ilvl="3">
      <w:start w:val="1"/>
      <w:numFmt w:val="decimal"/>
      <w:isLgl/>
      <w:lvlText w:val="%1.%2.%3.%4"/>
      <w:lvlJc w:val="left"/>
      <w:pPr>
        <w:ind w:left="1091" w:hanging="720"/>
      </w:pPr>
      <w:rPr>
        <w:rFonts w:hint="default"/>
      </w:rPr>
    </w:lvl>
    <w:lvl w:ilvl="4">
      <w:start w:val="1"/>
      <w:numFmt w:val="decimal"/>
      <w:isLgl/>
      <w:lvlText w:val="%1.%2.%3.%4.%5"/>
      <w:lvlJc w:val="left"/>
      <w:pPr>
        <w:ind w:left="1451" w:hanging="1080"/>
      </w:pPr>
      <w:rPr>
        <w:rFonts w:hint="default"/>
      </w:rPr>
    </w:lvl>
    <w:lvl w:ilvl="5">
      <w:start w:val="1"/>
      <w:numFmt w:val="decimal"/>
      <w:isLgl/>
      <w:lvlText w:val="%1.%2.%3.%4.%5.%6"/>
      <w:lvlJc w:val="left"/>
      <w:pPr>
        <w:ind w:left="1451" w:hanging="1080"/>
      </w:pPr>
      <w:rPr>
        <w:rFonts w:hint="default"/>
      </w:rPr>
    </w:lvl>
    <w:lvl w:ilvl="6">
      <w:start w:val="1"/>
      <w:numFmt w:val="decimal"/>
      <w:isLgl/>
      <w:lvlText w:val="%1.%2.%3.%4.%5.%6.%7"/>
      <w:lvlJc w:val="left"/>
      <w:pPr>
        <w:ind w:left="1811" w:hanging="1440"/>
      </w:pPr>
      <w:rPr>
        <w:rFonts w:hint="default"/>
      </w:rPr>
    </w:lvl>
    <w:lvl w:ilvl="7">
      <w:start w:val="1"/>
      <w:numFmt w:val="decimal"/>
      <w:isLgl/>
      <w:lvlText w:val="%1.%2.%3.%4.%5.%6.%7.%8"/>
      <w:lvlJc w:val="left"/>
      <w:pPr>
        <w:ind w:left="2171" w:hanging="1800"/>
      </w:pPr>
      <w:rPr>
        <w:rFonts w:hint="default"/>
      </w:rPr>
    </w:lvl>
    <w:lvl w:ilvl="8">
      <w:start w:val="1"/>
      <w:numFmt w:val="decimal"/>
      <w:isLgl/>
      <w:lvlText w:val="%1.%2.%3.%4.%5.%6.%7.%8.%9"/>
      <w:lvlJc w:val="left"/>
      <w:pPr>
        <w:ind w:left="2171" w:hanging="1800"/>
      </w:pPr>
      <w:rPr>
        <w:rFonts w:hint="default"/>
      </w:rPr>
    </w:lvl>
  </w:abstractNum>
  <w:abstractNum w:abstractNumId="36" w15:restartNumberingAfterBreak="0">
    <w:nsid w:val="72630307"/>
    <w:multiLevelType w:val="multilevel"/>
    <w:tmpl w:val="B8286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6731B0"/>
    <w:multiLevelType w:val="hybridMultilevel"/>
    <w:tmpl w:val="D1A6764A"/>
    <w:lvl w:ilvl="0" w:tplc="0809000F">
      <w:start w:val="1"/>
      <w:numFmt w:val="decimal"/>
      <w:lvlText w:val="%1."/>
      <w:lvlJc w:val="left"/>
      <w:pPr>
        <w:ind w:left="371" w:hanging="360"/>
      </w:pPr>
    </w:lvl>
    <w:lvl w:ilvl="1" w:tplc="08090019" w:tentative="1">
      <w:start w:val="1"/>
      <w:numFmt w:val="lowerLetter"/>
      <w:lvlText w:val="%2."/>
      <w:lvlJc w:val="left"/>
      <w:pPr>
        <w:ind w:left="1091" w:hanging="360"/>
      </w:pPr>
    </w:lvl>
    <w:lvl w:ilvl="2" w:tplc="0809001B" w:tentative="1">
      <w:start w:val="1"/>
      <w:numFmt w:val="lowerRoman"/>
      <w:lvlText w:val="%3."/>
      <w:lvlJc w:val="right"/>
      <w:pPr>
        <w:ind w:left="1811" w:hanging="180"/>
      </w:pPr>
    </w:lvl>
    <w:lvl w:ilvl="3" w:tplc="0809000F" w:tentative="1">
      <w:start w:val="1"/>
      <w:numFmt w:val="decimal"/>
      <w:lvlText w:val="%4."/>
      <w:lvlJc w:val="left"/>
      <w:pPr>
        <w:ind w:left="2531" w:hanging="360"/>
      </w:pPr>
    </w:lvl>
    <w:lvl w:ilvl="4" w:tplc="08090019" w:tentative="1">
      <w:start w:val="1"/>
      <w:numFmt w:val="lowerLetter"/>
      <w:lvlText w:val="%5."/>
      <w:lvlJc w:val="left"/>
      <w:pPr>
        <w:ind w:left="3251" w:hanging="360"/>
      </w:pPr>
    </w:lvl>
    <w:lvl w:ilvl="5" w:tplc="0809001B" w:tentative="1">
      <w:start w:val="1"/>
      <w:numFmt w:val="lowerRoman"/>
      <w:lvlText w:val="%6."/>
      <w:lvlJc w:val="right"/>
      <w:pPr>
        <w:ind w:left="3971" w:hanging="180"/>
      </w:pPr>
    </w:lvl>
    <w:lvl w:ilvl="6" w:tplc="0809000F" w:tentative="1">
      <w:start w:val="1"/>
      <w:numFmt w:val="decimal"/>
      <w:lvlText w:val="%7."/>
      <w:lvlJc w:val="left"/>
      <w:pPr>
        <w:ind w:left="4691" w:hanging="360"/>
      </w:pPr>
    </w:lvl>
    <w:lvl w:ilvl="7" w:tplc="08090019" w:tentative="1">
      <w:start w:val="1"/>
      <w:numFmt w:val="lowerLetter"/>
      <w:lvlText w:val="%8."/>
      <w:lvlJc w:val="left"/>
      <w:pPr>
        <w:ind w:left="5411" w:hanging="360"/>
      </w:pPr>
    </w:lvl>
    <w:lvl w:ilvl="8" w:tplc="0809001B" w:tentative="1">
      <w:start w:val="1"/>
      <w:numFmt w:val="lowerRoman"/>
      <w:lvlText w:val="%9."/>
      <w:lvlJc w:val="right"/>
      <w:pPr>
        <w:ind w:left="6131" w:hanging="180"/>
      </w:pPr>
    </w:lvl>
  </w:abstractNum>
  <w:abstractNum w:abstractNumId="38" w15:restartNumberingAfterBreak="0">
    <w:nsid w:val="7A0A2249"/>
    <w:multiLevelType w:val="hybridMultilevel"/>
    <w:tmpl w:val="EB140A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EB7C81"/>
    <w:multiLevelType w:val="hybridMultilevel"/>
    <w:tmpl w:val="89120CE0"/>
    <w:lvl w:ilvl="0" w:tplc="4EC093B8">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3A3619"/>
    <w:multiLevelType w:val="hybridMultilevel"/>
    <w:tmpl w:val="8DFCA9A0"/>
    <w:lvl w:ilvl="0" w:tplc="323EBDA2">
      <w:start w:val="5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26040">
    <w:abstractNumId w:val="2"/>
  </w:num>
  <w:num w:numId="2" w16cid:durableId="990866328">
    <w:abstractNumId w:val="17"/>
  </w:num>
  <w:num w:numId="3" w16cid:durableId="1338075754">
    <w:abstractNumId w:val="16"/>
  </w:num>
  <w:num w:numId="4" w16cid:durableId="1638485553">
    <w:abstractNumId w:val="14"/>
  </w:num>
  <w:num w:numId="5" w16cid:durableId="1734158790">
    <w:abstractNumId w:val="19"/>
  </w:num>
  <w:num w:numId="6" w16cid:durableId="1478034159">
    <w:abstractNumId w:val="18"/>
  </w:num>
  <w:num w:numId="7" w16cid:durableId="185411400">
    <w:abstractNumId w:val="7"/>
  </w:num>
  <w:num w:numId="8" w16cid:durableId="1873952438">
    <w:abstractNumId w:val="5"/>
  </w:num>
  <w:num w:numId="9" w16cid:durableId="1741976516">
    <w:abstractNumId w:val="37"/>
  </w:num>
  <w:num w:numId="10" w16cid:durableId="497161333">
    <w:abstractNumId w:val="36"/>
  </w:num>
  <w:num w:numId="11" w16cid:durableId="2130009674">
    <w:abstractNumId w:val="0"/>
  </w:num>
  <w:num w:numId="12" w16cid:durableId="1788695863">
    <w:abstractNumId w:val="23"/>
  </w:num>
  <w:num w:numId="13" w16cid:durableId="890574658">
    <w:abstractNumId w:val="35"/>
  </w:num>
  <w:num w:numId="14" w16cid:durableId="1265070065">
    <w:abstractNumId w:val="33"/>
  </w:num>
  <w:num w:numId="15" w16cid:durableId="2069300411">
    <w:abstractNumId w:val="40"/>
  </w:num>
  <w:num w:numId="16" w16cid:durableId="307714136">
    <w:abstractNumId w:val="32"/>
  </w:num>
  <w:num w:numId="17" w16cid:durableId="1928154420">
    <w:abstractNumId w:val="6"/>
  </w:num>
  <w:num w:numId="18" w16cid:durableId="1756123383">
    <w:abstractNumId w:val="25"/>
  </w:num>
  <w:num w:numId="19" w16cid:durableId="405299117">
    <w:abstractNumId w:val="4"/>
  </w:num>
  <w:num w:numId="20" w16cid:durableId="428736553">
    <w:abstractNumId w:val="9"/>
  </w:num>
  <w:num w:numId="21" w16cid:durableId="846408526">
    <w:abstractNumId w:val="31"/>
  </w:num>
  <w:num w:numId="22" w16cid:durableId="661352796">
    <w:abstractNumId w:val="21"/>
  </w:num>
  <w:num w:numId="23" w16cid:durableId="719549290">
    <w:abstractNumId w:val="26"/>
  </w:num>
  <w:num w:numId="24" w16cid:durableId="643778591">
    <w:abstractNumId w:val="1"/>
  </w:num>
  <w:num w:numId="25" w16cid:durableId="790781365">
    <w:abstractNumId w:val="10"/>
  </w:num>
  <w:num w:numId="26" w16cid:durableId="1758166011">
    <w:abstractNumId w:val="3"/>
  </w:num>
  <w:num w:numId="27" w16cid:durableId="878905190">
    <w:abstractNumId w:val="28"/>
  </w:num>
  <w:num w:numId="28" w16cid:durableId="620888175">
    <w:abstractNumId w:val="27"/>
  </w:num>
  <w:num w:numId="29" w16cid:durableId="694771789">
    <w:abstractNumId w:val="29"/>
  </w:num>
  <w:num w:numId="30" w16cid:durableId="623540767">
    <w:abstractNumId w:val="30"/>
  </w:num>
  <w:num w:numId="31" w16cid:durableId="795832534">
    <w:abstractNumId w:val="8"/>
  </w:num>
  <w:num w:numId="32" w16cid:durableId="1732775446">
    <w:abstractNumId w:val="22"/>
  </w:num>
  <w:num w:numId="33" w16cid:durableId="1319073477">
    <w:abstractNumId w:val="15"/>
  </w:num>
  <w:num w:numId="34" w16cid:durableId="829103066">
    <w:abstractNumId w:val="39"/>
  </w:num>
  <w:num w:numId="35" w16cid:durableId="1363165302">
    <w:abstractNumId w:val="13"/>
  </w:num>
  <w:num w:numId="36" w16cid:durableId="1479149617">
    <w:abstractNumId w:val="24"/>
  </w:num>
  <w:num w:numId="37" w16cid:durableId="243802144">
    <w:abstractNumId w:val="11"/>
  </w:num>
  <w:num w:numId="38" w16cid:durableId="858810897">
    <w:abstractNumId w:val="34"/>
  </w:num>
  <w:num w:numId="39" w16cid:durableId="1280647651">
    <w:abstractNumId w:val="20"/>
  </w:num>
  <w:num w:numId="40" w16cid:durableId="782187369">
    <w:abstractNumId w:val="38"/>
  </w:num>
  <w:num w:numId="41" w16cid:durableId="185823423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5F7"/>
    <w:rsid w:val="00001FDC"/>
    <w:rsid w:val="0000362B"/>
    <w:rsid w:val="00003CE3"/>
    <w:rsid w:val="0000525D"/>
    <w:rsid w:val="00005381"/>
    <w:rsid w:val="0000625E"/>
    <w:rsid w:val="0001024D"/>
    <w:rsid w:val="00012097"/>
    <w:rsid w:val="0001217F"/>
    <w:rsid w:val="00012DCE"/>
    <w:rsid w:val="000167DA"/>
    <w:rsid w:val="0002042C"/>
    <w:rsid w:val="00020FBA"/>
    <w:rsid w:val="000218D3"/>
    <w:rsid w:val="00024A69"/>
    <w:rsid w:val="00025A60"/>
    <w:rsid w:val="00026475"/>
    <w:rsid w:val="00026C9A"/>
    <w:rsid w:val="00027320"/>
    <w:rsid w:val="0003007D"/>
    <w:rsid w:val="000308F5"/>
    <w:rsid w:val="00030C2B"/>
    <w:rsid w:val="0003219F"/>
    <w:rsid w:val="000329E8"/>
    <w:rsid w:val="00034456"/>
    <w:rsid w:val="0003514E"/>
    <w:rsid w:val="00036579"/>
    <w:rsid w:val="00037909"/>
    <w:rsid w:val="00040A92"/>
    <w:rsid w:val="00041AF0"/>
    <w:rsid w:val="00041D5E"/>
    <w:rsid w:val="00042529"/>
    <w:rsid w:val="000432C5"/>
    <w:rsid w:val="0004351E"/>
    <w:rsid w:val="0004429D"/>
    <w:rsid w:val="000449F8"/>
    <w:rsid w:val="00047278"/>
    <w:rsid w:val="000508CD"/>
    <w:rsid w:val="00050B16"/>
    <w:rsid w:val="00051ED9"/>
    <w:rsid w:val="00052282"/>
    <w:rsid w:val="00052B50"/>
    <w:rsid w:val="00052B5E"/>
    <w:rsid w:val="00052FB0"/>
    <w:rsid w:val="00053EF5"/>
    <w:rsid w:val="00054128"/>
    <w:rsid w:val="0005502E"/>
    <w:rsid w:val="000556E8"/>
    <w:rsid w:val="0005729D"/>
    <w:rsid w:val="000575D6"/>
    <w:rsid w:val="00060C54"/>
    <w:rsid w:val="00060C64"/>
    <w:rsid w:val="0006225A"/>
    <w:rsid w:val="00062269"/>
    <w:rsid w:val="00062772"/>
    <w:rsid w:val="00062DB3"/>
    <w:rsid w:val="000640BF"/>
    <w:rsid w:val="00065258"/>
    <w:rsid w:val="00065AD1"/>
    <w:rsid w:val="000675B8"/>
    <w:rsid w:val="000749F9"/>
    <w:rsid w:val="00076C30"/>
    <w:rsid w:val="000800A1"/>
    <w:rsid w:val="00081A2A"/>
    <w:rsid w:val="000828C8"/>
    <w:rsid w:val="00082E50"/>
    <w:rsid w:val="0008360E"/>
    <w:rsid w:val="00083771"/>
    <w:rsid w:val="00084C6B"/>
    <w:rsid w:val="00085297"/>
    <w:rsid w:val="00085989"/>
    <w:rsid w:val="00085CBA"/>
    <w:rsid w:val="00086ED7"/>
    <w:rsid w:val="00087D63"/>
    <w:rsid w:val="000925FA"/>
    <w:rsid w:val="00092DD3"/>
    <w:rsid w:val="000932B0"/>
    <w:rsid w:val="00094959"/>
    <w:rsid w:val="00095224"/>
    <w:rsid w:val="0009691C"/>
    <w:rsid w:val="000971CA"/>
    <w:rsid w:val="00097C2C"/>
    <w:rsid w:val="000A01E1"/>
    <w:rsid w:val="000A10ED"/>
    <w:rsid w:val="000A1854"/>
    <w:rsid w:val="000A214B"/>
    <w:rsid w:val="000A253D"/>
    <w:rsid w:val="000A3B72"/>
    <w:rsid w:val="000A3FAA"/>
    <w:rsid w:val="000A3FB3"/>
    <w:rsid w:val="000A4075"/>
    <w:rsid w:val="000A423B"/>
    <w:rsid w:val="000A4C54"/>
    <w:rsid w:val="000A4EB5"/>
    <w:rsid w:val="000A534B"/>
    <w:rsid w:val="000A5394"/>
    <w:rsid w:val="000A6442"/>
    <w:rsid w:val="000A7F48"/>
    <w:rsid w:val="000B0360"/>
    <w:rsid w:val="000B18D7"/>
    <w:rsid w:val="000B2CE8"/>
    <w:rsid w:val="000B307A"/>
    <w:rsid w:val="000B3752"/>
    <w:rsid w:val="000B38D2"/>
    <w:rsid w:val="000B3EC0"/>
    <w:rsid w:val="000B56A2"/>
    <w:rsid w:val="000B5D2E"/>
    <w:rsid w:val="000B6F8F"/>
    <w:rsid w:val="000B7EA0"/>
    <w:rsid w:val="000C19E9"/>
    <w:rsid w:val="000C31E1"/>
    <w:rsid w:val="000C41E4"/>
    <w:rsid w:val="000C41FF"/>
    <w:rsid w:val="000C4F42"/>
    <w:rsid w:val="000C5498"/>
    <w:rsid w:val="000C5548"/>
    <w:rsid w:val="000C59FB"/>
    <w:rsid w:val="000C6404"/>
    <w:rsid w:val="000C68C8"/>
    <w:rsid w:val="000C7353"/>
    <w:rsid w:val="000D18F7"/>
    <w:rsid w:val="000D4C5E"/>
    <w:rsid w:val="000D6C5A"/>
    <w:rsid w:val="000D7B97"/>
    <w:rsid w:val="000E0C75"/>
    <w:rsid w:val="000E1687"/>
    <w:rsid w:val="000E2AB3"/>
    <w:rsid w:val="000E3246"/>
    <w:rsid w:val="000E3250"/>
    <w:rsid w:val="000E336C"/>
    <w:rsid w:val="000E5F69"/>
    <w:rsid w:val="000E6061"/>
    <w:rsid w:val="000E6662"/>
    <w:rsid w:val="000F0413"/>
    <w:rsid w:val="000F329D"/>
    <w:rsid w:val="000F4ECF"/>
    <w:rsid w:val="000F5335"/>
    <w:rsid w:val="000F5B4E"/>
    <w:rsid w:val="000F5C5E"/>
    <w:rsid w:val="0010224E"/>
    <w:rsid w:val="00102558"/>
    <w:rsid w:val="00102F28"/>
    <w:rsid w:val="0010312E"/>
    <w:rsid w:val="001047B3"/>
    <w:rsid w:val="00105A4E"/>
    <w:rsid w:val="001075B1"/>
    <w:rsid w:val="001100E2"/>
    <w:rsid w:val="00110572"/>
    <w:rsid w:val="00110D65"/>
    <w:rsid w:val="00112C79"/>
    <w:rsid w:val="00112E28"/>
    <w:rsid w:val="00113E1D"/>
    <w:rsid w:val="00113FA0"/>
    <w:rsid w:val="00114102"/>
    <w:rsid w:val="0011457C"/>
    <w:rsid w:val="001156DE"/>
    <w:rsid w:val="00115B7C"/>
    <w:rsid w:val="001164A0"/>
    <w:rsid w:val="0011695F"/>
    <w:rsid w:val="00117210"/>
    <w:rsid w:val="001177DB"/>
    <w:rsid w:val="001213A7"/>
    <w:rsid w:val="001226A4"/>
    <w:rsid w:val="00124CB7"/>
    <w:rsid w:val="001254A7"/>
    <w:rsid w:val="001255C8"/>
    <w:rsid w:val="00125AEC"/>
    <w:rsid w:val="00125CAE"/>
    <w:rsid w:val="00125E97"/>
    <w:rsid w:val="00127D0E"/>
    <w:rsid w:val="001319C3"/>
    <w:rsid w:val="0013284D"/>
    <w:rsid w:val="0013297E"/>
    <w:rsid w:val="001345E0"/>
    <w:rsid w:val="001349B2"/>
    <w:rsid w:val="00134FC3"/>
    <w:rsid w:val="001350A4"/>
    <w:rsid w:val="00141095"/>
    <w:rsid w:val="0014314B"/>
    <w:rsid w:val="00143266"/>
    <w:rsid w:val="001440D0"/>
    <w:rsid w:val="001446CA"/>
    <w:rsid w:val="00144CF6"/>
    <w:rsid w:val="0014791E"/>
    <w:rsid w:val="001506DA"/>
    <w:rsid w:val="001519A2"/>
    <w:rsid w:val="00151BE1"/>
    <w:rsid w:val="0015204D"/>
    <w:rsid w:val="00152D14"/>
    <w:rsid w:val="00152E48"/>
    <w:rsid w:val="00153867"/>
    <w:rsid w:val="00153E6A"/>
    <w:rsid w:val="00157225"/>
    <w:rsid w:val="0015722E"/>
    <w:rsid w:val="00157EB9"/>
    <w:rsid w:val="00157ED7"/>
    <w:rsid w:val="0016133B"/>
    <w:rsid w:val="00161CAC"/>
    <w:rsid w:val="00163756"/>
    <w:rsid w:val="00163787"/>
    <w:rsid w:val="001637FD"/>
    <w:rsid w:val="00164483"/>
    <w:rsid w:val="00164519"/>
    <w:rsid w:val="00166AC2"/>
    <w:rsid w:val="00167F1D"/>
    <w:rsid w:val="00170A29"/>
    <w:rsid w:val="00171F24"/>
    <w:rsid w:val="00172F01"/>
    <w:rsid w:val="001731BB"/>
    <w:rsid w:val="001747A8"/>
    <w:rsid w:val="00175FAA"/>
    <w:rsid w:val="001779C0"/>
    <w:rsid w:val="001825BD"/>
    <w:rsid w:val="001826F3"/>
    <w:rsid w:val="0018299C"/>
    <w:rsid w:val="00183534"/>
    <w:rsid w:val="00184156"/>
    <w:rsid w:val="00185582"/>
    <w:rsid w:val="0018737B"/>
    <w:rsid w:val="00187DE1"/>
    <w:rsid w:val="00187EA4"/>
    <w:rsid w:val="00187F45"/>
    <w:rsid w:val="001900A4"/>
    <w:rsid w:val="00191430"/>
    <w:rsid w:val="00191F08"/>
    <w:rsid w:val="0019344E"/>
    <w:rsid w:val="00194C9A"/>
    <w:rsid w:val="001964C0"/>
    <w:rsid w:val="00197A3B"/>
    <w:rsid w:val="00197FF5"/>
    <w:rsid w:val="001A0001"/>
    <w:rsid w:val="001A00EF"/>
    <w:rsid w:val="001A0E46"/>
    <w:rsid w:val="001A1D67"/>
    <w:rsid w:val="001A212F"/>
    <w:rsid w:val="001A2183"/>
    <w:rsid w:val="001A2C98"/>
    <w:rsid w:val="001A3404"/>
    <w:rsid w:val="001A477D"/>
    <w:rsid w:val="001A5577"/>
    <w:rsid w:val="001A58CC"/>
    <w:rsid w:val="001A5A5B"/>
    <w:rsid w:val="001A6850"/>
    <w:rsid w:val="001A7795"/>
    <w:rsid w:val="001B000B"/>
    <w:rsid w:val="001B1E90"/>
    <w:rsid w:val="001B2F71"/>
    <w:rsid w:val="001B31AD"/>
    <w:rsid w:val="001B3C70"/>
    <w:rsid w:val="001B4F58"/>
    <w:rsid w:val="001B524D"/>
    <w:rsid w:val="001B5376"/>
    <w:rsid w:val="001B5A24"/>
    <w:rsid w:val="001B69E1"/>
    <w:rsid w:val="001C0ACC"/>
    <w:rsid w:val="001C1571"/>
    <w:rsid w:val="001C2259"/>
    <w:rsid w:val="001C2A12"/>
    <w:rsid w:val="001C30E3"/>
    <w:rsid w:val="001C4B80"/>
    <w:rsid w:val="001C5CE0"/>
    <w:rsid w:val="001D07AB"/>
    <w:rsid w:val="001D0AF1"/>
    <w:rsid w:val="001D1F50"/>
    <w:rsid w:val="001D2AE2"/>
    <w:rsid w:val="001D2D93"/>
    <w:rsid w:val="001D3B1D"/>
    <w:rsid w:val="001D4800"/>
    <w:rsid w:val="001D48FD"/>
    <w:rsid w:val="001D55E2"/>
    <w:rsid w:val="001D694F"/>
    <w:rsid w:val="001D7DE3"/>
    <w:rsid w:val="001E03B6"/>
    <w:rsid w:val="001E060D"/>
    <w:rsid w:val="001E0FB4"/>
    <w:rsid w:val="001E2E07"/>
    <w:rsid w:val="001E42CC"/>
    <w:rsid w:val="001E63B0"/>
    <w:rsid w:val="001E6EBB"/>
    <w:rsid w:val="001E7661"/>
    <w:rsid w:val="001F06AE"/>
    <w:rsid w:val="001F1D65"/>
    <w:rsid w:val="001F221D"/>
    <w:rsid w:val="001F2485"/>
    <w:rsid w:val="001F34D1"/>
    <w:rsid w:val="001F3FB1"/>
    <w:rsid w:val="001F44F9"/>
    <w:rsid w:val="001F4664"/>
    <w:rsid w:val="001F5923"/>
    <w:rsid w:val="001F63C1"/>
    <w:rsid w:val="001F6596"/>
    <w:rsid w:val="001F6E53"/>
    <w:rsid w:val="001F7A09"/>
    <w:rsid w:val="002001F3"/>
    <w:rsid w:val="00200E94"/>
    <w:rsid w:val="00201769"/>
    <w:rsid w:val="00203B10"/>
    <w:rsid w:val="00203E71"/>
    <w:rsid w:val="0020489A"/>
    <w:rsid w:val="002049B4"/>
    <w:rsid w:val="00204E8C"/>
    <w:rsid w:val="002058D6"/>
    <w:rsid w:val="0021031C"/>
    <w:rsid w:val="00211530"/>
    <w:rsid w:val="0021290D"/>
    <w:rsid w:val="002130BA"/>
    <w:rsid w:val="002141D3"/>
    <w:rsid w:val="00214546"/>
    <w:rsid w:val="00217008"/>
    <w:rsid w:val="002202D8"/>
    <w:rsid w:val="002204B0"/>
    <w:rsid w:val="00220A65"/>
    <w:rsid w:val="00220F17"/>
    <w:rsid w:val="00223A21"/>
    <w:rsid w:val="00224544"/>
    <w:rsid w:val="00225E92"/>
    <w:rsid w:val="00226520"/>
    <w:rsid w:val="002273CE"/>
    <w:rsid w:val="00231132"/>
    <w:rsid w:val="0023217D"/>
    <w:rsid w:val="00232FD4"/>
    <w:rsid w:val="00233019"/>
    <w:rsid w:val="00233140"/>
    <w:rsid w:val="0023329E"/>
    <w:rsid w:val="00233C13"/>
    <w:rsid w:val="0023589B"/>
    <w:rsid w:val="002360EB"/>
    <w:rsid w:val="002379F5"/>
    <w:rsid w:val="00237C46"/>
    <w:rsid w:val="00240A07"/>
    <w:rsid w:val="0024178D"/>
    <w:rsid w:val="00242205"/>
    <w:rsid w:val="002427A1"/>
    <w:rsid w:val="00242DCC"/>
    <w:rsid w:val="00243389"/>
    <w:rsid w:val="00243D09"/>
    <w:rsid w:val="00246235"/>
    <w:rsid w:val="0024745B"/>
    <w:rsid w:val="0025070F"/>
    <w:rsid w:val="002514B2"/>
    <w:rsid w:val="00251FDA"/>
    <w:rsid w:val="00253315"/>
    <w:rsid w:val="00254F10"/>
    <w:rsid w:val="00260B9F"/>
    <w:rsid w:val="00260C92"/>
    <w:rsid w:val="00261F19"/>
    <w:rsid w:val="00263357"/>
    <w:rsid w:val="00263858"/>
    <w:rsid w:val="002639DD"/>
    <w:rsid w:val="00263DFB"/>
    <w:rsid w:val="00267DFC"/>
    <w:rsid w:val="002700F4"/>
    <w:rsid w:val="00270E63"/>
    <w:rsid w:val="0027315D"/>
    <w:rsid w:val="002748DC"/>
    <w:rsid w:val="00276235"/>
    <w:rsid w:val="002764E9"/>
    <w:rsid w:val="00276778"/>
    <w:rsid w:val="002818CC"/>
    <w:rsid w:val="00284959"/>
    <w:rsid w:val="0028623F"/>
    <w:rsid w:val="002865FE"/>
    <w:rsid w:val="00286BFA"/>
    <w:rsid w:val="00287778"/>
    <w:rsid w:val="00287AD8"/>
    <w:rsid w:val="002905A4"/>
    <w:rsid w:val="00290E2B"/>
    <w:rsid w:val="00291DBD"/>
    <w:rsid w:val="00292779"/>
    <w:rsid w:val="00292DE9"/>
    <w:rsid w:val="002938C7"/>
    <w:rsid w:val="00293F59"/>
    <w:rsid w:val="00296864"/>
    <w:rsid w:val="002973C6"/>
    <w:rsid w:val="002A00D6"/>
    <w:rsid w:val="002A0E47"/>
    <w:rsid w:val="002A2135"/>
    <w:rsid w:val="002A301D"/>
    <w:rsid w:val="002A3F06"/>
    <w:rsid w:val="002A5448"/>
    <w:rsid w:val="002A553D"/>
    <w:rsid w:val="002B0595"/>
    <w:rsid w:val="002B0B06"/>
    <w:rsid w:val="002B0E56"/>
    <w:rsid w:val="002B175C"/>
    <w:rsid w:val="002B2086"/>
    <w:rsid w:val="002B2641"/>
    <w:rsid w:val="002B2FAC"/>
    <w:rsid w:val="002B62C4"/>
    <w:rsid w:val="002B63C2"/>
    <w:rsid w:val="002B6F32"/>
    <w:rsid w:val="002B7E8F"/>
    <w:rsid w:val="002C0163"/>
    <w:rsid w:val="002C03F7"/>
    <w:rsid w:val="002C182F"/>
    <w:rsid w:val="002C1F8D"/>
    <w:rsid w:val="002C2818"/>
    <w:rsid w:val="002C349E"/>
    <w:rsid w:val="002C5722"/>
    <w:rsid w:val="002C5914"/>
    <w:rsid w:val="002C5AA5"/>
    <w:rsid w:val="002C645C"/>
    <w:rsid w:val="002D01CD"/>
    <w:rsid w:val="002D2E03"/>
    <w:rsid w:val="002D2E9B"/>
    <w:rsid w:val="002D4A53"/>
    <w:rsid w:val="002D6278"/>
    <w:rsid w:val="002D63C3"/>
    <w:rsid w:val="002D70BB"/>
    <w:rsid w:val="002E0AB9"/>
    <w:rsid w:val="002E1225"/>
    <w:rsid w:val="002E282F"/>
    <w:rsid w:val="002E2FDC"/>
    <w:rsid w:val="002E356F"/>
    <w:rsid w:val="002E50D4"/>
    <w:rsid w:val="002E6A02"/>
    <w:rsid w:val="002E6D08"/>
    <w:rsid w:val="002E705C"/>
    <w:rsid w:val="002E7756"/>
    <w:rsid w:val="002F0A0E"/>
    <w:rsid w:val="002F0B62"/>
    <w:rsid w:val="002F2F1F"/>
    <w:rsid w:val="002F4146"/>
    <w:rsid w:val="002F4AEA"/>
    <w:rsid w:val="002F54FE"/>
    <w:rsid w:val="002F578A"/>
    <w:rsid w:val="002F5AA2"/>
    <w:rsid w:val="002F74B2"/>
    <w:rsid w:val="003021A9"/>
    <w:rsid w:val="00302386"/>
    <w:rsid w:val="00302ADE"/>
    <w:rsid w:val="00304990"/>
    <w:rsid w:val="00304B37"/>
    <w:rsid w:val="00304BF5"/>
    <w:rsid w:val="00305413"/>
    <w:rsid w:val="00305DF4"/>
    <w:rsid w:val="00306567"/>
    <w:rsid w:val="00306FE6"/>
    <w:rsid w:val="00310351"/>
    <w:rsid w:val="00311CA7"/>
    <w:rsid w:val="00312AA0"/>
    <w:rsid w:val="00312BD5"/>
    <w:rsid w:val="00312C5D"/>
    <w:rsid w:val="0031345D"/>
    <w:rsid w:val="00313937"/>
    <w:rsid w:val="00313B26"/>
    <w:rsid w:val="00314852"/>
    <w:rsid w:val="00315516"/>
    <w:rsid w:val="00316425"/>
    <w:rsid w:val="0031675A"/>
    <w:rsid w:val="00316C89"/>
    <w:rsid w:val="00316E22"/>
    <w:rsid w:val="003200B8"/>
    <w:rsid w:val="00320E74"/>
    <w:rsid w:val="003227FC"/>
    <w:rsid w:val="003243E3"/>
    <w:rsid w:val="00325926"/>
    <w:rsid w:val="00327186"/>
    <w:rsid w:val="003302FE"/>
    <w:rsid w:val="003308B4"/>
    <w:rsid w:val="00330CAB"/>
    <w:rsid w:val="0033115C"/>
    <w:rsid w:val="00332C5F"/>
    <w:rsid w:val="00333D69"/>
    <w:rsid w:val="00334FC2"/>
    <w:rsid w:val="00335180"/>
    <w:rsid w:val="003354F1"/>
    <w:rsid w:val="003362A2"/>
    <w:rsid w:val="00340CDE"/>
    <w:rsid w:val="0034386D"/>
    <w:rsid w:val="00344384"/>
    <w:rsid w:val="00344771"/>
    <w:rsid w:val="00345472"/>
    <w:rsid w:val="00345DD2"/>
    <w:rsid w:val="00345EBD"/>
    <w:rsid w:val="003462AD"/>
    <w:rsid w:val="0034679A"/>
    <w:rsid w:val="00346F52"/>
    <w:rsid w:val="003474CA"/>
    <w:rsid w:val="00350AAB"/>
    <w:rsid w:val="00350F91"/>
    <w:rsid w:val="00352FEC"/>
    <w:rsid w:val="003530DD"/>
    <w:rsid w:val="00353A78"/>
    <w:rsid w:val="00354A08"/>
    <w:rsid w:val="00354E1A"/>
    <w:rsid w:val="0035651C"/>
    <w:rsid w:val="003602E0"/>
    <w:rsid w:val="003632B0"/>
    <w:rsid w:val="00364165"/>
    <w:rsid w:val="00364606"/>
    <w:rsid w:val="00365450"/>
    <w:rsid w:val="00371A9C"/>
    <w:rsid w:val="00372690"/>
    <w:rsid w:val="0037432B"/>
    <w:rsid w:val="00374406"/>
    <w:rsid w:val="00375FD0"/>
    <w:rsid w:val="003767B5"/>
    <w:rsid w:val="00380814"/>
    <w:rsid w:val="00382B7B"/>
    <w:rsid w:val="003838D1"/>
    <w:rsid w:val="00383A86"/>
    <w:rsid w:val="0038593D"/>
    <w:rsid w:val="00387094"/>
    <w:rsid w:val="00387951"/>
    <w:rsid w:val="00387B89"/>
    <w:rsid w:val="00387CBC"/>
    <w:rsid w:val="00391BCB"/>
    <w:rsid w:val="003941ED"/>
    <w:rsid w:val="003942D8"/>
    <w:rsid w:val="00394DC6"/>
    <w:rsid w:val="003A1D47"/>
    <w:rsid w:val="003A1ECA"/>
    <w:rsid w:val="003A21F9"/>
    <w:rsid w:val="003A31C6"/>
    <w:rsid w:val="003A3E11"/>
    <w:rsid w:val="003A3FF6"/>
    <w:rsid w:val="003A43FB"/>
    <w:rsid w:val="003A5296"/>
    <w:rsid w:val="003B06A6"/>
    <w:rsid w:val="003B0F47"/>
    <w:rsid w:val="003B0FC1"/>
    <w:rsid w:val="003B14F3"/>
    <w:rsid w:val="003B24E3"/>
    <w:rsid w:val="003B3589"/>
    <w:rsid w:val="003B44F5"/>
    <w:rsid w:val="003B4AA9"/>
    <w:rsid w:val="003B652A"/>
    <w:rsid w:val="003B6DD3"/>
    <w:rsid w:val="003B73B0"/>
    <w:rsid w:val="003B7D9B"/>
    <w:rsid w:val="003C1658"/>
    <w:rsid w:val="003C2068"/>
    <w:rsid w:val="003C2240"/>
    <w:rsid w:val="003C2C9D"/>
    <w:rsid w:val="003C3745"/>
    <w:rsid w:val="003C3B68"/>
    <w:rsid w:val="003C5569"/>
    <w:rsid w:val="003C55E3"/>
    <w:rsid w:val="003C5956"/>
    <w:rsid w:val="003C6477"/>
    <w:rsid w:val="003D0971"/>
    <w:rsid w:val="003D3D13"/>
    <w:rsid w:val="003D3DC8"/>
    <w:rsid w:val="003D76CF"/>
    <w:rsid w:val="003D773E"/>
    <w:rsid w:val="003E0761"/>
    <w:rsid w:val="003E0B41"/>
    <w:rsid w:val="003E0EC3"/>
    <w:rsid w:val="003E3475"/>
    <w:rsid w:val="003E3C06"/>
    <w:rsid w:val="003E4832"/>
    <w:rsid w:val="003E5625"/>
    <w:rsid w:val="003E5BE0"/>
    <w:rsid w:val="003E7EBF"/>
    <w:rsid w:val="003F058B"/>
    <w:rsid w:val="003F06CF"/>
    <w:rsid w:val="003F0CC5"/>
    <w:rsid w:val="003F138B"/>
    <w:rsid w:val="003F3043"/>
    <w:rsid w:val="003F31D2"/>
    <w:rsid w:val="003F475E"/>
    <w:rsid w:val="003F480A"/>
    <w:rsid w:val="003F4E51"/>
    <w:rsid w:val="003F74FD"/>
    <w:rsid w:val="003F77DC"/>
    <w:rsid w:val="004003FD"/>
    <w:rsid w:val="0040058E"/>
    <w:rsid w:val="00400D80"/>
    <w:rsid w:val="00401637"/>
    <w:rsid w:val="00401B3A"/>
    <w:rsid w:val="00402B4E"/>
    <w:rsid w:val="00403021"/>
    <w:rsid w:val="00403D83"/>
    <w:rsid w:val="00404845"/>
    <w:rsid w:val="00405FA9"/>
    <w:rsid w:val="00407275"/>
    <w:rsid w:val="00407281"/>
    <w:rsid w:val="00411847"/>
    <w:rsid w:val="00413CB4"/>
    <w:rsid w:val="004150A8"/>
    <w:rsid w:val="00417BA2"/>
    <w:rsid w:val="00420830"/>
    <w:rsid w:val="0042117A"/>
    <w:rsid w:val="004232DC"/>
    <w:rsid w:val="00424237"/>
    <w:rsid w:val="004274DE"/>
    <w:rsid w:val="00427524"/>
    <w:rsid w:val="004279C3"/>
    <w:rsid w:val="00427F26"/>
    <w:rsid w:val="00431034"/>
    <w:rsid w:val="004345C2"/>
    <w:rsid w:val="00435726"/>
    <w:rsid w:val="00435A16"/>
    <w:rsid w:val="0043750B"/>
    <w:rsid w:val="0044121E"/>
    <w:rsid w:val="00442ADF"/>
    <w:rsid w:val="004441C2"/>
    <w:rsid w:val="00444CB8"/>
    <w:rsid w:val="0044793C"/>
    <w:rsid w:val="0045347C"/>
    <w:rsid w:val="00454BFD"/>
    <w:rsid w:val="004603F1"/>
    <w:rsid w:val="00461198"/>
    <w:rsid w:val="00461811"/>
    <w:rsid w:val="00461FEC"/>
    <w:rsid w:val="00462E4D"/>
    <w:rsid w:val="00463BC1"/>
    <w:rsid w:val="00463DD2"/>
    <w:rsid w:val="0046495B"/>
    <w:rsid w:val="00465CB2"/>
    <w:rsid w:val="00466209"/>
    <w:rsid w:val="00467364"/>
    <w:rsid w:val="004676E2"/>
    <w:rsid w:val="00467B92"/>
    <w:rsid w:val="00467FDA"/>
    <w:rsid w:val="00471346"/>
    <w:rsid w:val="00473E34"/>
    <w:rsid w:val="00474922"/>
    <w:rsid w:val="004749E1"/>
    <w:rsid w:val="00474E37"/>
    <w:rsid w:val="00474FC0"/>
    <w:rsid w:val="004754CD"/>
    <w:rsid w:val="004762E9"/>
    <w:rsid w:val="004770B7"/>
    <w:rsid w:val="00480E1F"/>
    <w:rsid w:val="00482A37"/>
    <w:rsid w:val="00482F7C"/>
    <w:rsid w:val="004833D9"/>
    <w:rsid w:val="00484894"/>
    <w:rsid w:val="00484F85"/>
    <w:rsid w:val="00487653"/>
    <w:rsid w:val="00490272"/>
    <w:rsid w:val="00490E9F"/>
    <w:rsid w:val="0049145B"/>
    <w:rsid w:val="0049455B"/>
    <w:rsid w:val="00495B6B"/>
    <w:rsid w:val="00495D17"/>
    <w:rsid w:val="00496C1B"/>
    <w:rsid w:val="00497650"/>
    <w:rsid w:val="00497C2C"/>
    <w:rsid w:val="004A22A3"/>
    <w:rsid w:val="004A54EE"/>
    <w:rsid w:val="004A6211"/>
    <w:rsid w:val="004A6683"/>
    <w:rsid w:val="004A710D"/>
    <w:rsid w:val="004A78D7"/>
    <w:rsid w:val="004A7DAF"/>
    <w:rsid w:val="004B0BCB"/>
    <w:rsid w:val="004B0DBE"/>
    <w:rsid w:val="004B1AC3"/>
    <w:rsid w:val="004B38CA"/>
    <w:rsid w:val="004B4090"/>
    <w:rsid w:val="004B78DF"/>
    <w:rsid w:val="004C11E7"/>
    <w:rsid w:val="004C334B"/>
    <w:rsid w:val="004C3E87"/>
    <w:rsid w:val="004C4FF5"/>
    <w:rsid w:val="004C54CB"/>
    <w:rsid w:val="004C5D0E"/>
    <w:rsid w:val="004C6581"/>
    <w:rsid w:val="004C65CA"/>
    <w:rsid w:val="004D1615"/>
    <w:rsid w:val="004D16DC"/>
    <w:rsid w:val="004D1A3E"/>
    <w:rsid w:val="004D1B06"/>
    <w:rsid w:val="004D31D2"/>
    <w:rsid w:val="004D5356"/>
    <w:rsid w:val="004D61C1"/>
    <w:rsid w:val="004D7A25"/>
    <w:rsid w:val="004E085D"/>
    <w:rsid w:val="004E3166"/>
    <w:rsid w:val="004E389A"/>
    <w:rsid w:val="004E5462"/>
    <w:rsid w:val="004E598B"/>
    <w:rsid w:val="004E6B53"/>
    <w:rsid w:val="004E6E91"/>
    <w:rsid w:val="004E7130"/>
    <w:rsid w:val="004E7248"/>
    <w:rsid w:val="004E7C96"/>
    <w:rsid w:val="004F09AD"/>
    <w:rsid w:val="004F3EAE"/>
    <w:rsid w:val="004F46B5"/>
    <w:rsid w:val="004F58E3"/>
    <w:rsid w:val="004F65E4"/>
    <w:rsid w:val="004F79F3"/>
    <w:rsid w:val="004F7BB0"/>
    <w:rsid w:val="00500BE9"/>
    <w:rsid w:val="00500D3D"/>
    <w:rsid w:val="00500FAA"/>
    <w:rsid w:val="0050201C"/>
    <w:rsid w:val="0050234B"/>
    <w:rsid w:val="00502577"/>
    <w:rsid w:val="00504979"/>
    <w:rsid w:val="00505A70"/>
    <w:rsid w:val="00506082"/>
    <w:rsid w:val="00511BF2"/>
    <w:rsid w:val="00511E57"/>
    <w:rsid w:val="0051341A"/>
    <w:rsid w:val="00514817"/>
    <w:rsid w:val="00514AC3"/>
    <w:rsid w:val="00514D61"/>
    <w:rsid w:val="005170A4"/>
    <w:rsid w:val="005177E4"/>
    <w:rsid w:val="00520BB6"/>
    <w:rsid w:val="005217C8"/>
    <w:rsid w:val="00522CA1"/>
    <w:rsid w:val="00522CAD"/>
    <w:rsid w:val="00523243"/>
    <w:rsid w:val="00524092"/>
    <w:rsid w:val="005249EC"/>
    <w:rsid w:val="00524C99"/>
    <w:rsid w:val="0052509A"/>
    <w:rsid w:val="00527338"/>
    <w:rsid w:val="00530153"/>
    <w:rsid w:val="00531103"/>
    <w:rsid w:val="0053357B"/>
    <w:rsid w:val="00533ECB"/>
    <w:rsid w:val="00535473"/>
    <w:rsid w:val="0053553F"/>
    <w:rsid w:val="005369BA"/>
    <w:rsid w:val="00537263"/>
    <w:rsid w:val="00537290"/>
    <w:rsid w:val="00537EBD"/>
    <w:rsid w:val="00537FB1"/>
    <w:rsid w:val="0054144A"/>
    <w:rsid w:val="00541EF7"/>
    <w:rsid w:val="00542D2C"/>
    <w:rsid w:val="00544064"/>
    <w:rsid w:val="005441CC"/>
    <w:rsid w:val="00545440"/>
    <w:rsid w:val="005479FF"/>
    <w:rsid w:val="00547A80"/>
    <w:rsid w:val="00551D0B"/>
    <w:rsid w:val="00553C46"/>
    <w:rsid w:val="00553D96"/>
    <w:rsid w:val="00554546"/>
    <w:rsid w:val="00554BCF"/>
    <w:rsid w:val="00554C18"/>
    <w:rsid w:val="00555D11"/>
    <w:rsid w:val="00555D33"/>
    <w:rsid w:val="005605E5"/>
    <w:rsid w:val="00562FC3"/>
    <w:rsid w:val="0056522E"/>
    <w:rsid w:val="0056588D"/>
    <w:rsid w:val="00565CFD"/>
    <w:rsid w:val="00565FE1"/>
    <w:rsid w:val="00566CF0"/>
    <w:rsid w:val="0056795F"/>
    <w:rsid w:val="00570236"/>
    <w:rsid w:val="005708F1"/>
    <w:rsid w:val="00571F5E"/>
    <w:rsid w:val="00571F9F"/>
    <w:rsid w:val="005734C7"/>
    <w:rsid w:val="0057529A"/>
    <w:rsid w:val="00575889"/>
    <w:rsid w:val="005763D9"/>
    <w:rsid w:val="0057797B"/>
    <w:rsid w:val="00577F72"/>
    <w:rsid w:val="00580D8B"/>
    <w:rsid w:val="0058443D"/>
    <w:rsid w:val="00584CC6"/>
    <w:rsid w:val="00584DCE"/>
    <w:rsid w:val="00586400"/>
    <w:rsid w:val="00586FBD"/>
    <w:rsid w:val="00587049"/>
    <w:rsid w:val="005872EA"/>
    <w:rsid w:val="00587593"/>
    <w:rsid w:val="00587D53"/>
    <w:rsid w:val="00590143"/>
    <w:rsid w:val="00590791"/>
    <w:rsid w:val="00592FA0"/>
    <w:rsid w:val="00593B98"/>
    <w:rsid w:val="005957AB"/>
    <w:rsid w:val="005960A2"/>
    <w:rsid w:val="0059729A"/>
    <w:rsid w:val="005A03E2"/>
    <w:rsid w:val="005A0E53"/>
    <w:rsid w:val="005A2062"/>
    <w:rsid w:val="005A2337"/>
    <w:rsid w:val="005A3248"/>
    <w:rsid w:val="005A49B5"/>
    <w:rsid w:val="005A60F2"/>
    <w:rsid w:val="005A644E"/>
    <w:rsid w:val="005A736E"/>
    <w:rsid w:val="005A7824"/>
    <w:rsid w:val="005A7F9B"/>
    <w:rsid w:val="005B0614"/>
    <w:rsid w:val="005B2329"/>
    <w:rsid w:val="005B2345"/>
    <w:rsid w:val="005B4A2B"/>
    <w:rsid w:val="005B4C0B"/>
    <w:rsid w:val="005B575D"/>
    <w:rsid w:val="005B65F1"/>
    <w:rsid w:val="005B68DF"/>
    <w:rsid w:val="005B6A05"/>
    <w:rsid w:val="005B6B00"/>
    <w:rsid w:val="005B7A4C"/>
    <w:rsid w:val="005C0F4B"/>
    <w:rsid w:val="005C1119"/>
    <w:rsid w:val="005C20D5"/>
    <w:rsid w:val="005C223E"/>
    <w:rsid w:val="005C22E4"/>
    <w:rsid w:val="005C2EC7"/>
    <w:rsid w:val="005C311F"/>
    <w:rsid w:val="005C4460"/>
    <w:rsid w:val="005C463D"/>
    <w:rsid w:val="005C54D8"/>
    <w:rsid w:val="005D0139"/>
    <w:rsid w:val="005D2861"/>
    <w:rsid w:val="005D33C9"/>
    <w:rsid w:val="005D46BC"/>
    <w:rsid w:val="005D4F1E"/>
    <w:rsid w:val="005D6297"/>
    <w:rsid w:val="005E1BEC"/>
    <w:rsid w:val="005E230D"/>
    <w:rsid w:val="005E294B"/>
    <w:rsid w:val="005E3086"/>
    <w:rsid w:val="005E4E16"/>
    <w:rsid w:val="005E50CC"/>
    <w:rsid w:val="005E6069"/>
    <w:rsid w:val="005E636C"/>
    <w:rsid w:val="005E63C8"/>
    <w:rsid w:val="005E6E6B"/>
    <w:rsid w:val="005F3B28"/>
    <w:rsid w:val="005F4320"/>
    <w:rsid w:val="005F435A"/>
    <w:rsid w:val="005F5934"/>
    <w:rsid w:val="005F6AC6"/>
    <w:rsid w:val="005F7410"/>
    <w:rsid w:val="005F7F5F"/>
    <w:rsid w:val="00601721"/>
    <w:rsid w:val="00601B9B"/>
    <w:rsid w:val="00601F77"/>
    <w:rsid w:val="00603A90"/>
    <w:rsid w:val="00605581"/>
    <w:rsid w:val="00606445"/>
    <w:rsid w:val="00606DCB"/>
    <w:rsid w:val="006071D8"/>
    <w:rsid w:val="00607980"/>
    <w:rsid w:val="00611020"/>
    <w:rsid w:val="00611CCD"/>
    <w:rsid w:val="00612901"/>
    <w:rsid w:val="00613702"/>
    <w:rsid w:val="00614680"/>
    <w:rsid w:val="00615ABC"/>
    <w:rsid w:val="00616387"/>
    <w:rsid w:val="00616DC3"/>
    <w:rsid w:val="0061714D"/>
    <w:rsid w:val="00617254"/>
    <w:rsid w:val="00617939"/>
    <w:rsid w:val="006213E0"/>
    <w:rsid w:val="00621C5D"/>
    <w:rsid w:val="00621E96"/>
    <w:rsid w:val="006228CA"/>
    <w:rsid w:val="00622D15"/>
    <w:rsid w:val="00624A24"/>
    <w:rsid w:val="00624E94"/>
    <w:rsid w:val="006264FF"/>
    <w:rsid w:val="00626BF4"/>
    <w:rsid w:val="00626EC8"/>
    <w:rsid w:val="00630A29"/>
    <w:rsid w:val="00635D00"/>
    <w:rsid w:val="00637444"/>
    <w:rsid w:val="00637501"/>
    <w:rsid w:val="00637D4F"/>
    <w:rsid w:val="00637F4B"/>
    <w:rsid w:val="00640485"/>
    <w:rsid w:val="006409BC"/>
    <w:rsid w:val="00640E63"/>
    <w:rsid w:val="00641088"/>
    <w:rsid w:val="0064161A"/>
    <w:rsid w:val="00641C11"/>
    <w:rsid w:val="006433C9"/>
    <w:rsid w:val="00643E5C"/>
    <w:rsid w:val="006452C2"/>
    <w:rsid w:val="00646192"/>
    <w:rsid w:val="00646AE6"/>
    <w:rsid w:val="00647D87"/>
    <w:rsid w:val="006504D1"/>
    <w:rsid w:val="0065054F"/>
    <w:rsid w:val="00652385"/>
    <w:rsid w:val="0065253B"/>
    <w:rsid w:val="006529A2"/>
    <w:rsid w:val="00653178"/>
    <w:rsid w:val="00653BBF"/>
    <w:rsid w:val="00654EF9"/>
    <w:rsid w:val="00654F4D"/>
    <w:rsid w:val="0065523E"/>
    <w:rsid w:val="00655502"/>
    <w:rsid w:val="00656655"/>
    <w:rsid w:val="00656BB1"/>
    <w:rsid w:val="00660D7F"/>
    <w:rsid w:val="00661155"/>
    <w:rsid w:val="00661D58"/>
    <w:rsid w:val="00661E2E"/>
    <w:rsid w:val="006621AF"/>
    <w:rsid w:val="006646DC"/>
    <w:rsid w:val="006658B9"/>
    <w:rsid w:val="006666C4"/>
    <w:rsid w:val="006676E6"/>
    <w:rsid w:val="00670471"/>
    <w:rsid w:val="006711AE"/>
    <w:rsid w:val="006725FE"/>
    <w:rsid w:val="00672C18"/>
    <w:rsid w:val="00672E53"/>
    <w:rsid w:val="006744B9"/>
    <w:rsid w:val="0067461E"/>
    <w:rsid w:val="006752A2"/>
    <w:rsid w:val="006760B7"/>
    <w:rsid w:val="006768E9"/>
    <w:rsid w:val="0068125D"/>
    <w:rsid w:val="006812A9"/>
    <w:rsid w:val="00682A90"/>
    <w:rsid w:val="00684301"/>
    <w:rsid w:val="00684BE8"/>
    <w:rsid w:val="00685D60"/>
    <w:rsid w:val="0069014D"/>
    <w:rsid w:val="00690C29"/>
    <w:rsid w:val="0069141E"/>
    <w:rsid w:val="00692FF7"/>
    <w:rsid w:val="00695B97"/>
    <w:rsid w:val="00696589"/>
    <w:rsid w:val="006974DF"/>
    <w:rsid w:val="006A0184"/>
    <w:rsid w:val="006A020C"/>
    <w:rsid w:val="006A0782"/>
    <w:rsid w:val="006A082B"/>
    <w:rsid w:val="006A0970"/>
    <w:rsid w:val="006A16D4"/>
    <w:rsid w:val="006A1A12"/>
    <w:rsid w:val="006A1C70"/>
    <w:rsid w:val="006A1CCD"/>
    <w:rsid w:val="006A2459"/>
    <w:rsid w:val="006A3E49"/>
    <w:rsid w:val="006A4592"/>
    <w:rsid w:val="006A51B1"/>
    <w:rsid w:val="006A6B75"/>
    <w:rsid w:val="006A7AA2"/>
    <w:rsid w:val="006B1091"/>
    <w:rsid w:val="006B1274"/>
    <w:rsid w:val="006B19A3"/>
    <w:rsid w:val="006B3467"/>
    <w:rsid w:val="006B34BB"/>
    <w:rsid w:val="006B38AA"/>
    <w:rsid w:val="006B3B99"/>
    <w:rsid w:val="006B42BB"/>
    <w:rsid w:val="006B443A"/>
    <w:rsid w:val="006B4F17"/>
    <w:rsid w:val="006C0305"/>
    <w:rsid w:val="006C0A05"/>
    <w:rsid w:val="006C19C6"/>
    <w:rsid w:val="006C21F9"/>
    <w:rsid w:val="006C324B"/>
    <w:rsid w:val="006C378E"/>
    <w:rsid w:val="006C3D21"/>
    <w:rsid w:val="006C417C"/>
    <w:rsid w:val="006C4BA5"/>
    <w:rsid w:val="006C5179"/>
    <w:rsid w:val="006C5348"/>
    <w:rsid w:val="006C563F"/>
    <w:rsid w:val="006C6529"/>
    <w:rsid w:val="006C74D6"/>
    <w:rsid w:val="006D0A29"/>
    <w:rsid w:val="006D1F5B"/>
    <w:rsid w:val="006D2468"/>
    <w:rsid w:val="006D3ADA"/>
    <w:rsid w:val="006D48F9"/>
    <w:rsid w:val="006D4913"/>
    <w:rsid w:val="006D4B4F"/>
    <w:rsid w:val="006D51CA"/>
    <w:rsid w:val="006D5805"/>
    <w:rsid w:val="006D7699"/>
    <w:rsid w:val="006E0806"/>
    <w:rsid w:val="006E0869"/>
    <w:rsid w:val="006E1B3F"/>
    <w:rsid w:val="006E1F80"/>
    <w:rsid w:val="006E2660"/>
    <w:rsid w:val="006E29DB"/>
    <w:rsid w:val="006E30B8"/>
    <w:rsid w:val="006E3A84"/>
    <w:rsid w:val="006E48F0"/>
    <w:rsid w:val="006E4CC0"/>
    <w:rsid w:val="006E4D55"/>
    <w:rsid w:val="006F0FAF"/>
    <w:rsid w:val="006F1452"/>
    <w:rsid w:val="006F14E6"/>
    <w:rsid w:val="006F2688"/>
    <w:rsid w:val="006F317C"/>
    <w:rsid w:val="006F381F"/>
    <w:rsid w:val="006F39AC"/>
    <w:rsid w:val="006F455B"/>
    <w:rsid w:val="006F513A"/>
    <w:rsid w:val="006F614C"/>
    <w:rsid w:val="006F641C"/>
    <w:rsid w:val="006F6B27"/>
    <w:rsid w:val="00702292"/>
    <w:rsid w:val="007036DA"/>
    <w:rsid w:val="007046A5"/>
    <w:rsid w:val="00704A4B"/>
    <w:rsid w:val="0070666D"/>
    <w:rsid w:val="00706D5F"/>
    <w:rsid w:val="007116BE"/>
    <w:rsid w:val="0071262E"/>
    <w:rsid w:val="00712ABA"/>
    <w:rsid w:val="00712B66"/>
    <w:rsid w:val="00712D56"/>
    <w:rsid w:val="00713B9C"/>
    <w:rsid w:val="00715868"/>
    <w:rsid w:val="00717E30"/>
    <w:rsid w:val="00720D74"/>
    <w:rsid w:val="00721485"/>
    <w:rsid w:val="007217CC"/>
    <w:rsid w:val="00722EB5"/>
    <w:rsid w:val="007232E5"/>
    <w:rsid w:val="00723D64"/>
    <w:rsid w:val="0072418C"/>
    <w:rsid w:val="007252B6"/>
    <w:rsid w:val="00725A49"/>
    <w:rsid w:val="007272F2"/>
    <w:rsid w:val="00730AF4"/>
    <w:rsid w:val="00732EBA"/>
    <w:rsid w:val="007355C4"/>
    <w:rsid w:val="00735EA3"/>
    <w:rsid w:val="0073602D"/>
    <w:rsid w:val="007360A8"/>
    <w:rsid w:val="0073616C"/>
    <w:rsid w:val="007374A6"/>
    <w:rsid w:val="007378BA"/>
    <w:rsid w:val="007378C2"/>
    <w:rsid w:val="00740955"/>
    <w:rsid w:val="00741768"/>
    <w:rsid w:val="00741E0D"/>
    <w:rsid w:val="00744EDA"/>
    <w:rsid w:val="007454EE"/>
    <w:rsid w:val="00746364"/>
    <w:rsid w:val="00747238"/>
    <w:rsid w:val="0074737F"/>
    <w:rsid w:val="00752A92"/>
    <w:rsid w:val="00752D85"/>
    <w:rsid w:val="0075331F"/>
    <w:rsid w:val="00753C4D"/>
    <w:rsid w:val="00754887"/>
    <w:rsid w:val="007559B9"/>
    <w:rsid w:val="00755F5B"/>
    <w:rsid w:val="00755FB9"/>
    <w:rsid w:val="007560EE"/>
    <w:rsid w:val="007577ED"/>
    <w:rsid w:val="00760606"/>
    <w:rsid w:val="00761E3D"/>
    <w:rsid w:val="007620F3"/>
    <w:rsid w:val="007627B3"/>
    <w:rsid w:val="00762D30"/>
    <w:rsid w:val="00763002"/>
    <w:rsid w:val="00765407"/>
    <w:rsid w:val="00766710"/>
    <w:rsid w:val="007667EC"/>
    <w:rsid w:val="00766E65"/>
    <w:rsid w:val="00767A70"/>
    <w:rsid w:val="00772634"/>
    <w:rsid w:val="00772D6D"/>
    <w:rsid w:val="0077430D"/>
    <w:rsid w:val="00777EB1"/>
    <w:rsid w:val="0078070F"/>
    <w:rsid w:val="00780BC8"/>
    <w:rsid w:val="00780EF6"/>
    <w:rsid w:val="00781183"/>
    <w:rsid w:val="00781670"/>
    <w:rsid w:val="0078762E"/>
    <w:rsid w:val="007903FC"/>
    <w:rsid w:val="0079041E"/>
    <w:rsid w:val="00791D77"/>
    <w:rsid w:val="00792A74"/>
    <w:rsid w:val="007930C6"/>
    <w:rsid w:val="0079540B"/>
    <w:rsid w:val="0079612B"/>
    <w:rsid w:val="00796548"/>
    <w:rsid w:val="007965C9"/>
    <w:rsid w:val="00796C41"/>
    <w:rsid w:val="00796EDA"/>
    <w:rsid w:val="00797698"/>
    <w:rsid w:val="007A0882"/>
    <w:rsid w:val="007A093A"/>
    <w:rsid w:val="007A0FFF"/>
    <w:rsid w:val="007A1066"/>
    <w:rsid w:val="007A24F5"/>
    <w:rsid w:val="007A4F43"/>
    <w:rsid w:val="007A52CC"/>
    <w:rsid w:val="007A659A"/>
    <w:rsid w:val="007A6622"/>
    <w:rsid w:val="007A6C63"/>
    <w:rsid w:val="007A6C66"/>
    <w:rsid w:val="007A6E67"/>
    <w:rsid w:val="007A78C4"/>
    <w:rsid w:val="007A7CBF"/>
    <w:rsid w:val="007B0018"/>
    <w:rsid w:val="007B25B1"/>
    <w:rsid w:val="007B4C58"/>
    <w:rsid w:val="007B64AA"/>
    <w:rsid w:val="007B6CC3"/>
    <w:rsid w:val="007B7162"/>
    <w:rsid w:val="007B73BB"/>
    <w:rsid w:val="007C1357"/>
    <w:rsid w:val="007C16FB"/>
    <w:rsid w:val="007C28D2"/>
    <w:rsid w:val="007C339E"/>
    <w:rsid w:val="007C6E5A"/>
    <w:rsid w:val="007C7793"/>
    <w:rsid w:val="007C7D26"/>
    <w:rsid w:val="007C7EC8"/>
    <w:rsid w:val="007D17C7"/>
    <w:rsid w:val="007D1C30"/>
    <w:rsid w:val="007D1F6A"/>
    <w:rsid w:val="007D3B08"/>
    <w:rsid w:val="007D3D54"/>
    <w:rsid w:val="007D428D"/>
    <w:rsid w:val="007D42AB"/>
    <w:rsid w:val="007D44F1"/>
    <w:rsid w:val="007D5331"/>
    <w:rsid w:val="007D59DE"/>
    <w:rsid w:val="007D5FFF"/>
    <w:rsid w:val="007D71AA"/>
    <w:rsid w:val="007D7B26"/>
    <w:rsid w:val="007D7BAD"/>
    <w:rsid w:val="007E1EE9"/>
    <w:rsid w:val="007E2256"/>
    <w:rsid w:val="007E22FA"/>
    <w:rsid w:val="007E31CB"/>
    <w:rsid w:val="007E4400"/>
    <w:rsid w:val="007E7643"/>
    <w:rsid w:val="007F16BF"/>
    <w:rsid w:val="007F1EB8"/>
    <w:rsid w:val="007F1EC8"/>
    <w:rsid w:val="007F1EF0"/>
    <w:rsid w:val="007F229C"/>
    <w:rsid w:val="007F3809"/>
    <w:rsid w:val="007F38C3"/>
    <w:rsid w:val="007F3A71"/>
    <w:rsid w:val="007F434F"/>
    <w:rsid w:val="007F46A7"/>
    <w:rsid w:val="007F7723"/>
    <w:rsid w:val="007F7C2F"/>
    <w:rsid w:val="00800898"/>
    <w:rsid w:val="008009AF"/>
    <w:rsid w:val="008009B5"/>
    <w:rsid w:val="0080200C"/>
    <w:rsid w:val="00802188"/>
    <w:rsid w:val="00802921"/>
    <w:rsid w:val="008049C7"/>
    <w:rsid w:val="0080535D"/>
    <w:rsid w:val="0080584F"/>
    <w:rsid w:val="00806017"/>
    <w:rsid w:val="00807ABC"/>
    <w:rsid w:val="00811D56"/>
    <w:rsid w:val="008123E6"/>
    <w:rsid w:val="008125F7"/>
    <w:rsid w:val="0081304B"/>
    <w:rsid w:val="0081358B"/>
    <w:rsid w:val="00814A1B"/>
    <w:rsid w:val="0081507D"/>
    <w:rsid w:val="00815799"/>
    <w:rsid w:val="00815BF4"/>
    <w:rsid w:val="00815DC3"/>
    <w:rsid w:val="0081600F"/>
    <w:rsid w:val="0081659C"/>
    <w:rsid w:val="00816C96"/>
    <w:rsid w:val="0081718A"/>
    <w:rsid w:val="00817DC6"/>
    <w:rsid w:val="00817F7D"/>
    <w:rsid w:val="008235A8"/>
    <w:rsid w:val="008238AE"/>
    <w:rsid w:val="0082455F"/>
    <w:rsid w:val="00824F41"/>
    <w:rsid w:val="00826EE9"/>
    <w:rsid w:val="008300D8"/>
    <w:rsid w:val="00830DC0"/>
    <w:rsid w:val="008330B0"/>
    <w:rsid w:val="008345D0"/>
    <w:rsid w:val="0083534E"/>
    <w:rsid w:val="00835350"/>
    <w:rsid w:val="0083540A"/>
    <w:rsid w:val="0083547F"/>
    <w:rsid w:val="008366C5"/>
    <w:rsid w:val="00837022"/>
    <w:rsid w:val="0084098C"/>
    <w:rsid w:val="008409B5"/>
    <w:rsid w:val="00844504"/>
    <w:rsid w:val="008445BD"/>
    <w:rsid w:val="00844E99"/>
    <w:rsid w:val="00844EE5"/>
    <w:rsid w:val="008459A2"/>
    <w:rsid w:val="00846B24"/>
    <w:rsid w:val="00850592"/>
    <w:rsid w:val="008506AF"/>
    <w:rsid w:val="008507FA"/>
    <w:rsid w:val="00851067"/>
    <w:rsid w:val="00852539"/>
    <w:rsid w:val="008560A8"/>
    <w:rsid w:val="008561BB"/>
    <w:rsid w:val="00856D96"/>
    <w:rsid w:val="008605A7"/>
    <w:rsid w:val="0086232F"/>
    <w:rsid w:val="008635A7"/>
    <w:rsid w:val="00863AC7"/>
    <w:rsid w:val="00864342"/>
    <w:rsid w:val="00865AF2"/>
    <w:rsid w:val="0086633B"/>
    <w:rsid w:val="008711E8"/>
    <w:rsid w:val="00872063"/>
    <w:rsid w:val="008721D2"/>
    <w:rsid w:val="00872E7A"/>
    <w:rsid w:val="00873F7D"/>
    <w:rsid w:val="008740FA"/>
    <w:rsid w:val="008747BC"/>
    <w:rsid w:val="00874FD1"/>
    <w:rsid w:val="0087658C"/>
    <w:rsid w:val="00877649"/>
    <w:rsid w:val="00877C63"/>
    <w:rsid w:val="00884CE6"/>
    <w:rsid w:val="00886F74"/>
    <w:rsid w:val="00887467"/>
    <w:rsid w:val="00887A5A"/>
    <w:rsid w:val="00887E70"/>
    <w:rsid w:val="00890748"/>
    <w:rsid w:val="0089165C"/>
    <w:rsid w:val="008961FE"/>
    <w:rsid w:val="00896BE9"/>
    <w:rsid w:val="00897B66"/>
    <w:rsid w:val="008A07AE"/>
    <w:rsid w:val="008A2353"/>
    <w:rsid w:val="008A267E"/>
    <w:rsid w:val="008A379F"/>
    <w:rsid w:val="008A424A"/>
    <w:rsid w:val="008A488A"/>
    <w:rsid w:val="008A5381"/>
    <w:rsid w:val="008A5E0D"/>
    <w:rsid w:val="008A5F18"/>
    <w:rsid w:val="008A6740"/>
    <w:rsid w:val="008A70D1"/>
    <w:rsid w:val="008A7C2A"/>
    <w:rsid w:val="008B03A8"/>
    <w:rsid w:val="008B0607"/>
    <w:rsid w:val="008B1088"/>
    <w:rsid w:val="008B361B"/>
    <w:rsid w:val="008B5E5B"/>
    <w:rsid w:val="008B6466"/>
    <w:rsid w:val="008B714E"/>
    <w:rsid w:val="008B7972"/>
    <w:rsid w:val="008C0BBB"/>
    <w:rsid w:val="008C126A"/>
    <w:rsid w:val="008C180D"/>
    <w:rsid w:val="008C189C"/>
    <w:rsid w:val="008C22A4"/>
    <w:rsid w:val="008C251C"/>
    <w:rsid w:val="008C288C"/>
    <w:rsid w:val="008C327F"/>
    <w:rsid w:val="008C49F4"/>
    <w:rsid w:val="008C75FD"/>
    <w:rsid w:val="008C78C1"/>
    <w:rsid w:val="008D146C"/>
    <w:rsid w:val="008D1F54"/>
    <w:rsid w:val="008D249C"/>
    <w:rsid w:val="008D284C"/>
    <w:rsid w:val="008D36F2"/>
    <w:rsid w:val="008D41E5"/>
    <w:rsid w:val="008D559D"/>
    <w:rsid w:val="008D5632"/>
    <w:rsid w:val="008D5E6E"/>
    <w:rsid w:val="008D7282"/>
    <w:rsid w:val="008D7D7F"/>
    <w:rsid w:val="008D7FF0"/>
    <w:rsid w:val="008E064B"/>
    <w:rsid w:val="008E0A59"/>
    <w:rsid w:val="008E2963"/>
    <w:rsid w:val="008E2FB1"/>
    <w:rsid w:val="008E4C50"/>
    <w:rsid w:val="008E5D1D"/>
    <w:rsid w:val="008E6FEB"/>
    <w:rsid w:val="008E74AC"/>
    <w:rsid w:val="008E792F"/>
    <w:rsid w:val="008F0B44"/>
    <w:rsid w:val="008F0EFA"/>
    <w:rsid w:val="008F111D"/>
    <w:rsid w:val="008F16AF"/>
    <w:rsid w:val="008F1886"/>
    <w:rsid w:val="008F1FCD"/>
    <w:rsid w:val="008F353E"/>
    <w:rsid w:val="008F4994"/>
    <w:rsid w:val="008F4A7B"/>
    <w:rsid w:val="008F7E56"/>
    <w:rsid w:val="0090086B"/>
    <w:rsid w:val="00900F37"/>
    <w:rsid w:val="0090394C"/>
    <w:rsid w:val="0090411F"/>
    <w:rsid w:val="00904298"/>
    <w:rsid w:val="00904E1B"/>
    <w:rsid w:val="009052E2"/>
    <w:rsid w:val="00905721"/>
    <w:rsid w:val="00906781"/>
    <w:rsid w:val="00906F19"/>
    <w:rsid w:val="00907D09"/>
    <w:rsid w:val="00910A30"/>
    <w:rsid w:val="00910CC6"/>
    <w:rsid w:val="0091132D"/>
    <w:rsid w:val="00912712"/>
    <w:rsid w:val="00912C91"/>
    <w:rsid w:val="009147E1"/>
    <w:rsid w:val="0091542E"/>
    <w:rsid w:val="0091565E"/>
    <w:rsid w:val="00915709"/>
    <w:rsid w:val="0091583A"/>
    <w:rsid w:val="009161FD"/>
    <w:rsid w:val="00916644"/>
    <w:rsid w:val="0091790E"/>
    <w:rsid w:val="00917B08"/>
    <w:rsid w:val="0092016A"/>
    <w:rsid w:val="00921B78"/>
    <w:rsid w:val="00922316"/>
    <w:rsid w:val="00924195"/>
    <w:rsid w:val="00926A96"/>
    <w:rsid w:val="00926BF1"/>
    <w:rsid w:val="00926D7E"/>
    <w:rsid w:val="00930B87"/>
    <w:rsid w:val="00931346"/>
    <w:rsid w:val="00931CA3"/>
    <w:rsid w:val="009322B7"/>
    <w:rsid w:val="00933A34"/>
    <w:rsid w:val="00935B64"/>
    <w:rsid w:val="0093628D"/>
    <w:rsid w:val="00940018"/>
    <w:rsid w:val="00941AE9"/>
    <w:rsid w:val="009422B1"/>
    <w:rsid w:val="009477F2"/>
    <w:rsid w:val="00947BEE"/>
    <w:rsid w:val="00947CBD"/>
    <w:rsid w:val="00950B16"/>
    <w:rsid w:val="00950ECA"/>
    <w:rsid w:val="00950FCA"/>
    <w:rsid w:val="00951091"/>
    <w:rsid w:val="0095168B"/>
    <w:rsid w:val="00951ADE"/>
    <w:rsid w:val="009524D6"/>
    <w:rsid w:val="009528BC"/>
    <w:rsid w:val="009531E5"/>
    <w:rsid w:val="00953562"/>
    <w:rsid w:val="00957511"/>
    <w:rsid w:val="0096042A"/>
    <w:rsid w:val="00960B44"/>
    <w:rsid w:val="00961058"/>
    <w:rsid w:val="009614E9"/>
    <w:rsid w:val="009615B0"/>
    <w:rsid w:val="009615FA"/>
    <w:rsid w:val="00962EC1"/>
    <w:rsid w:val="009650D3"/>
    <w:rsid w:val="00965736"/>
    <w:rsid w:val="00965B84"/>
    <w:rsid w:val="00967CBA"/>
    <w:rsid w:val="009711FA"/>
    <w:rsid w:val="00973B5B"/>
    <w:rsid w:val="00974950"/>
    <w:rsid w:val="00974CA3"/>
    <w:rsid w:val="00974E07"/>
    <w:rsid w:val="009751F4"/>
    <w:rsid w:val="0097526D"/>
    <w:rsid w:val="00975E51"/>
    <w:rsid w:val="00976C7F"/>
    <w:rsid w:val="00981C68"/>
    <w:rsid w:val="00981E43"/>
    <w:rsid w:val="009826CA"/>
    <w:rsid w:val="00982854"/>
    <w:rsid w:val="00985270"/>
    <w:rsid w:val="00986B38"/>
    <w:rsid w:val="00987047"/>
    <w:rsid w:val="009870AD"/>
    <w:rsid w:val="00987CD8"/>
    <w:rsid w:val="00991833"/>
    <w:rsid w:val="00991E2D"/>
    <w:rsid w:val="00992FFB"/>
    <w:rsid w:val="00993C2F"/>
    <w:rsid w:val="009958B5"/>
    <w:rsid w:val="009A0F74"/>
    <w:rsid w:val="009A1E8B"/>
    <w:rsid w:val="009A2132"/>
    <w:rsid w:val="009A43C9"/>
    <w:rsid w:val="009A4986"/>
    <w:rsid w:val="009A4A03"/>
    <w:rsid w:val="009A4ABA"/>
    <w:rsid w:val="009A4B28"/>
    <w:rsid w:val="009A5206"/>
    <w:rsid w:val="009A5407"/>
    <w:rsid w:val="009A59B2"/>
    <w:rsid w:val="009A6954"/>
    <w:rsid w:val="009A7925"/>
    <w:rsid w:val="009A7E9D"/>
    <w:rsid w:val="009B0C4A"/>
    <w:rsid w:val="009B102F"/>
    <w:rsid w:val="009B1604"/>
    <w:rsid w:val="009B1B25"/>
    <w:rsid w:val="009B1C75"/>
    <w:rsid w:val="009B1F8E"/>
    <w:rsid w:val="009B2684"/>
    <w:rsid w:val="009B2FA7"/>
    <w:rsid w:val="009B372C"/>
    <w:rsid w:val="009B5ABB"/>
    <w:rsid w:val="009C25B8"/>
    <w:rsid w:val="009C5781"/>
    <w:rsid w:val="009C6561"/>
    <w:rsid w:val="009C7B7E"/>
    <w:rsid w:val="009D026C"/>
    <w:rsid w:val="009D0830"/>
    <w:rsid w:val="009D15CE"/>
    <w:rsid w:val="009D2BBF"/>
    <w:rsid w:val="009D41CF"/>
    <w:rsid w:val="009D4F1E"/>
    <w:rsid w:val="009E0228"/>
    <w:rsid w:val="009E1A9E"/>
    <w:rsid w:val="009E4DCA"/>
    <w:rsid w:val="009E53FE"/>
    <w:rsid w:val="009F0792"/>
    <w:rsid w:val="009F0912"/>
    <w:rsid w:val="009F0968"/>
    <w:rsid w:val="009F1A00"/>
    <w:rsid w:val="009F1D14"/>
    <w:rsid w:val="009F25F8"/>
    <w:rsid w:val="009F4105"/>
    <w:rsid w:val="009F5423"/>
    <w:rsid w:val="009F76FF"/>
    <w:rsid w:val="009F7A47"/>
    <w:rsid w:val="00A00AA8"/>
    <w:rsid w:val="00A038BF"/>
    <w:rsid w:val="00A04D8E"/>
    <w:rsid w:val="00A06610"/>
    <w:rsid w:val="00A10234"/>
    <w:rsid w:val="00A10692"/>
    <w:rsid w:val="00A111E1"/>
    <w:rsid w:val="00A119A0"/>
    <w:rsid w:val="00A14B71"/>
    <w:rsid w:val="00A1520A"/>
    <w:rsid w:val="00A154E3"/>
    <w:rsid w:val="00A16734"/>
    <w:rsid w:val="00A16E8D"/>
    <w:rsid w:val="00A20E16"/>
    <w:rsid w:val="00A21D2E"/>
    <w:rsid w:val="00A228A9"/>
    <w:rsid w:val="00A229AE"/>
    <w:rsid w:val="00A22DD2"/>
    <w:rsid w:val="00A22FF7"/>
    <w:rsid w:val="00A2426E"/>
    <w:rsid w:val="00A2498B"/>
    <w:rsid w:val="00A256A0"/>
    <w:rsid w:val="00A25CAF"/>
    <w:rsid w:val="00A25F98"/>
    <w:rsid w:val="00A265B6"/>
    <w:rsid w:val="00A27ACA"/>
    <w:rsid w:val="00A31BC1"/>
    <w:rsid w:val="00A33E4B"/>
    <w:rsid w:val="00A34F44"/>
    <w:rsid w:val="00A35AF5"/>
    <w:rsid w:val="00A379C0"/>
    <w:rsid w:val="00A41A62"/>
    <w:rsid w:val="00A41BA1"/>
    <w:rsid w:val="00A42343"/>
    <w:rsid w:val="00A42441"/>
    <w:rsid w:val="00A450F9"/>
    <w:rsid w:val="00A45252"/>
    <w:rsid w:val="00A4530D"/>
    <w:rsid w:val="00A456E7"/>
    <w:rsid w:val="00A4763E"/>
    <w:rsid w:val="00A47F82"/>
    <w:rsid w:val="00A5017C"/>
    <w:rsid w:val="00A505D8"/>
    <w:rsid w:val="00A51133"/>
    <w:rsid w:val="00A51A84"/>
    <w:rsid w:val="00A5538A"/>
    <w:rsid w:val="00A558F1"/>
    <w:rsid w:val="00A558FB"/>
    <w:rsid w:val="00A55CEE"/>
    <w:rsid w:val="00A568E2"/>
    <w:rsid w:val="00A570FC"/>
    <w:rsid w:val="00A57F57"/>
    <w:rsid w:val="00A61B78"/>
    <w:rsid w:val="00A63A40"/>
    <w:rsid w:val="00A64D2E"/>
    <w:rsid w:val="00A65268"/>
    <w:rsid w:val="00A66954"/>
    <w:rsid w:val="00A66F48"/>
    <w:rsid w:val="00A66F78"/>
    <w:rsid w:val="00A6745E"/>
    <w:rsid w:val="00A711DA"/>
    <w:rsid w:val="00A716F5"/>
    <w:rsid w:val="00A71EBD"/>
    <w:rsid w:val="00A72B46"/>
    <w:rsid w:val="00A72F7C"/>
    <w:rsid w:val="00A752E5"/>
    <w:rsid w:val="00A75C7B"/>
    <w:rsid w:val="00A75DD1"/>
    <w:rsid w:val="00A760CE"/>
    <w:rsid w:val="00A7699F"/>
    <w:rsid w:val="00A76E37"/>
    <w:rsid w:val="00A770D7"/>
    <w:rsid w:val="00A817CC"/>
    <w:rsid w:val="00A81BF4"/>
    <w:rsid w:val="00A82B58"/>
    <w:rsid w:val="00A85282"/>
    <w:rsid w:val="00A9256B"/>
    <w:rsid w:val="00A928A0"/>
    <w:rsid w:val="00A92EE1"/>
    <w:rsid w:val="00A953B7"/>
    <w:rsid w:val="00A954D9"/>
    <w:rsid w:val="00A9587D"/>
    <w:rsid w:val="00A95E39"/>
    <w:rsid w:val="00A961D5"/>
    <w:rsid w:val="00A96749"/>
    <w:rsid w:val="00A96EC7"/>
    <w:rsid w:val="00A97484"/>
    <w:rsid w:val="00A97E1F"/>
    <w:rsid w:val="00AA0FAF"/>
    <w:rsid w:val="00AA2540"/>
    <w:rsid w:val="00AA258C"/>
    <w:rsid w:val="00AA2C64"/>
    <w:rsid w:val="00AA3D7A"/>
    <w:rsid w:val="00AA4C2B"/>
    <w:rsid w:val="00AA65A0"/>
    <w:rsid w:val="00AA7B42"/>
    <w:rsid w:val="00AA7C41"/>
    <w:rsid w:val="00AB17DA"/>
    <w:rsid w:val="00AB2174"/>
    <w:rsid w:val="00AB364F"/>
    <w:rsid w:val="00AB4EF2"/>
    <w:rsid w:val="00AB55F3"/>
    <w:rsid w:val="00AB5BA3"/>
    <w:rsid w:val="00AB7646"/>
    <w:rsid w:val="00AB787F"/>
    <w:rsid w:val="00AB7E43"/>
    <w:rsid w:val="00AC1B62"/>
    <w:rsid w:val="00AC3622"/>
    <w:rsid w:val="00AC3778"/>
    <w:rsid w:val="00AC3CF5"/>
    <w:rsid w:val="00AC4333"/>
    <w:rsid w:val="00AC545F"/>
    <w:rsid w:val="00AC5664"/>
    <w:rsid w:val="00AC5D4C"/>
    <w:rsid w:val="00AC69A1"/>
    <w:rsid w:val="00AD1919"/>
    <w:rsid w:val="00AD2110"/>
    <w:rsid w:val="00AD248E"/>
    <w:rsid w:val="00AD2A32"/>
    <w:rsid w:val="00AD2A75"/>
    <w:rsid w:val="00AD70C7"/>
    <w:rsid w:val="00AD7652"/>
    <w:rsid w:val="00AE1513"/>
    <w:rsid w:val="00AE2B8D"/>
    <w:rsid w:val="00AE2FB5"/>
    <w:rsid w:val="00AE3C24"/>
    <w:rsid w:val="00AE595D"/>
    <w:rsid w:val="00AE5E71"/>
    <w:rsid w:val="00AE6C65"/>
    <w:rsid w:val="00AE7D28"/>
    <w:rsid w:val="00AE7F5B"/>
    <w:rsid w:val="00AF03B7"/>
    <w:rsid w:val="00AF0D8E"/>
    <w:rsid w:val="00AF2247"/>
    <w:rsid w:val="00AF2978"/>
    <w:rsid w:val="00AF390F"/>
    <w:rsid w:val="00AF4838"/>
    <w:rsid w:val="00AF4F4F"/>
    <w:rsid w:val="00AF53F6"/>
    <w:rsid w:val="00AF719B"/>
    <w:rsid w:val="00AF76A1"/>
    <w:rsid w:val="00AF7F54"/>
    <w:rsid w:val="00B03E28"/>
    <w:rsid w:val="00B03EFE"/>
    <w:rsid w:val="00B05597"/>
    <w:rsid w:val="00B05F53"/>
    <w:rsid w:val="00B101DA"/>
    <w:rsid w:val="00B10BB9"/>
    <w:rsid w:val="00B11460"/>
    <w:rsid w:val="00B114F4"/>
    <w:rsid w:val="00B11660"/>
    <w:rsid w:val="00B118DA"/>
    <w:rsid w:val="00B131A8"/>
    <w:rsid w:val="00B1330E"/>
    <w:rsid w:val="00B13844"/>
    <w:rsid w:val="00B13CA5"/>
    <w:rsid w:val="00B145DA"/>
    <w:rsid w:val="00B14752"/>
    <w:rsid w:val="00B1489F"/>
    <w:rsid w:val="00B15E75"/>
    <w:rsid w:val="00B201F5"/>
    <w:rsid w:val="00B21970"/>
    <w:rsid w:val="00B229BE"/>
    <w:rsid w:val="00B255FE"/>
    <w:rsid w:val="00B26D99"/>
    <w:rsid w:val="00B26E03"/>
    <w:rsid w:val="00B277E8"/>
    <w:rsid w:val="00B27C59"/>
    <w:rsid w:val="00B30ACD"/>
    <w:rsid w:val="00B3216C"/>
    <w:rsid w:val="00B329C6"/>
    <w:rsid w:val="00B34B32"/>
    <w:rsid w:val="00B34FF5"/>
    <w:rsid w:val="00B35045"/>
    <w:rsid w:val="00B357C7"/>
    <w:rsid w:val="00B35A1E"/>
    <w:rsid w:val="00B369A5"/>
    <w:rsid w:val="00B372EF"/>
    <w:rsid w:val="00B37BA2"/>
    <w:rsid w:val="00B37BE8"/>
    <w:rsid w:val="00B37F0E"/>
    <w:rsid w:val="00B416C4"/>
    <w:rsid w:val="00B4208A"/>
    <w:rsid w:val="00B42BC4"/>
    <w:rsid w:val="00B42D6E"/>
    <w:rsid w:val="00B43455"/>
    <w:rsid w:val="00B441AF"/>
    <w:rsid w:val="00B44B35"/>
    <w:rsid w:val="00B4572B"/>
    <w:rsid w:val="00B46E10"/>
    <w:rsid w:val="00B50BAC"/>
    <w:rsid w:val="00B52D9E"/>
    <w:rsid w:val="00B53FC7"/>
    <w:rsid w:val="00B566C6"/>
    <w:rsid w:val="00B6030F"/>
    <w:rsid w:val="00B60819"/>
    <w:rsid w:val="00B60A58"/>
    <w:rsid w:val="00B61738"/>
    <w:rsid w:val="00B61D89"/>
    <w:rsid w:val="00B62615"/>
    <w:rsid w:val="00B63A20"/>
    <w:rsid w:val="00B64419"/>
    <w:rsid w:val="00B6575F"/>
    <w:rsid w:val="00B657EC"/>
    <w:rsid w:val="00B65A9F"/>
    <w:rsid w:val="00B66506"/>
    <w:rsid w:val="00B666FA"/>
    <w:rsid w:val="00B66899"/>
    <w:rsid w:val="00B71E92"/>
    <w:rsid w:val="00B721B9"/>
    <w:rsid w:val="00B727CE"/>
    <w:rsid w:val="00B72A04"/>
    <w:rsid w:val="00B7595B"/>
    <w:rsid w:val="00B7643E"/>
    <w:rsid w:val="00B80266"/>
    <w:rsid w:val="00B80CB5"/>
    <w:rsid w:val="00B81045"/>
    <w:rsid w:val="00B814CA"/>
    <w:rsid w:val="00B82534"/>
    <w:rsid w:val="00B82D7E"/>
    <w:rsid w:val="00B835CE"/>
    <w:rsid w:val="00B867CB"/>
    <w:rsid w:val="00B86BA9"/>
    <w:rsid w:val="00B90077"/>
    <w:rsid w:val="00B907AA"/>
    <w:rsid w:val="00B9092D"/>
    <w:rsid w:val="00B91373"/>
    <w:rsid w:val="00B913F8"/>
    <w:rsid w:val="00B92590"/>
    <w:rsid w:val="00B92D5F"/>
    <w:rsid w:val="00B93D14"/>
    <w:rsid w:val="00B9423A"/>
    <w:rsid w:val="00B94611"/>
    <w:rsid w:val="00B9483D"/>
    <w:rsid w:val="00B94A97"/>
    <w:rsid w:val="00B97185"/>
    <w:rsid w:val="00B971C5"/>
    <w:rsid w:val="00B97BF7"/>
    <w:rsid w:val="00BA074D"/>
    <w:rsid w:val="00BA144E"/>
    <w:rsid w:val="00BA1F20"/>
    <w:rsid w:val="00BA227D"/>
    <w:rsid w:val="00BA3DFF"/>
    <w:rsid w:val="00BA5127"/>
    <w:rsid w:val="00BA61E7"/>
    <w:rsid w:val="00BA7B0D"/>
    <w:rsid w:val="00BB0388"/>
    <w:rsid w:val="00BB15E2"/>
    <w:rsid w:val="00BB2416"/>
    <w:rsid w:val="00BB34B4"/>
    <w:rsid w:val="00BB38C1"/>
    <w:rsid w:val="00BB5F40"/>
    <w:rsid w:val="00BB6127"/>
    <w:rsid w:val="00BB6464"/>
    <w:rsid w:val="00BC29F0"/>
    <w:rsid w:val="00BC2EAF"/>
    <w:rsid w:val="00BC30DF"/>
    <w:rsid w:val="00BC3657"/>
    <w:rsid w:val="00BC3717"/>
    <w:rsid w:val="00BC3D71"/>
    <w:rsid w:val="00BC3E6D"/>
    <w:rsid w:val="00BC42F2"/>
    <w:rsid w:val="00BC4750"/>
    <w:rsid w:val="00BC4C58"/>
    <w:rsid w:val="00BC4EA6"/>
    <w:rsid w:val="00BC51DB"/>
    <w:rsid w:val="00BC56CC"/>
    <w:rsid w:val="00BC677A"/>
    <w:rsid w:val="00BC7B59"/>
    <w:rsid w:val="00BC7CD2"/>
    <w:rsid w:val="00BC7CD9"/>
    <w:rsid w:val="00BC7EA5"/>
    <w:rsid w:val="00BD05FA"/>
    <w:rsid w:val="00BD33D6"/>
    <w:rsid w:val="00BD3B97"/>
    <w:rsid w:val="00BD5D0F"/>
    <w:rsid w:val="00BD6EB0"/>
    <w:rsid w:val="00BD72AA"/>
    <w:rsid w:val="00BD7720"/>
    <w:rsid w:val="00BE1737"/>
    <w:rsid w:val="00BE1C45"/>
    <w:rsid w:val="00BE2EF4"/>
    <w:rsid w:val="00BE32D4"/>
    <w:rsid w:val="00BE3D0B"/>
    <w:rsid w:val="00BE4F58"/>
    <w:rsid w:val="00BE504E"/>
    <w:rsid w:val="00BE5BC6"/>
    <w:rsid w:val="00BE71C1"/>
    <w:rsid w:val="00BE727B"/>
    <w:rsid w:val="00BF193A"/>
    <w:rsid w:val="00BF1D87"/>
    <w:rsid w:val="00BF21B7"/>
    <w:rsid w:val="00BF3AC6"/>
    <w:rsid w:val="00BF4F15"/>
    <w:rsid w:val="00BF5947"/>
    <w:rsid w:val="00BF6D03"/>
    <w:rsid w:val="00BF712D"/>
    <w:rsid w:val="00BF7CAD"/>
    <w:rsid w:val="00C00491"/>
    <w:rsid w:val="00C00809"/>
    <w:rsid w:val="00C00821"/>
    <w:rsid w:val="00C01564"/>
    <w:rsid w:val="00C01E00"/>
    <w:rsid w:val="00C0281A"/>
    <w:rsid w:val="00C0628E"/>
    <w:rsid w:val="00C0678C"/>
    <w:rsid w:val="00C06B1E"/>
    <w:rsid w:val="00C06B27"/>
    <w:rsid w:val="00C07CA5"/>
    <w:rsid w:val="00C11328"/>
    <w:rsid w:val="00C135C0"/>
    <w:rsid w:val="00C137B9"/>
    <w:rsid w:val="00C13BD1"/>
    <w:rsid w:val="00C154B1"/>
    <w:rsid w:val="00C15743"/>
    <w:rsid w:val="00C15CCB"/>
    <w:rsid w:val="00C16D1B"/>
    <w:rsid w:val="00C17064"/>
    <w:rsid w:val="00C23B4D"/>
    <w:rsid w:val="00C24D04"/>
    <w:rsid w:val="00C24FB9"/>
    <w:rsid w:val="00C26948"/>
    <w:rsid w:val="00C2740B"/>
    <w:rsid w:val="00C30484"/>
    <w:rsid w:val="00C306F9"/>
    <w:rsid w:val="00C3490F"/>
    <w:rsid w:val="00C34A8A"/>
    <w:rsid w:val="00C3618C"/>
    <w:rsid w:val="00C3773B"/>
    <w:rsid w:val="00C37EFD"/>
    <w:rsid w:val="00C37FBF"/>
    <w:rsid w:val="00C415A2"/>
    <w:rsid w:val="00C41708"/>
    <w:rsid w:val="00C41F67"/>
    <w:rsid w:val="00C43199"/>
    <w:rsid w:val="00C44B8E"/>
    <w:rsid w:val="00C46B8F"/>
    <w:rsid w:val="00C5217F"/>
    <w:rsid w:val="00C527C9"/>
    <w:rsid w:val="00C536C3"/>
    <w:rsid w:val="00C53E15"/>
    <w:rsid w:val="00C5479F"/>
    <w:rsid w:val="00C5518F"/>
    <w:rsid w:val="00C55C55"/>
    <w:rsid w:val="00C5614F"/>
    <w:rsid w:val="00C56AFA"/>
    <w:rsid w:val="00C56EC1"/>
    <w:rsid w:val="00C56ED0"/>
    <w:rsid w:val="00C5734D"/>
    <w:rsid w:val="00C57729"/>
    <w:rsid w:val="00C57BB0"/>
    <w:rsid w:val="00C609A9"/>
    <w:rsid w:val="00C60E69"/>
    <w:rsid w:val="00C62087"/>
    <w:rsid w:val="00C630E1"/>
    <w:rsid w:val="00C6481C"/>
    <w:rsid w:val="00C66FE7"/>
    <w:rsid w:val="00C67103"/>
    <w:rsid w:val="00C672A3"/>
    <w:rsid w:val="00C673AF"/>
    <w:rsid w:val="00C67768"/>
    <w:rsid w:val="00C718C3"/>
    <w:rsid w:val="00C71C95"/>
    <w:rsid w:val="00C72E33"/>
    <w:rsid w:val="00C72EEB"/>
    <w:rsid w:val="00C73DEE"/>
    <w:rsid w:val="00C75928"/>
    <w:rsid w:val="00C75DE1"/>
    <w:rsid w:val="00C75F24"/>
    <w:rsid w:val="00C77D23"/>
    <w:rsid w:val="00C81457"/>
    <w:rsid w:val="00C8300E"/>
    <w:rsid w:val="00C84932"/>
    <w:rsid w:val="00C85E69"/>
    <w:rsid w:val="00C87257"/>
    <w:rsid w:val="00C87C77"/>
    <w:rsid w:val="00C87F07"/>
    <w:rsid w:val="00C90B2F"/>
    <w:rsid w:val="00C91566"/>
    <w:rsid w:val="00C92507"/>
    <w:rsid w:val="00C92E1E"/>
    <w:rsid w:val="00C94A9A"/>
    <w:rsid w:val="00C94B6C"/>
    <w:rsid w:val="00C95C62"/>
    <w:rsid w:val="00C961D4"/>
    <w:rsid w:val="00C966C2"/>
    <w:rsid w:val="00C9680F"/>
    <w:rsid w:val="00C97206"/>
    <w:rsid w:val="00C97EA4"/>
    <w:rsid w:val="00CA0069"/>
    <w:rsid w:val="00CA081C"/>
    <w:rsid w:val="00CA1705"/>
    <w:rsid w:val="00CA20BD"/>
    <w:rsid w:val="00CA22A8"/>
    <w:rsid w:val="00CA2E49"/>
    <w:rsid w:val="00CA448A"/>
    <w:rsid w:val="00CA45E1"/>
    <w:rsid w:val="00CA4864"/>
    <w:rsid w:val="00CA6395"/>
    <w:rsid w:val="00CA743B"/>
    <w:rsid w:val="00CA7FBB"/>
    <w:rsid w:val="00CB0722"/>
    <w:rsid w:val="00CB0CB5"/>
    <w:rsid w:val="00CB0DF0"/>
    <w:rsid w:val="00CB0F0B"/>
    <w:rsid w:val="00CB2F91"/>
    <w:rsid w:val="00CB4C55"/>
    <w:rsid w:val="00CB502B"/>
    <w:rsid w:val="00CB56CB"/>
    <w:rsid w:val="00CB622A"/>
    <w:rsid w:val="00CB6727"/>
    <w:rsid w:val="00CC07CD"/>
    <w:rsid w:val="00CC15C6"/>
    <w:rsid w:val="00CC26D9"/>
    <w:rsid w:val="00CC40F8"/>
    <w:rsid w:val="00CC417D"/>
    <w:rsid w:val="00CC7002"/>
    <w:rsid w:val="00CD190A"/>
    <w:rsid w:val="00CD1CFA"/>
    <w:rsid w:val="00CD3A74"/>
    <w:rsid w:val="00CD3DF5"/>
    <w:rsid w:val="00CD4262"/>
    <w:rsid w:val="00CD467A"/>
    <w:rsid w:val="00CD6A4F"/>
    <w:rsid w:val="00CD7C69"/>
    <w:rsid w:val="00CE0443"/>
    <w:rsid w:val="00CE0B57"/>
    <w:rsid w:val="00CE14A1"/>
    <w:rsid w:val="00CE1675"/>
    <w:rsid w:val="00CE1924"/>
    <w:rsid w:val="00CE192A"/>
    <w:rsid w:val="00CE1F89"/>
    <w:rsid w:val="00CE35C9"/>
    <w:rsid w:val="00CE38D4"/>
    <w:rsid w:val="00CE60C9"/>
    <w:rsid w:val="00CE734D"/>
    <w:rsid w:val="00CF0EA2"/>
    <w:rsid w:val="00CF1FF9"/>
    <w:rsid w:val="00CF29FD"/>
    <w:rsid w:val="00CF2B84"/>
    <w:rsid w:val="00CF34F3"/>
    <w:rsid w:val="00CF6C20"/>
    <w:rsid w:val="00CF7959"/>
    <w:rsid w:val="00D00973"/>
    <w:rsid w:val="00D03E6E"/>
    <w:rsid w:val="00D0510B"/>
    <w:rsid w:val="00D065E3"/>
    <w:rsid w:val="00D06639"/>
    <w:rsid w:val="00D074A6"/>
    <w:rsid w:val="00D075A8"/>
    <w:rsid w:val="00D121B0"/>
    <w:rsid w:val="00D1228F"/>
    <w:rsid w:val="00D12520"/>
    <w:rsid w:val="00D1299F"/>
    <w:rsid w:val="00D12A39"/>
    <w:rsid w:val="00D136E7"/>
    <w:rsid w:val="00D143A7"/>
    <w:rsid w:val="00D14AB3"/>
    <w:rsid w:val="00D159E5"/>
    <w:rsid w:val="00D15B11"/>
    <w:rsid w:val="00D15C7C"/>
    <w:rsid w:val="00D210F4"/>
    <w:rsid w:val="00D2153E"/>
    <w:rsid w:val="00D215AF"/>
    <w:rsid w:val="00D21604"/>
    <w:rsid w:val="00D23BC4"/>
    <w:rsid w:val="00D23D57"/>
    <w:rsid w:val="00D23F52"/>
    <w:rsid w:val="00D24853"/>
    <w:rsid w:val="00D250BA"/>
    <w:rsid w:val="00D252EF"/>
    <w:rsid w:val="00D253E5"/>
    <w:rsid w:val="00D256F9"/>
    <w:rsid w:val="00D273B9"/>
    <w:rsid w:val="00D308D7"/>
    <w:rsid w:val="00D30B69"/>
    <w:rsid w:val="00D30FCD"/>
    <w:rsid w:val="00D31ECE"/>
    <w:rsid w:val="00D32DC7"/>
    <w:rsid w:val="00D331AD"/>
    <w:rsid w:val="00D3330E"/>
    <w:rsid w:val="00D33DD7"/>
    <w:rsid w:val="00D354D5"/>
    <w:rsid w:val="00D355BC"/>
    <w:rsid w:val="00D361E9"/>
    <w:rsid w:val="00D36695"/>
    <w:rsid w:val="00D40C7A"/>
    <w:rsid w:val="00D41413"/>
    <w:rsid w:val="00D417FA"/>
    <w:rsid w:val="00D4200E"/>
    <w:rsid w:val="00D42225"/>
    <w:rsid w:val="00D42A1A"/>
    <w:rsid w:val="00D44825"/>
    <w:rsid w:val="00D45061"/>
    <w:rsid w:val="00D47367"/>
    <w:rsid w:val="00D50216"/>
    <w:rsid w:val="00D50AAB"/>
    <w:rsid w:val="00D50BA6"/>
    <w:rsid w:val="00D51626"/>
    <w:rsid w:val="00D5185F"/>
    <w:rsid w:val="00D51C7B"/>
    <w:rsid w:val="00D51DFE"/>
    <w:rsid w:val="00D522E8"/>
    <w:rsid w:val="00D5245D"/>
    <w:rsid w:val="00D52670"/>
    <w:rsid w:val="00D52816"/>
    <w:rsid w:val="00D52ACA"/>
    <w:rsid w:val="00D52B9E"/>
    <w:rsid w:val="00D530A0"/>
    <w:rsid w:val="00D5321C"/>
    <w:rsid w:val="00D53229"/>
    <w:rsid w:val="00D541EF"/>
    <w:rsid w:val="00D60D37"/>
    <w:rsid w:val="00D61C1E"/>
    <w:rsid w:val="00D62572"/>
    <w:rsid w:val="00D63431"/>
    <w:rsid w:val="00D6619D"/>
    <w:rsid w:val="00D67EEB"/>
    <w:rsid w:val="00D70B19"/>
    <w:rsid w:val="00D70CD0"/>
    <w:rsid w:val="00D7215D"/>
    <w:rsid w:val="00D733F9"/>
    <w:rsid w:val="00D734DE"/>
    <w:rsid w:val="00D73743"/>
    <w:rsid w:val="00D7446B"/>
    <w:rsid w:val="00D74709"/>
    <w:rsid w:val="00D75B0D"/>
    <w:rsid w:val="00D7600F"/>
    <w:rsid w:val="00D761E2"/>
    <w:rsid w:val="00D76689"/>
    <w:rsid w:val="00D80169"/>
    <w:rsid w:val="00D8271C"/>
    <w:rsid w:val="00D83690"/>
    <w:rsid w:val="00D83BFF"/>
    <w:rsid w:val="00D85ADB"/>
    <w:rsid w:val="00D8650C"/>
    <w:rsid w:val="00D8767E"/>
    <w:rsid w:val="00D90CB4"/>
    <w:rsid w:val="00D91093"/>
    <w:rsid w:val="00D91CA4"/>
    <w:rsid w:val="00D93E23"/>
    <w:rsid w:val="00D940FB"/>
    <w:rsid w:val="00D952E9"/>
    <w:rsid w:val="00D95639"/>
    <w:rsid w:val="00D961B7"/>
    <w:rsid w:val="00D967E0"/>
    <w:rsid w:val="00D97811"/>
    <w:rsid w:val="00DA1D0B"/>
    <w:rsid w:val="00DA2283"/>
    <w:rsid w:val="00DA3381"/>
    <w:rsid w:val="00DA3514"/>
    <w:rsid w:val="00DA3604"/>
    <w:rsid w:val="00DA4BE5"/>
    <w:rsid w:val="00DA4C6D"/>
    <w:rsid w:val="00DA5591"/>
    <w:rsid w:val="00DA5C5A"/>
    <w:rsid w:val="00DA6D33"/>
    <w:rsid w:val="00DA6FF6"/>
    <w:rsid w:val="00DA7068"/>
    <w:rsid w:val="00DA7A55"/>
    <w:rsid w:val="00DB00DF"/>
    <w:rsid w:val="00DB0A89"/>
    <w:rsid w:val="00DB25F2"/>
    <w:rsid w:val="00DB2931"/>
    <w:rsid w:val="00DB29D5"/>
    <w:rsid w:val="00DB460F"/>
    <w:rsid w:val="00DB4E0E"/>
    <w:rsid w:val="00DB512E"/>
    <w:rsid w:val="00DB5F07"/>
    <w:rsid w:val="00DB616A"/>
    <w:rsid w:val="00DB66DF"/>
    <w:rsid w:val="00DB6A9F"/>
    <w:rsid w:val="00DC029E"/>
    <w:rsid w:val="00DC1033"/>
    <w:rsid w:val="00DC1AC5"/>
    <w:rsid w:val="00DC2620"/>
    <w:rsid w:val="00DC2BDA"/>
    <w:rsid w:val="00DC3186"/>
    <w:rsid w:val="00DC3248"/>
    <w:rsid w:val="00DC3855"/>
    <w:rsid w:val="00DC4155"/>
    <w:rsid w:val="00DC45C8"/>
    <w:rsid w:val="00DC470E"/>
    <w:rsid w:val="00DC5181"/>
    <w:rsid w:val="00DC620E"/>
    <w:rsid w:val="00DC7853"/>
    <w:rsid w:val="00DC7AA0"/>
    <w:rsid w:val="00DD0D91"/>
    <w:rsid w:val="00DD0F7B"/>
    <w:rsid w:val="00DD17D1"/>
    <w:rsid w:val="00DD193F"/>
    <w:rsid w:val="00DD2591"/>
    <w:rsid w:val="00DD2612"/>
    <w:rsid w:val="00DD334F"/>
    <w:rsid w:val="00DD4ECF"/>
    <w:rsid w:val="00DD517A"/>
    <w:rsid w:val="00DD5186"/>
    <w:rsid w:val="00DD6053"/>
    <w:rsid w:val="00DD79EE"/>
    <w:rsid w:val="00DD7FC6"/>
    <w:rsid w:val="00DE0AA7"/>
    <w:rsid w:val="00DE17E2"/>
    <w:rsid w:val="00DE274E"/>
    <w:rsid w:val="00DE33EE"/>
    <w:rsid w:val="00DE58F3"/>
    <w:rsid w:val="00DE68D3"/>
    <w:rsid w:val="00DE7D1E"/>
    <w:rsid w:val="00DF21E6"/>
    <w:rsid w:val="00DF317B"/>
    <w:rsid w:val="00DF3E0D"/>
    <w:rsid w:val="00DF4144"/>
    <w:rsid w:val="00E02AF8"/>
    <w:rsid w:val="00E02F0A"/>
    <w:rsid w:val="00E03021"/>
    <w:rsid w:val="00E04E1E"/>
    <w:rsid w:val="00E05468"/>
    <w:rsid w:val="00E057CC"/>
    <w:rsid w:val="00E06121"/>
    <w:rsid w:val="00E07B74"/>
    <w:rsid w:val="00E10820"/>
    <w:rsid w:val="00E10877"/>
    <w:rsid w:val="00E116AC"/>
    <w:rsid w:val="00E1250A"/>
    <w:rsid w:val="00E1268B"/>
    <w:rsid w:val="00E146A1"/>
    <w:rsid w:val="00E14B4B"/>
    <w:rsid w:val="00E15646"/>
    <w:rsid w:val="00E16A1D"/>
    <w:rsid w:val="00E2056F"/>
    <w:rsid w:val="00E20929"/>
    <w:rsid w:val="00E20969"/>
    <w:rsid w:val="00E212AA"/>
    <w:rsid w:val="00E2268B"/>
    <w:rsid w:val="00E227A6"/>
    <w:rsid w:val="00E2386C"/>
    <w:rsid w:val="00E2582B"/>
    <w:rsid w:val="00E25F6B"/>
    <w:rsid w:val="00E274AB"/>
    <w:rsid w:val="00E27CB0"/>
    <w:rsid w:val="00E27FAE"/>
    <w:rsid w:val="00E31948"/>
    <w:rsid w:val="00E32548"/>
    <w:rsid w:val="00E32F5F"/>
    <w:rsid w:val="00E34436"/>
    <w:rsid w:val="00E347DE"/>
    <w:rsid w:val="00E34945"/>
    <w:rsid w:val="00E3556B"/>
    <w:rsid w:val="00E358EB"/>
    <w:rsid w:val="00E35B2C"/>
    <w:rsid w:val="00E3677E"/>
    <w:rsid w:val="00E37372"/>
    <w:rsid w:val="00E37D65"/>
    <w:rsid w:val="00E400B7"/>
    <w:rsid w:val="00E41B0B"/>
    <w:rsid w:val="00E41E6C"/>
    <w:rsid w:val="00E424C7"/>
    <w:rsid w:val="00E43120"/>
    <w:rsid w:val="00E43C46"/>
    <w:rsid w:val="00E43DBC"/>
    <w:rsid w:val="00E453D6"/>
    <w:rsid w:val="00E45C4C"/>
    <w:rsid w:val="00E4687D"/>
    <w:rsid w:val="00E513C5"/>
    <w:rsid w:val="00E5159C"/>
    <w:rsid w:val="00E525CC"/>
    <w:rsid w:val="00E52806"/>
    <w:rsid w:val="00E54568"/>
    <w:rsid w:val="00E54AC1"/>
    <w:rsid w:val="00E60BFE"/>
    <w:rsid w:val="00E60DD8"/>
    <w:rsid w:val="00E6175B"/>
    <w:rsid w:val="00E61840"/>
    <w:rsid w:val="00E62D1B"/>
    <w:rsid w:val="00E63610"/>
    <w:rsid w:val="00E64E12"/>
    <w:rsid w:val="00E655EE"/>
    <w:rsid w:val="00E668AD"/>
    <w:rsid w:val="00E66D7D"/>
    <w:rsid w:val="00E66F08"/>
    <w:rsid w:val="00E6733E"/>
    <w:rsid w:val="00E679B3"/>
    <w:rsid w:val="00E71073"/>
    <w:rsid w:val="00E72B24"/>
    <w:rsid w:val="00E73CD3"/>
    <w:rsid w:val="00E7426E"/>
    <w:rsid w:val="00E75249"/>
    <w:rsid w:val="00E75B36"/>
    <w:rsid w:val="00E77EE5"/>
    <w:rsid w:val="00E82671"/>
    <w:rsid w:val="00E8620F"/>
    <w:rsid w:val="00E86A7E"/>
    <w:rsid w:val="00E87DB0"/>
    <w:rsid w:val="00E90254"/>
    <w:rsid w:val="00E91AC1"/>
    <w:rsid w:val="00E91C7A"/>
    <w:rsid w:val="00E92B50"/>
    <w:rsid w:val="00E94B75"/>
    <w:rsid w:val="00E95C0D"/>
    <w:rsid w:val="00E96435"/>
    <w:rsid w:val="00E969E1"/>
    <w:rsid w:val="00E977D8"/>
    <w:rsid w:val="00EA044A"/>
    <w:rsid w:val="00EA25E2"/>
    <w:rsid w:val="00EA3948"/>
    <w:rsid w:val="00EA3A83"/>
    <w:rsid w:val="00EA446F"/>
    <w:rsid w:val="00EA58E9"/>
    <w:rsid w:val="00EB0020"/>
    <w:rsid w:val="00EB0D78"/>
    <w:rsid w:val="00EB0EB1"/>
    <w:rsid w:val="00EB142A"/>
    <w:rsid w:val="00EB2553"/>
    <w:rsid w:val="00EB272C"/>
    <w:rsid w:val="00EB35DF"/>
    <w:rsid w:val="00EB4DF1"/>
    <w:rsid w:val="00EB5650"/>
    <w:rsid w:val="00EB73AE"/>
    <w:rsid w:val="00EB76A5"/>
    <w:rsid w:val="00EB7FA4"/>
    <w:rsid w:val="00EC1087"/>
    <w:rsid w:val="00EC26C1"/>
    <w:rsid w:val="00EC3E7F"/>
    <w:rsid w:val="00EC5D1A"/>
    <w:rsid w:val="00EC5EF2"/>
    <w:rsid w:val="00EC6A98"/>
    <w:rsid w:val="00EC775A"/>
    <w:rsid w:val="00EC7ADD"/>
    <w:rsid w:val="00EC7CED"/>
    <w:rsid w:val="00ED030E"/>
    <w:rsid w:val="00ED38B4"/>
    <w:rsid w:val="00ED4BEC"/>
    <w:rsid w:val="00ED5DFE"/>
    <w:rsid w:val="00ED5F2D"/>
    <w:rsid w:val="00EE0554"/>
    <w:rsid w:val="00EE0789"/>
    <w:rsid w:val="00EE21C0"/>
    <w:rsid w:val="00EE2336"/>
    <w:rsid w:val="00EE2A74"/>
    <w:rsid w:val="00EE2B40"/>
    <w:rsid w:val="00EE4E69"/>
    <w:rsid w:val="00EE56C0"/>
    <w:rsid w:val="00EE5F06"/>
    <w:rsid w:val="00EE6FB0"/>
    <w:rsid w:val="00EE7511"/>
    <w:rsid w:val="00EF0322"/>
    <w:rsid w:val="00EF3316"/>
    <w:rsid w:val="00EF373A"/>
    <w:rsid w:val="00EF6226"/>
    <w:rsid w:val="00EF6BF5"/>
    <w:rsid w:val="00F00CE5"/>
    <w:rsid w:val="00F01DF3"/>
    <w:rsid w:val="00F02844"/>
    <w:rsid w:val="00F02BA5"/>
    <w:rsid w:val="00F04E2A"/>
    <w:rsid w:val="00F05722"/>
    <w:rsid w:val="00F05D6A"/>
    <w:rsid w:val="00F060B9"/>
    <w:rsid w:val="00F06552"/>
    <w:rsid w:val="00F06924"/>
    <w:rsid w:val="00F06EA1"/>
    <w:rsid w:val="00F102F0"/>
    <w:rsid w:val="00F10795"/>
    <w:rsid w:val="00F10F30"/>
    <w:rsid w:val="00F11028"/>
    <w:rsid w:val="00F115F0"/>
    <w:rsid w:val="00F1493D"/>
    <w:rsid w:val="00F15AF5"/>
    <w:rsid w:val="00F16163"/>
    <w:rsid w:val="00F17E04"/>
    <w:rsid w:val="00F233D0"/>
    <w:rsid w:val="00F23E11"/>
    <w:rsid w:val="00F24294"/>
    <w:rsid w:val="00F24580"/>
    <w:rsid w:val="00F24F0D"/>
    <w:rsid w:val="00F277A5"/>
    <w:rsid w:val="00F31CF9"/>
    <w:rsid w:val="00F345F8"/>
    <w:rsid w:val="00F363C4"/>
    <w:rsid w:val="00F36972"/>
    <w:rsid w:val="00F37DCB"/>
    <w:rsid w:val="00F4048D"/>
    <w:rsid w:val="00F407D2"/>
    <w:rsid w:val="00F414FB"/>
    <w:rsid w:val="00F418AE"/>
    <w:rsid w:val="00F423DC"/>
    <w:rsid w:val="00F4272B"/>
    <w:rsid w:val="00F427C8"/>
    <w:rsid w:val="00F442B7"/>
    <w:rsid w:val="00F462F4"/>
    <w:rsid w:val="00F46D5D"/>
    <w:rsid w:val="00F47401"/>
    <w:rsid w:val="00F47ED4"/>
    <w:rsid w:val="00F507BC"/>
    <w:rsid w:val="00F511D3"/>
    <w:rsid w:val="00F51B13"/>
    <w:rsid w:val="00F52423"/>
    <w:rsid w:val="00F52970"/>
    <w:rsid w:val="00F54B70"/>
    <w:rsid w:val="00F550CE"/>
    <w:rsid w:val="00F5641C"/>
    <w:rsid w:val="00F564D0"/>
    <w:rsid w:val="00F566C3"/>
    <w:rsid w:val="00F5672D"/>
    <w:rsid w:val="00F5682D"/>
    <w:rsid w:val="00F56843"/>
    <w:rsid w:val="00F57190"/>
    <w:rsid w:val="00F5791D"/>
    <w:rsid w:val="00F57A04"/>
    <w:rsid w:val="00F60100"/>
    <w:rsid w:val="00F601B4"/>
    <w:rsid w:val="00F60EC4"/>
    <w:rsid w:val="00F6152D"/>
    <w:rsid w:val="00F62616"/>
    <w:rsid w:val="00F62D54"/>
    <w:rsid w:val="00F63E3D"/>
    <w:rsid w:val="00F64A97"/>
    <w:rsid w:val="00F662A5"/>
    <w:rsid w:val="00F6655C"/>
    <w:rsid w:val="00F67172"/>
    <w:rsid w:val="00F70165"/>
    <w:rsid w:val="00F7029B"/>
    <w:rsid w:val="00F713D2"/>
    <w:rsid w:val="00F7358E"/>
    <w:rsid w:val="00F73BAB"/>
    <w:rsid w:val="00F73C5F"/>
    <w:rsid w:val="00F74004"/>
    <w:rsid w:val="00F743A3"/>
    <w:rsid w:val="00F76129"/>
    <w:rsid w:val="00F77AB2"/>
    <w:rsid w:val="00F80E6C"/>
    <w:rsid w:val="00F82B9B"/>
    <w:rsid w:val="00F8381B"/>
    <w:rsid w:val="00F8496C"/>
    <w:rsid w:val="00F84B70"/>
    <w:rsid w:val="00F84B80"/>
    <w:rsid w:val="00F84BEA"/>
    <w:rsid w:val="00F84D12"/>
    <w:rsid w:val="00F85156"/>
    <w:rsid w:val="00F87028"/>
    <w:rsid w:val="00F8732E"/>
    <w:rsid w:val="00F8778B"/>
    <w:rsid w:val="00F877F2"/>
    <w:rsid w:val="00F91A72"/>
    <w:rsid w:val="00F91C18"/>
    <w:rsid w:val="00F924C4"/>
    <w:rsid w:val="00F93584"/>
    <w:rsid w:val="00F94C7E"/>
    <w:rsid w:val="00F95D3A"/>
    <w:rsid w:val="00F975DA"/>
    <w:rsid w:val="00FA1A37"/>
    <w:rsid w:val="00FA1D44"/>
    <w:rsid w:val="00FA49BC"/>
    <w:rsid w:val="00FA5AFC"/>
    <w:rsid w:val="00FB0197"/>
    <w:rsid w:val="00FB09F3"/>
    <w:rsid w:val="00FB148B"/>
    <w:rsid w:val="00FB15CC"/>
    <w:rsid w:val="00FB1AEB"/>
    <w:rsid w:val="00FB1F8B"/>
    <w:rsid w:val="00FB2054"/>
    <w:rsid w:val="00FB36EB"/>
    <w:rsid w:val="00FB48D2"/>
    <w:rsid w:val="00FB4A77"/>
    <w:rsid w:val="00FB4B20"/>
    <w:rsid w:val="00FB7E71"/>
    <w:rsid w:val="00FB7F0F"/>
    <w:rsid w:val="00FC2567"/>
    <w:rsid w:val="00FC3756"/>
    <w:rsid w:val="00FC51E6"/>
    <w:rsid w:val="00FC5796"/>
    <w:rsid w:val="00FC5BC8"/>
    <w:rsid w:val="00FC692F"/>
    <w:rsid w:val="00FC74A8"/>
    <w:rsid w:val="00FC75A9"/>
    <w:rsid w:val="00FD0CAF"/>
    <w:rsid w:val="00FD0F27"/>
    <w:rsid w:val="00FD117A"/>
    <w:rsid w:val="00FD2303"/>
    <w:rsid w:val="00FD271D"/>
    <w:rsid w:val="00FD280E"/>
    <w:rsid w:val="00FD3036"/>
    <w:rsid w:val="00FD3C23"/>
    <w:rsid w:val="00FD43E1"/>
    <w:rsid w:val="00FD521B"/>
    <w:rsid w:val="00FD6A92"/>
    <w:rsid w:val="00FD759C"/>
    <w:rsid w:val="00FE00E5"/>
    <w:rsid w:val="00FE2353"/>
    <w:rsid w:val="00FE7048"/>
    <w:rsid w:val="00FE7815"/>
    <w:rsid w:val="00FE7E71"/>
    <w:rsid w:val="00FF0126"/>
    <w:rsid w:val="00FF01F8"/>
    <w:rsid w:val="00FF193F"/>
    <w:rsid w:val="00FF250F"/>
    <w:rsid w:val="00FF2743"/>
    <w:rsid w:val="00FF3E82"/>
    <w:rsid w:val="00FF436C"/>
    <w:rsid w:val="00FF55D8"/>
    <w:rsid w:val="00FF5FF8"/>
    <w:rsid w:val="00FF6B77"/>
    <w:rsid w:val="00FF727A"/>
    <w:rsid w:val="00FF7479"/>
    <w:rsid w:val="00FF7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5587D"/>
  <w15:chartTrackingRefBased/>
  <w15:docId w15:val="{8B41D2D1-6635-424A-BDB5-E490301E5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2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2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12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2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2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12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5F7"/>
    <w:rPr>
      <w:rFonts w:eastAsiaTheme="majorEastAsia" w:cstheme="majorBidi"/>
      <w:color w:val="272727" w:themeColor="text1" w:themeTint="D8"/>
    </w:rPr>
  </w:style>
  <w:style w:type="paragraph" w:styleId="Title">
    <w:name w:val="Title"/>
    <w:basedOn w:val="Normal"/>
    <w:next w:val="Normal"/>
    <w:link w:val="TitleChar"/>
    <w:uiPriority w:val="10"/>
    <w:qFormat/>
    <w:rsid w:val="00812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5F7"/>
    <w:pPr>
      <w:spacing w:before="160"/>
      <w:jc w:val="center"/>
    </w:pPr>
    <w:rPr>
      <w:i/>
      <w:iCs/>
      <w:color w:val="404040" w:themeColor="text1" w:themeTint="BF"/>
    </w:rPr>
  </w:style>
  <w:style w:type="character" w:customStyle="1" w:styleId="QuoteChar">
    <w:name w:val="Quote Char"/>
    <w:basedOn w:val="DefaultParagraphFont"/>
    <w:link w:val="Quote"/>
    <w:uiPriority w:val="29"/>
    <w:rsid w:val="008125F7"/>
    <w:rPr>
      <w:i/>
      <w:iCs/>
      <w:color w:val="404040" w:themeColor="text1" w:themeTint="BF"/>
    </w:rPr>
  </w:style>
  <w:style w:type="paragraph" w:styleId="ListParagraph">
    <w:name w:val="List Paragraph"/>
    <w:basedOn w:val="Normal"/>
    <w:uiPriority w:val="34"/>
    <w:qFormat/>
    <w:rsid w:val="008125F7"/>
    <w:pPr>
      <w:ind w:left="720"/>
      <w:contextualSpacing/>
    </w:pPr>
  </w:style>
  <w:style w:type="character" w:styleId="IntenseEmphasis">
    <w:name w:val="Intense Emphasis"/>
    <w:basedOn w:val="DefaultParagraphFont"/>
    <w:uiPriority w:val="21"/>
    <w:qFormat/>
    <w:rsid w:val="008125F7"/>
    <w:rPr>
      <w:i/>
      <w:iCs/>
      <w:color w:val="0F4761" w:themeColor="accent1" w:themeShade="BF"/>
    </w:rPr>
  </w:style>
  <w:style w:type="paragraph" w:styleId="IntenseQuote">
    <w:name w:val="Intense Quote"/>
    <w:basedOn w:val="Normal"/>
    <w:next w:val="Normal"/>
    <w:link w:val="IntenseQuoteChar"/>
    <w:uiPriority w:val="30"/>
    <w:qFormat/>
    <w:rsid w:val="00812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5F7"/>
    <w:rPr>
      <w:i/>
      <w:iCs/>
      <w:color w:val="0F4761" w:themeColor="accent1" w:themeShade="BF"/>
    </w:rPr>
  </w:style>
  <w:style w:type="character" w:styleId="IntenseReference">
    <w:name w:val="Intense Reference"/>
    <w:basedOn w:val="DefaultParagraphFont"/>
    <w:uiPriority w:val="32"/>
    <w:qFormat/>
    <w:rsid w:val="008125F7"/>
    <w:rPr>
      <w:b/>
      <w:bCs/>
      <w:smallCaps/>
      <w:color w:val="0F4761" w:themeColor="accent1" w:themeShade="BF"/>
      <w:spacing w:val="5"/>
    </w:rPr>
  </w:style>
  <w:style w:type="character" w:styleId="Hyperlink">
    <w:name w:val="Hyperlink"/>
    <w:basedOn w:val="DefaultParagraphFont"/>
    <w:uiPriority w:val="99"/>
    <w:unhideWhenUsed/>
    <w:rsid w:val="009A4A03"/>
    <w:rPr>
      <w:color w:val="467886" w:themeColor="hyperlink"/>
      <w:u w:val="single"/>
    </w:rPr>
  </w:style>
  <w:style w:type="character" w:styleId="UnresolvedMention">
    <w:name w:val="Unresolved Mention"/>
    <w:basedOn w:val="DefaultParagraphFont"/>
    <w:uiPriority w:val="99"/>
    <w:semiHidden/>
    <w:unhideWhenUsed/>
    <w:rsid w:val="009A4A03"/>
    <w:rPr>
      <w:color w:val="605E5C"/>
      <w:shd w:val="clear" w:color="auto" w:fill="E1DFDD"/>
    </w:rPr>
  </w:style>
  <w:style w:type="table" w:styleId="TableGrid">
    <w:name w:val="Table Grid"/>
    <w:basedOn w:val="TableNormal"/>
    <w:uiPriority w:val="39"/>
    <w:rsid w:val="000F3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04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2C03F7"/>
    <w:rPr>
      <w:sz w:val="16"/>
      <w:szCs w:val="16"/>
    </w:rPr>
  </w:style>
  <w:style w:type="paragraph" w:styleId="CommentText">
    <w:name w:val="annotation text"/>
    <w:basedOn w:val="Normal"/>
    <w:link w:val="CommentTextChar"/>
    <w:uiPriority w:val="99"/>
    <w:unhideWhenUsed/>
    <w:rsid w:val="002C03F7"/>
    <w:pPr>
      <w:spacing w:line="240" w:lineRule="auto"/>
    </w:pPr>
    <w:rPr>
      <w:sz w:val="20"/>
      <w:szCs w:val="20"/>
    </w:rPr>
  </w:style>
  <w:style w:type="character" w:customStyle="1" w:styleId="CommentTextChar">
    <w:name w:val="Comment Text Char"/>
    <w:basedOn w:val="DefaultParagraphFont"/>
    <w:link w:val="CommentText"/>
    <w:uiPriority w:val="99"/>
    <w:rsid w:val="002C03F7"/>
    <w:rPr>
      <w:sz w:val="20"/>
      <w:szCs w:val="20"/>
    </w:rPr>
  </w:style>
  <w:style w:type="paragraph" w:styleId="CommentSubject">
    <w:name w:val="annotation subject"/>
    <w:basedOn w:val="CommentText"/>
    <w:next w:val="CommentText"/>
    <w:link w:val="CommentSubjectChar"/>
    <w:uiPriority w:val="99"/>
    <w:semiHidden/>
    <w:unhideWhenUsed/>
    <w:rsid w:val="002C03F7"/>
    <w:rPr>
      <w:b/>
      <w:bCs/>
    </w:rPr>
  </w:style>
  <w:style w:type="character" w:customStyle="1" w:styleId="CommentSubjectChar">
    <w:name w:val="Comment Subject Char"/>
    <w:basedOn w:val="CommentTextChar"/>
    <w:link w:val="CommentSubject"/>
    <w:uiPriority w:val="99"/>
    <w:semiHidden/>
    <w:rsid w:val="002C03F7"/>
    <w:rPr>
      <w:b/>
      <w:bCs/>
      <w:sz w:val="20"/>
      <w:szCs w:val="20"/>
    </w:rPr>
  </w:style>
  <w:style w:type="character" w:styleId="PlaceholderText">
    <w:name w:val="Placeholder Text"/>
    <w:basedOn w:val="DefaultParagraphFont"/>
    <w:uiPriority w:val="99"/>
    <w:semiHidden/>
    <w:rsid w:val="006C5179"/>
    <w:rPr>
      <w:color w:val="666666"/>
    </w:rPr>
  </w:style>
  <w:style w:type="paragraph" w:styleId="NoSpacing">
    <w:name w:val="No Spacing"/>
    <w:link w:val="NoSpacingChar"/>
    <w:uiPriority w:val="1"/>
    <w:qFormat/>
    <w:rsid w:val="00547A8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7A80"/>
    <w:rPr>
      <w:rFonts w:eastAsiaTheme="minorEastAsia"/>
      <w:kern w:val="0"/>
      <w:lang w:val="en-US"/>
      <w14:ligatures w14:val="none"/>
    </w:rPr>
  </w:style>
  <w:style w:type="paragraph" w:styleId="TOCHeading">
    <w:name w:val="TOC Heading"/>
    <w:basedOn w:val="Heading1"/>
    <w:next w:val="Normal"/>
    <w:uiPriority w:val="39"/>
    <w:unhideWhenUsed/>
    <w:qFormat/>
    <w:rsid w:val="00527338"/>
    <w:pPr>
      <w:spacing w:before="240" w:after="0"/>
      <w:outlineLvl w:val="9"/>
    </w:pPr>
    <w:rPr>
      <w:kern w:val="0"/>
      <w:sz w:val="32"/>
      <w:szCs w:val="32"/>
      <w:lang w:val="en-US"/>
      <w14:ligatures w14:val="none"/>
    </w:rPr>
  </w:style>
  <w:style w:type="table" w:styleId="ListTable3-Accent4">
    <w:name w:val="List Table 3 Accent 4"/>
    <w:basedOn w:val="TableNormal"/>
    <w:uiPriority w:val="48"/>
    <w:rsid w:val="003F77DC"/>
    <w:pPr>
      <w:spacing w:after="0" w:line="240" w:lineRule="auto"/>
    </w:pPr>
    <w:tblPr>
      <w:tblStyleRowBandSize w:val="1"/>
      <w:tblStyleColBandSize w:val="1"/>
      <w:tblBorders>
        <w:top w:val="single" w:sz="4" w:space="0" w:color="0F9ED5" w:themeColor="accent4"/>
        <w:left w:val="single" w:sz="4" w:space="0" w:color="0F9ED5" w:themeColor="accent4"/>
        <w:bottom w:val="single" w:sz="4" w:space="0" w:color="0F9ED5" w:themeColor="accent4"/>
        <w:right w:val="single" w:sz="4" w:space="0" w:color="0F9ED5" w:themeColor="accent4"/>
      </w:tblBorders>
    </w:tblPr>
    <w:tblStylePr w:type="firstRow">
      <w:rPr>
        <w:b/>
        <w:bCs/>
        <w:color w:val="FFFFFF" w:themeColor="background1"/>
      </w:rPr>
      <w:tblPr/>
      <w:tcPr>
        <w:shd w:val="clear" w:color="auto" w:fill="0F9ED5" w:themeFill="accent4"/>
      </w:tcPr>
    </w:tblStylePr>
    <w:tblStylePr w:type="lastRow">
      <w:rPr>
        <w:b/>
        <w:bCs/>
      </w:rPr>
      <w:tblPr/>
      <w:tcPr>
        <w:tcBorders>
          <w:top w:val="double" w:sz="4" w:space="0" w:color="0F9ED5"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F9ED5" w:themeColor="accent4"/>
          <w:right w:val="single" w:sz="4" w:space="0" w:color="0F9ED5" w:themeColor="accent4"/>
        </w:tcBorders>
      </w:tcPr>
    </w:tblStylePr>
    <w:tblStylePr w:type="band1Horz">
      <w:tblPr/>
      <w:tcPr>
        <w:tcBorders>
          <w:top w:val="single" w:sz="4" w:space="0" w:color="0F9ED5" w:themeColor="accent4"/>
          <w:bottom w:val="single" w:sz="4" w:space="0" w:color="0F9ED5"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F9ED5" w:themeColor="accent4"/>
          <w:left w:val="nil"/>
        </w:tcBorders>
      </w:tcPr>
    </w:tblStylePr>
    <w:tblStylePr w:type="swCell">
      <w:tblPr/>
      <w:tcPr>
        <w:tcBorders>
          <w:top w:val="double" w:sz="4" w:space="0" w:color="0F9ED5" w:themeColor="accent4"/>
          <w:right w:val="nil"/>
        </w:tcBorders>
      </w:tcPr>
    </w:tblStylePr>
  </w:style>
  <w:style w:type="paragraph" w:customStyle="1" w:styleId="pdq2pgselectionanchorcontainer">
    <w:name w:val="pdq2pg_selectionanchorcontainer"/>
    <w:basedOn w:val="Normal"/>
    <w:rsid w:val="0080218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02188"/>
    <w:rPr>
      <w:i/>
      <w:iCs/>
    </w:rPr>
  </w:style>
  <w:style w:type="character" w:styleId="Strong">
    <w:name w:val="Strong"/>
    <w:basedOn w:val="DefaultParagraphFont"/>
    <w:uiPriority w:val="22"/>
    <w:qFormat/>
    <w:rsid w:val="008021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528CFAD-5AC7-405E-B254-AA5874069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6645</TotalTime>
  <Pages>22</Pages>
  <Words>14338</Words>
  <Characters>81732</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Parmita Saha</dc:creator>
  <cp:keywords/>
  <dc:description/>
  <cp:lastModifiedBy>Parmita Saha</cp:lastModifiedBy>
  <cp:revision>1827</cp:revision>
  <dcterms:created xsi:type="dcterms:W3CDTF">2026-06-22T09:39:00Z</dcterms:created>
  <dcterms:modified xsi:type="dcterms:W3CDTF">2026-07-25T21:12:00Z</dcterms:modified>
</cp:coreProperties>
</file>