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14D2A5" w14:textId="62472A0A" w:rsidR="007512D3" w:rsidRPr="00FF4B10" w:rsidRDefault="00A64AEE" w:rsidP="005B7A2E">
      <w:pPr>
        <w:spacing w:line="360" w:lineRule="auto"/>
        <w:jc w:val="both"/>
        <w:rPr>
          <w:rFonts w:ascii="Arial" w:hAnsi="Arial" w:cs="Arial"/>
        </w:rPr>
      </w:pPr>
      <w:r w:rsidRPr="00FF4B10">
        <w:rPr>
          <w:rFonts w:ascii="Arial" w:hAnsi="Arial" w:cs="Arial"/>
          <w:b/>
          <w:bCs/>
        </w:rPr>
        <w:t xml:space="preserve"> </w:t>
      </w:r>
      <w:r w:rsidR="007512D3" w:rsidRPr="00FF4B10">
        <w:rPr>
          <w:rFonts w:ascii="Arial" w:hAnsi="Arial" w:cs="Arial"/>
          <w:b/>
          <w:bCs/>
        </w:rPr>
        <w:t xml:space="preserve">Student Name: </w:t>
      </w:r>
      <w:r w:rsidR="007512D3" w:rsidRPr="00FF4B10">
        <w:rPr>
          <w:rFonts w:ascii="Arial" w:hAnsi="Arial" w:cs="Arial"/>
        </w:rPr>
        <w:t>Constance Agbon</w:t>
      </w:r>
    </w:p>
    <w:p w14:paraId="1DE1C3B5" w14:textId="77777777" w:rsidR="007512D3" w:rsidRPr="00FF4B10" w:rsidRDefault="007512D3" w:rsidP="005B7A2E">
      <w:pPr>
        <w:spacing w:line="360" w:lineRule="auto"/>
        <w:jc w:val="both"/>
        <w:rPr>
          <w:rFonts w:ascii="Arial" w:hAnsi="Arial" w:cs="Arial"/>
        </w:rPr>
      </w:pPr>
      <w:r w:rsidRPr="00FF4B10">
        <w:rPr>
          <w:rFonts w:ascii="Arial" w:hAnsi="Arial" w:cs="Arial"/>
          <w:b/>
          <w:bCs/>
        </w:rPr>
        <w:t xml:space="preserve">Student ID: </w:t>
      </w:r>
      <w:r w:rsidRPr="00FF4B10">
        <w:rPr>
          <w:rFonts w:ascii="Arial" w:hAnsi="Arial" w:cs="Arial"/>
        </w:rPr>
        <w:t>2533232</w:t>
      </w:r>
    </w:p>
    <w:p w14:paraId="791DC055" w14:textId="77777777" w:rsidR="007512D3" w:rsidRPr="00FF4B10" w:rsidRDefault="007512D3" w:rsidP="005B7A2E">
      <w:pPr>
        <w:spacing w:line="360" w:lineRule="auto"/>
        <w:jc w:val="both"/>
        <w:rPr>
          <w:rFonts w:ascii="Arial" w:hAnsi="Arial" w:cs="Arial"/>
        </w:rPr>
      </w:pPr>
      <w:r w:rsidRPr="00FF4B10">
        <w:rPr>
          <w:rFonts w:ascii="Arial" w:hAnsi="Arial" w:cs="Arial"/>
          <w:b/>
          <w:bCs/>
        </w:rPr>
        <w:t xml:space="preserve">Programme: </w:t>
      </w:r>
      <w:r w:rsidRPr="00FF4B10">
        <w:rPr>
          <w:rFonts w:ascii="Arial" w:hAnsi="Arial" w:cs="Arial"/>
        </w:rPr>
        <w:t>Certificate of Higher Education Skills for the Workplace (Health &amp; Social Care)</w:t>
      </w:r>
    </w:p>
    <w:p w14:paraId="056864F5" w14:textId="15B5B368" w:rsidR="007512D3" w:rsidRPr="00FF4B10" w:rsidRDefault="007512D3" w:rsidP="005B7A2E">
      <w:pPr>
        <w:spacing w:line="360" w:lineRule="auto"/>
        <w:jc w:val="both"/>
        <w:rPr>
          <w:rFonts w:ascii="Arial" w:hAnsi="Arial" w:cs="Arial"/>
          <w:b/>
          <w:bCs/>
        </w:rPr>
      </w:pPr>
      <w:r w:rsidRPr="00FF4B10">
        <w:rPr>
          <w:rFonts w:ascii="Arial" w:hAnsi="Arial" w:cs="Arial"/>
          <w:b/>
          <w:bCs/>
        </w:rPr>
        <w:t xml:space="preserve">Module: </w:t>
      </w:r>
      <w:r w:rsidRPr="00FF4B10">
        <w:rPr>
          <w:rFonts w:ascii="Arial" w:hAnsi="Arial" w:cs="Arial"/>
        </w:rPr>
        <w:t xml:space="preserve">Introduction to </w:t>
      </w:r>
      <w:r w:rsidR="0042185D" w:rsidRPr="00FF4B10">
        <w:rPr>
          <w:rFonts w:ascii="Arial" w:hAnsi="Arial" w:cs="Arial"/>
        </w:rPr>
        <w:t>H</w:t>
      </w:r>
      <w:r w:rsidR="0029647A" w:rsidRPr="00FF4B10">
        <w:rPr>
          <w:rFonts w:ascii="Arial" w:hAnsi="Arial" w:cs="Arial"/>
        </w:rPr>
        <w:t>ealth and Social Care</w:t>
      </w:r>
    </w:p>
    <w:p w14:paraId="10F5CA06" w14:textId="681A4215" w:rsidR="007512D3" w:rsidRPr="00FF4B10" w:rsidRDefault="007512D3" w:rsidP="005B7A2E">
      <w:pPr>
        <w:spacing w:line="360" w:lineRule="auto"/>
        <w:jc w:val="both"/>
        <w:rPr>
          <w:rFonts w:ascii="Arial" w:hAnsi="Arial" w:cs="Arial"/>
          <w:b/>
          <w:bCs/>
        </w:rPr>
      </w:pPr>
      <w:r w:rsidRPr="00FF4B10">
        <w:rPr>
          <w:rFonts w:ascii="Arial" w:hAnsi="Arial" w:cs="Arial"/>
          <w:b/>
          <w:bCs/>
        </w:rPr>
        <w:t xml:space="preserve">Module Code: </w:t>
      </w:r>
      <w:r w:rsidRPr="00FF4B10">
        <w:rPr>
          <w:rFonts w:ascii="Arial" w:hAnsi="Arial" w:cs="Arial"/>
        </w:rPr>
        <w:t>LCHS400</w:t>
      </w:r>
      <w:r w:rsidR="0029647A" w:rsidRPr="00FF4B10">
        <w:rPr>
          <w:rFonts w:ascii="Arial" w:hAnsi="Arial" w:cs="Arial"/>
        </w:rPr>
        <w:t>3</w:t>
      </w:r>
    </w:p>
    <w:p w14:paraId="4053F271" w14:textId="1B621A5B" w:rsidR="007512D3" w:rsidRPr="00FF4B10" w:rsidRDefault="007512D3" w:rsidP="005B7A2E">
      <w:pPr>
        <w:spacing w:line="360" w:lineRule="auto"/>
        <w:jc w:val="both"/>
        <w:rPr>
          <w:rFonts w:ascii="Arial" w:hAnsi="Arial" w:cs="Arial"/>
          <w:b/>
          <w:bCs/>
        </w:rPr>
      </w:pPr>
      <w:r w:rsidRPr="00FF4B10">
        <w:rPr>
          <w:rFonts w:ascii="Arial" w:hAnsi="Arial" w:cs="Arial"/>
          <w:b/>
          <w:bCs/>
        </w:rPr>
        <w:t xml:space="preserve">Lecturer: </w:t>
      </w:r>
      <w:r w:rsidR="0093668B" w:rsidRPr="00FF4B10">
        <w:rPr>
          <w:rFonts w:ascii="Arial" w:hAnsi="Arial" w:cs="Arial"/>
        </w:rPr>
        <w:t>Umma Suleiman</w:t>
      </w:r>
    </w:p>
    <w:p w14:paraId="6F889D9C" w14:textId="7C140767" w:rsidR="007512D3" w:rsidRPr="00FF4B10" w:rsidRDefault="007512D3" w:rsidP="005B7A2E">
      <w:pPr>
        <w:spacing w:line="360" w:lineRule="auto"/>
        <w:jc w:val="both"/>
        <w:rPr>
          <w:rFonts w:ascii="Arial" w:hAnsi="Arial" w:cs="Arial"/>
          <w:b/>
          <w:bCs/>
        </w:rPr>
      </w:pPr>
      <w:r w:rsidRPr="00FF4B10">
        <w:rPr>
          <w:rFonts w:ascii="Arial" w:hAnsi="Arial" w:cs="Arial"/>
          <w:b/>
          <w:bCs/>
        </w:rPr>
        <w:t xml:space="preserve">Assignment Title: </w:t>
      </w:r>
      <w:r w:rsidRPr="00FF4B10">
        <w:rPr>
          <w:rFonts w:ascii="Arial" w:hAnsi="Arial" w:cs="Arial"/>
        </w:rPr>
        <w:t xml:space="preserve">Component 2 – </w:t>
      </w:r>
      <w:r w:rsidR="005605DF" w:rsidRPr="00FF4B10">
        <w:rPr>
          <w:rFonts w:ascii="Arial" w:hAnsi="Arial" w:cs="Arial"/>
        </w:rPr>
        <w:t>Written Assignment</w:t>
      </w:r>
    </w:p>
    <w:p w14:paraId="67134B3A" w14:textId="77777777" w:rsidR="007512D3" w:rsidRPr="00FF4B10" w:rsidRDefault="007512D3" w:rsidP="005B7A2E">
      <w:pPr>
        <w:pStyle w:val="NoSpacing"/>
        <w:spacing w:line="360" w:lineRule="auto"/>
        <w:jc w:val="both"/>
        <w:rPr>
          <w:b/>
          <w:bCs/>
          <w:sz w:val="32"/>
          <w:szCs w:val="32"/>
        </w:rPr>
      </w:pPr>
      <w:r w:rsidRPr="00FF4B10">
        <w:rPr>
          <w:rFonts w:ascii="Arial" w:hAnsi="Arial" w:cs="Arial"/>
          <w:b/>
          <w:bCs/>
        </w:rPr>
        <w:t xml:space="preserve">Word Count: </w:t>
      </w:r>
      <w:r w:rsidRPr="00FF4B10">
        <w:rPr>
          <w:rFonts w:ascii="Arial" w:hAnsi="Arial" w:cs="Arial"/>
        </w:rPr>
        <w:t>1500 words (+/-10%)</w:t>
      </w:r>
    </w:p>
    <w:p w14:paraId="6A39DD17" w14:textId="77777777" w:rsidR="007512D3" w:rsidRDefault="007512D3" w:rsidP="005B7A2E">
      <w:pPr>
        <w:pStyle w:val="NoSpacing"/>
        <w:spacing w:line="360" w:lineRule="auto"/>
        <w:jc w:val="both"/>
      </w:pPr>
    </w:p>
    <w:p w14:paraId="2235DAEF" w14:textId="77777777" w:rsidR="00495E40" w:rsidRDefault="00495E40" w:rsidP="005B7A2E">
      <w:pPr>
        <w:pStyle w:val="NoSpacing"/>
        <w:spacing w:line="360" w:lineRule="auto"/>
        <w:jc w:val="both"/>
      </w:pPr>
    </w:p>
    <w:p w14:paraId="77618D69" w14:textId="77777777" w:rsidR="00495E40" w:rsidRDefault="00495E40" w:rsidP="007512D3">
      <w:pPr>
        <w:pStyle w:val="NoSpacing"/>
        <w:jc w:val="both"/>
      </w:pPr>
    </w:p>
    <w:p w14:paraId="2D931887" w14:textId="77777777" w:rsidR="00495E40" w:rsidRDefault="00495E40" w:rsidP="007512D3">
      <w:pPr>
        <w:pStyle w:val="NoSpacing"/>
        <w:jc w:val="both"/>
      </w:pPr>
    </w:p>
    <w:p w14:paraId="250DF20E" w14:textId="77777777" w:rsidR="00495E40" w:rsidRDefault="00495E40" w:rsidP="007512D3">
      <w:pPr>
        <w:pStyle w:val="NoSpacing"/>
        <w:jc w:val="both"/>
      </w:pPr>
    </w:p>
    <w:p w14:paraId="17F0CFBD" w14:textId="77777777" w:rsidR="00495E40" w:rsidRDefault="00495E40" w:rsidP="007512D3">
      <w:pPr>
        <w:pStyle w:val="NoSpacing"/>
        <w:jc w:val="both"/>
      </w:pPr>
    </w:p>
    <w:p w14:paraId="1926DE55" w14:textId="77777777" w:rsidR="00495E40" w:rsidRDefault="00495E40" w:rsidP="007512D3">
      <w:pPr>
        <w:pStyle w:val="NoSpacing"/>
        <w:jc w:val="both"/>
      </w:pPr>
    </w:p>
    <w:p w14:paraId="3587FA12" w14:textId="77777777" w:rsidR="00E3190C" w:rsidRDefault="00E3190C" w:rsidP="00453381">
      <w:pPr>
        <w:spacing w:line="360" w:lineRule="auto"/>
        <w:jc w:val="both"/>
        <w:rPr>
          <w:rFonts w:ascii="Arial" w:hAnsi="Arial" w:cs="Arial"/>
          <w:b/>
          <w:bCs/>
        </w:rPr>
      </w:pPr>
    </w:p>
    <w:p w14:paraId="2D6BDD1B" w14:textId="77777777" w:rsidR="00E3190C" w:rsidRDefault="00E3190C" w:rsidP="00453381">
      <w:pPr>
        <w:spacing w:line="360" w:lineRule="auto"/>
        <w:jc w:val="both"/>
        <w:rPr>
          <w:rFonts w:ascii="Arial" w:hAnsi="Arial" w:cs="Arial"/>
          <w:b/>
          <w:bCs/>
        </w:rPr>
      </w:pPr>
    </w:p>
    <w:p w14:paraId="1DB68F4B" w14:textId="77777777" w:rsidR="00E3190C" w:rsidRDefault="00E3190C" w:rsidP="00453381">
      <w:pPr>
        <w:spacing w:line="360" w:lineRule="auto"/>
        <w:jc w:val="both"/>
        <w:rPr>
          <w:rFonts w:ascii="Arial" w:hAnsi="Arial" w:cs="Arial"/>
          <w:b/>
          <w:bCs/>
        </w:rPr>
      </w:pPr>
    </w:p>
    <w:p w14:paraId="51189733" w14:textId="77777777" w:rsidR="00E3190C" w:rsidRDefault="00E3190C" w:rsidP="00453381">
      <w:pPr>
        <w:spacing w:line="360" w:lineRule="auto"/>
        <w:jc w:val="both"/>
        <w:rPr>
          <w:rFonts w:ascii="Arial" w:hAnsi="Arial" w:cs="Arial"/>
          <w:b/>
          <w:bCs/>
        </w:rPr>
      </w:pPr>
    </w:p>
    <w:p w14:paraId="7C23991F" w14:textId="77777777" w:rsidR="00E3190C" w:rsidRDefault="00E3190C" w:rsidP="00453381">
      <w:pPr>
        <w:spacing w:line="360" w:lineRule="auto"/>
        <w:jc w:val="both"/>
        <w:rPr>
          <w:rFonts w:ascii="Arial" w:hAnsi="Arial" w:cs="Arial"/>
          <w:b/>
          <w:bCs/>
        </w:rPr>
      </w:pPr>
    </w:p>
    <w:p w14:paraId="77E1E279" w14:textId="77777777" w:rsidR="00E3190C" w:rsidRDefault="00E3190C" w:rsidP="00453381">
      <w:pPr>
        <w:spacing w:line="360" w:lineRule="auto"/>
        <w:jc w:val="both"/>
        <w:rPr>
          <w:rFonts w:ascii="Arial" w:hAnsi="Arial" w:cs="Arial"/>
          <w:b/>
          <w:bCs/>
        </w:rPr>
      </w:pPr>
    </w:p>
    <w:p w14:paraId="13A6250C" w14:textId="77777777" w:rsidR="00E3190C" w:rsidRDefault="00E3190C" w:rsidP="00453381">
      <w:pPr>
        <w:spacing w:line="360" w:lineRule="auto"/>
        <w:jc w:val="both"/>
        <w:rPr>
          <w:rFonts w:ascii="Arial" w:hAnsi="Arial" w:cs="Arial"/>
          <w:b/>
          <w:bCs/>
        </w:rPr>
      </w:pPr>
    </w:p>
    <w:p w14:paraId="4696845B" w14:textId="77777777" w:rsidR="00E3190C" w:rsidRDefault="00E3190C" w:rsidP="00453381">
      <w:pPr>
        <w:spacing w:line="360" w:lineRule="auto"/>
        <w:jc w:val="both"/>
        <w:rPr>
          <w:rFonts w:ascii="Arial" w:hAnsi="Arial" w:cs="Arial"/>
          <w:b/>
          <w:bCs/>
        </w:rPr>
      </w:pPr>
    </w:p>
    <w:p w14:paraId="6A311537" w14:textId="77777777" w:rsidR="00E3190C" w:rsidRDefault="00E3190C" w:rsidP="00453381">
      <w:pPr>
        <w:spacing w:line="360" w:lineRule="auto"/>
        <w:jc w:val="both"/>
        <w:rPr>
          <w:rFonts w:ascii="Arial" w:hAnsi="Arial" w:cs="Arial"/>
          <w:b/>
          <w:bCs/>
        </w:rPr>
      </w:pPr>
    </w:p>
    <w:p w14:paraId="5F12D660" w14:textId="77777777" w:rsidR="00E3190C" w:rsidRDefault="00E3190C" w:rsidP="00453381">
      <w:pPr>
        <w:spacing w:line="360" w:lineRule="auto"/>
        <w:jc w:val="both"/>
        <w:rPr>
          <w:rFonts w:ascii="Arial" w:hAnsi="Arial" w:cs="Arial"/>
          <w:b/>
          <w:bCs/>
        </w:rPr>
      </w:pPr>
    </w:p>
    <w:p w14:paraId="3B465BE8" w14:textId="77777777" w:rsidR="00E3190C" w:rsidRDefault="00E3190C" w:rsidP="00453381">
      <w:pPr>
        <w:spacing w:line="360" w:lineRule="auto"/>
        <w:jc w:val="both"/>
        <w:rPr>
          <w:rFonts w:ascii="Arial" w:hAnsi="Arial" w:cs="Arial"/>
          <w:b/>
          <w:bCs/>
        </w:rPr>
      </w:pPr>
    </w:p>
    <w:p w14:paraId="6AE86AD5" w14:textId="77777777" w:rsidR="00E3190C" w:rsidRDefault="00E3190C" w:rsidP="00453381">
      <w:pPr>
        <w:spacing w:line="360" w:lineRule="auto"/>
        <w:jc w:val="both"/>
        <w:rPr>
          <w:rFonts w:ascii="Arial" w:hAnsi="Arial" w:cs="Arial"/>
          <w:b/>
          <w:bCs/>
        </w:rPr>
      </w:pPr>
    </w:p>
    <w:p w14:paraId="3E3CAB1B" w14:textId="77777777" w:rsidR="00E3190C" w:rsidRDefault="00E3190C" w:rsidP="00453381">
      <w:pPr>
        <w:spacing w:line="360" w:lineRule="auto"/>
        <w:jc w:val="both"/>
        <w:rPr>
          <w:rFonts w:ascii="Arial" w:hAnsi="Arial" w:cs="Arial"/>
          <w:b/>
          <w:bCs/>
        </w:rPr>
      </w:pPr>
    </w:p>
    <w:p w14:paraId="2EA3EBED" w14:textId="77777777" w:rsidR="00E3190C" w:rsidRDefault="00E3190C" w:rsidP="00453381">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9016"/>
      </w:tblGrid>
      <w:tr w:rsidR="00920D0D" w14:paraId="35F38D06" w14:textId="77777777" w:rsidTr="00920D0D">
        <w:tc>
          <w:tcPr>
            <w:tcW w:w="9016" w:type="dxa"/>
          </w:tcPr>
          <w:p w14:paraId="74407CFF" w14:textId="77777777" w:rsidR="007A5693" w:rsidRDefault="007A5693" w:rsidP="00453381">
            <w:pPr>
              <w:spacing w:line="360" w:lineRule="auto"/>
              <w:jc w:val="both"/>
              <w:rPr>
                <w:rFonts w:ascii="Arial" w:hAnsi="Arial" w:cs="Arial"/>
              </w:rPr>
            </w:pPr>
          </w:p>
          <w:p w14:paraId="21034E55" w14:textId="7B89E5C4" w:rsidR="00920D0D" w:rsidRDefault="00195C68" w:rsidP="00453381">
            <w:pPr>
              <w:spacing w:line="360" w:lineRule="auto"/>
              <w:jc w:val="both"/>
              <w:rPr>
                <w:rFonts w:ascii="Arial" w:hAnsi="Arial" w:cs="Arial"/>
              </w:rPr>
            </w:pPr>
            <w:r w:rsidRPr="000C74D8">
              <w:rPr>
                <w:rFonts w:ascii="Arial" w:hAnsi="Arial" w:cs="Arial"/>
              </w:rPr>
              <w:t xml:space="preserve">TABLE </w:t>
            </w:r>
            <w:r w:rsidR="000C74D8">
              <w:rPr>
                <w:rFonts w:ascii="Arial" w:hAnsi="Arial" w:cs="Arial"/>
              </w:rPr>
              <w:t>CONTECT</w:t>
            </w:r>
          </w:p>
          <w:p w14:paraId="403DFAC2" w14:textId="1D308021" w:rsidR="00856760" w:rsidRDefault="00B4621C" w:rsidP="00AC723E">
            <w:pPr>
              <w:spacing w:line="360" w:lineRule="auto"/>
              <w:jc w:val="both"/>
              <w:rPr>
                <w:rFonts w:ascii="Arial" w:hAnsi="Arial" w:cs="Arial"/>
              </w:rPr>
            </w:pPr>
            <w:r w:rsidRPr="00B4621C">
              <w:rPr>
                <w:rFonts w:ascii="Arial" w:hAnsi="Arial" w:cs="Arial"/>
              </w:rPr>
              <w:t>Introduction</w:t>
            </w:r>
            <w:r w:rsidR="00AC723E">
              <w:rPr>
                <w:rFonts w:ascii="Arial" w:hAnsi="Arial" w:cs="Arial"/>
              </w:rPr>
              <w:t>………………………………………………………………………….</w:t>
            </w:r>
            <w:r w:rsidR="00273D07">
              <w:rPr>
                <w:rFonts w:ascii="Arial" w:hAnsi="Arial" w:cs="Arial"/>
              </w:rPr>
              <w:t>1</w:t>
            </w:r>
            <w:r w:rsidR="00171110">
              <w:rPr>
                <w:rFonts w:ascii="Arial" w:hAnsi="Arial" w:cs="Arial"/>
              </w:rPr>
              <w:t>-</w:t>
            </w:r>
            <w:r w:rsidR="00410D0B">
              <w:rPr>
                <w:rFonts w:ascii="Arial" w:hAnsi="Arial" w:cs="Arial"/>
              </w:rPr>
              <w:t>1</w:t>
            </w:r>
            <w:r w:rsidR="006C0EEB" w:rsidRPr="00453381">
              <w:rPr>
                <w:rFonts w:ascii="Arial" w:hAnsi="Arial" w:cs="Arial"/>
                <w:b/>
                <w:bCs/>
              </w:rPr>
              <w:t xml:space="preserve"> </w:t>
            </w:r>
            <w:r w:rsidR="006C0EEB" w:rsidRPr="004D1475">
              <w:rPr>
                <w:rFonts w:ascii="Arial" w:hAnsi="Arial" w:cs="Arial"/>
              </w:rPr>
              <w:t>Importance of Effective Communication Skills in Mrs Thompson’s Care</w:t>
            </w:r>
            <w:r w:rsidR="000B5947">
              <w:rPr>
                <w:rFonts w:ascii="Arial" w:hAnsi="Arial" w:cs="Arial"/>
              </w:rPr>
              <w:t>…….</w:t>
            </w:r>
            <w:r w:rsidR="004D1475" w:rsidRPr="004D1475">
              <w:rPr>
                <w:rFonts w:ascii="Arial" w:hAnsi="Arial" w:cs="Arial"/>
              </w:rPr>
              <w:t>1-</w:t>
            </w:r>
            <w:r w:rsidR="001077E8">
              <w:rPr>
                <w:rFonts w:ascii="Arial" w:hAnsi="Arial" w:cs="Arial"/>
              </w:rPr>
              <w:t>2</w:t>
            </w:r>
          </w:p>
          <w:p w14:paraId="62EA9117" w14:textId="77777777" w:rsidR="009D7B98" w:rsidRDefault="002B15F4" w:rsidP="002B15F4">
            <w:pPr>
              <w:spacing w:line="360" w:lineRule="auto"/>
              <w:jc w:val="both"/>
              <w:rPr>
                <w:rFonts w:ascii="Arial" w:hAnsi="Arial" w:cs="Arial"/>
              </w:rPr>
            </w:pPr>
            <w:r w:rsidRPr="002B15F4">
              <w:rPr>
                <w:rFonts w:ascii="Arial" w:hAnsi="Arial" w:cs="Arial"/>
              </w:rPr>
              <w:t>Importance of Good Administrative Management: Preparation, Data Collection</w:t>
            </w:r>
          </w:p>
          <w:p w14:paraId="5FB81323" w14:textId="40C6CE8F" w:rsidR="002B15F4" w:rsidRDefault="002B15F4" w:rsidP="002B15F4">
            <w:pPr>
              <w:spacing w:line="360" w:lineRule="auto"/>
              <w:jc w:val="both"/>
              <w:rPr>
                <w:rFonts w:ascii="Arial" w:hAnsi="Arial" w:cs="Arial"/>
              </w:rPr>
            </w:pPr>
            <w:r w:rsidRPr="002B15F4">
              <w:rPr>
                <w:rFonts w:ascii="Arial" w:hAnsi="Arial" w:cs="Arial"/>
              </w:rPr>
              <w:t xml:space="preserve"> and Weighting the Data</w:t>
            </w:r>
            <w:r w:rsidR="00BC7566">
              <w:rPr>
                <w:rFonts w:ascii="Arial" w:hAnsi="Arial" w:cs="Arial"/>
              </w:rPr>
              <w:t>---------------------------------------------------------------------2</w:t>
            </w:r>
            <w:r w:rsidR="00954587">
              <w:rPr>
                <w:rFonts w:ascii="Arial" w:hAnsi="Arial" w:cs="Arial"/>
              </w:rPr>
              <w:t>-1</w:t>
            </w:r>
          </w:p>
          <w:p w14:paraId="4F97FABB" w14:textId="77777777" w:rsidR="00155A45" w:rsidRDefault="00856F69" w:rsidP="007F269C">
            <w:pPr>
              <w:spacing w:line="360" w:lineRule="auto"/>
              <w:jc w:val="both"/>
              <w:rPr>
                <w:rFonts w:ascii="Arial" w:hAnsi="Arial" w:cs="Arial"/>
              </w:rPr>
            </w:pPr>
            <w:r w:rsidRPr="006625FB">
              <w:rPr>
                <w:rFonts w:ascii="Arial" w:hAnsi="Arial" w:cs="Arial"/>
              </w:rPr>
              <w:t xml:space="preserve">Collaborative Teamwork with Inter-Professional Workers – Using Miner and </w:t>
            </w:r>
          </w:p>
          <w:p w14:paraId="7EFF8FB5" w14:textId="1678F8B2" w:rsidR="007F269C" w:rsidRDefault="00856F69" w:rsidP="007F269C">
            <w:pPr>
              <w:spacing w:line="360" w:lineRule="auto"/>
              <w:jc w:val="both"/>
              <w:rPr>
                <w:rFonts w:ascii="Arial" w:hAnsi="Arial" w:cs="Arial"/>
                <w:b/>
                <w:bCs/>
              </w:rPr>
            </w:pPr>
            <w:r w:rsidRPr="006625FB">
              <w:rPr>
                <w:rFonts w:ascii="Arial" w:hAnsi="Arial" w:cs="Arial"/>
              </w:rPr>
              <w:t>O’Byrne (</w:t>
            </w:r>
            <w:proofErr w:type="gramStart"/>
            <w:r w:rsidRPr="006625FB">
              <w:rPr>
                <w:rFonts w:ascii="Arial" w:hAnsi="Arial" w:cs="Arial"/>
              </w:rPr>
              <w:t>2002)</w:t>
            </w:r>
            <w:r w:rsidR="005265F4">
              <w:rPr>
                <w:rFonts w:ascii="Arial" w:hAnsi="Arial" w:cs="Arial"/>
              </w:rPr>
              <w:t>…</w:t>
            </w:r>
            <w:proofErr w:type="gramEnd"/>
            <w:r w:rsidR="005265F4">
              <w:rPr>
                <w:rFonts w:ascii="Arial" w:hAnsi="Arial" w:cs="Arial"/>
              </w:rPr>
              <w:t>………………………………………………………………</w:t>
            </w:r>
            <w:proofErr w:type="gramStart"/>
            <w:r w:rsidR="005265F4">
              <w:rPr>
                <w:rFonts w:ascii="Arial" w:hAnsi="Arial" w:cs="Arial"/>
              </w:rPr>
              <w:t>…</w:t>
            </w:r>
            <w:r w:rsidR="00155A45">
              <w:rPr>
                <w:rFonts w:ascii="Arial" w:hAnsi="Arial" w:cs="Arial"/>
              </w:rPr>
              <w:t>..</w:t>
            </w:r>
            <w:proofErr w:type="gramEnd"/>
            <w:r w:rsidR="004821E9">
              <w:rPr>
                <w:rFonts w:ascii="Arial" w:hAnsi="Arial" w:cs="Arial"/>
              </w:rPr>
              <w:t>3-2</w:t>
            </w:r>
          </w:p>
          <w:p w14:paraId="7477BC92" w14:textId="121AF1AD" w:rsidR="006A51DF" w:rsidRDefault="007F269C" w:rsidP="006A51DF">
            <w:pPr>
              <w:spacing w:line="360" w:lineRule="auto"/>
              <w:jc w:val="both"/>
              <w:rPr>
                <w:rFonts w:ascii="Arial" w:hAnsi="Arial" w:cs="Arial"/>
                <w:b/>
                <w:bCs/>
              </w:rPr>
            </w:pPr>
            <w:r w:rsidRPr="007F269C">
              <w:rPr>
                <w:rFonts w:ascii="Arial" w:hAnsi="Arial" w:cs="Arial"/>
              </w:rPr>
              <w:t>Conclusion</w:t>
            </w:r>
            <w:r w:rsidR="003E3DAD">
              <w:rPr>
                <w:rFonts w:ascii="Arial" w:hAnsi="Arial" w:cs="Arial"/>
              </w:rPr>
              <w:t>…………………………………………………………………………</w:t>
            </w:r>
            <w:r w:rsidR="00BE7D2A">
              <w:rPr>
                <w:rFonts w:ascii="Arial" w:hAnsi="Arial" w:cs="Arial"/>
              </w:rPr>
              <w:t>.</w:t>
            </w:r>
            <w:r w:rsidR="007C6B4F">
              <w:rPr>
                <w:rFonts w:ascii="Arial" w:hAnsi="Arial" w:cs="Arial"/>
              </w:rPr>
              <w:t>1-1</w:t>
            </w:r>
          </w:p>
          <w:p w14:paraId="308A21A1" w14:textId="187405E1" w:rsidR="006A51DF" w:rsidRPr="00B8547A" w:rsidRDefault="006A51DF" w:rsidP="006A51DF">
            <w:pPr>
              <w:spacing w:line="360" w:lineRule="auto"/>
              <w:jc w:val="both"/>
              <w:rPr>
                <w:rFonts w:ascii="Arial" w:hAnsi="Arial" w:cs="Arial"/>
              </w:rPr>
            </w:pPr>
            <w:r w:rsidRPr="00B8547A">
              <w:rPr>
                <w:rFonts w:ascii="Arial" w:hAnsi="Arial" w:cs="Arial"/>
              </w:rPr>
              <w:t>Reference List</w:t>
            </w:r>
            <w:r w:rsidR="00B8547A">
              <w:rPr>
                <w:rFonts w:ascii="Arial" w:hAnsi="Arial" w:cs="Arial"/>
              </w:rPr>
              <w:t>……………………………………………………………………….</w:t>
            </w:r>
          </w:p>
          <w:p w14:paraId="2D38FF8D" w14:textId="3E38E93E" w:rsidR="007F269C" w:rsidRDefault="007F269C" w:rsidP="007F269C">
            <w:pPr>
              <w:spacing w:line="360" w:lineRule="auto"/>
              <w:jc w:val="both"/>
              <w:rPr>
                <w:rFonts w:ascii="Arial" w:hAnsi="Arial" w:cs="Arial"/>
              </w:rPr>
            </w:pPr>
          </w:p>
          <w:p w14:paraId="3E9F290A" w14:textId="77777777" w:rsidR="006A51DF" w:rsidRPr="007F269C" w:rsidRDefault="006A51DF" w:rsidP="007F269C">
            <w:pPr>
              <w:spacing w:line="360" w:lineRule="auto"/>
              <w:jc w:val="both"/>
              <w:rPr>
                <w:rFonts w:ascii="Arial" w:hAnsi="Arial" w:cs="Arial"/>
              </w:rPr>
            </w:pPr>
          </w:p>
          <w:p w14:paraId="791A511B" w14:textId="7EB0942B" w:rsidR="00856F69" w:rsidRDefault="00856F69" w:rsidP="00856F69">
            <w:pPr>
              <w:spacing w:line="360" w:lineRule="auto"/>
              <w:jc w:val="both"/>
              <w:rPr>
                <w:rFonts w:ascii="Arial" w:hAnsi="Arial" w:cs="Arial"/>
              </w:rPr>
            </w:pPr>
          </w:p>
          <w:p w14:paraId="5CAE704B" w14:textId="77777777" w:rsidR="007F269C" w:rsidRDefault="007F269C" w:rsidP="00856F69">
            <w:pPr>
              <w:spacing w:line="360" w:lineRule="auto"/>
              <w:jc w:val="both"/>
              <w:rPr>
                <w:rFonts w:ascii="Arial" w:hAnsi="Arial" w:cs="Arial"/>
              </w:rPr>
            </w:pPr>
          </w:p>
          <w:p w14:paraId="4A7A224E" w14:textId="77777777" w:rsidR="00410D0B" w:rsidRDefault="00410D0B" w:rsidP="00856F69">
            <w:pPr>
              <w:spacing w:line="360" w:lineRule="auto"/>
              <w:jc w:val="both"/>
              <w:rPr>
                <w:rFonts w:ascii="Arial" w:hAnsi="Arial" w:cs="Arial"/>
              </w:rPr>
            </w:pPr>
          </w:p>
          <w:p w14:paraId="27244317" w14:textId="77777777" w:rsidR="00F32BC8" w:rsidRPr="006625FB" w:rsidRDefault="00F32BC8" w:rsidP="00856F69">
            <w:pPr>
              <w:spacing w:line="360" w:lineRule="auto"/>
              <w:jc w:val="both"/>
              <w:rPr>
                <w:rFonts w:ascii="Arial" w:hAnsi="Arial" w:cs="Arial"/>
              </w:rPr>
            </w:pPr>
          </w:p>
          <w:p w14:paraId="4E3493FC" w14:textId="77777777" w:rsidR="00954587" w:rsidRPr="002B15F4" w:rsidRDefault="00954587" w:rsidP="002B15F4">
            <w:pPr>
              <w:spacing w:line="360" w:lineRule="auto"/>
              <w:jc w:val="both"/>
              <w:rPr>
                <w:rFonts w:ascii="Arial" w:hAnsi="Arial" w:cs="Arial"/>
              </w:rPr>
            </w:pPr>
          </w:p>
          <w:p w14:paraId="6465F1A1" w14:textId="48BBFDAC" w:rsidR="00993478" w:rsidRPr="000C74D8" w:rsidRDefault="00993478" w:rsidP="00AC723E">
            <w:pPr>
              <w:spacing w:line="360" w:lineRule="auto"/>
              <w:jc w:val="both"/>
              <w:rPr>
                <w:rFonts w:ascii="Arial" w:hAnsi="Arial" w:cs="Arial"/>
              </w:rPr>
            </w:pPr>
          </w:p>
        </w:tc>
      </w:tr>
    </w:tbl>
    <w:p w14:paraId="215B9984" w14:textId="77777777" w:rsidR="00E3190C" w:rsidRDefault="00E3190C" w:rsidP="00453381">
      <w:pPr>
        <w:spacing w:line="360" w:lineRule="auto"/>
        <w:jc w:val="both"/>
        <w:rPr>
          <w:rFonts w:ascii="Arial" w:hAnsi="Arial" w:cs="Arial"/>
          <w:b/>
          <w:bCs/>
        </w:rPr>
      </w:pPr>
    </w:p>
    <w:p w14:paraId="44F724FD" w14:textId="77777777" w:rsidR="00E3190C" w:rsidRDefault="00E3190C" w:rsidP="00453381">
      <w:pPr>
        <w:spacing w:line="360" w:lineRule="auto"/>
        <w:jc w:val="both"/>
        <w:rPr>
          <w:rFonts w:ascii="Arial" w:hAnsi="Arial" w:cs="Arial"/>
          <w:b/>
          <w:bCs/>
        </w:rPr>
      </w:pPr>
    </w:p>
    <w:p w14:paraId="5FD9DF34" w14:textId="77777777" w:rsidR="008E6DE2" w:rsidRDefault="008E6DE2" w:rsidP="00453381">
      <w:pPr>
        <w:spacing w:line="360" w:lineRule="auto"/>
        <w:jc w:val="both"/>
        <w:rPr>
          <w:rFonts w:ascii="Arial" w:hAnsi="Arial" w:cs="Arial"/>
          <w:b/>
          <w:bCs/>
        </w:rPr>
      </w:pPr>
    </w:p>
    <w:p w14:paraId="7E772551" w14:textId="77777777" w:rsidR="008E6DE2" w:rsidRDefault="008E6DE2" w:rsidP="00453381">
      <w:pPr>
        <w:spacing w:line="360" w:lineRule="auto"/>
        <w:jc w:val="both"/>
        <w:rPr>
          <w:rFonts w:ascii="Arial" w:hAnsi="Arial" w:cs="Arial"/>
          <w:b/>
          <w:bCs/>
        </w:rPr>
      </w:pPr>
    </w:p>
    <w:p w14:paraId="0CBD05FF" w14:textId="77777777" w:rsidR="008E6DE2" w:rsidRDefault="008E6DE2" w:rsidP="00453381">
      <w:pPr>
        <w:spacing w:line="360" w:lineRule="auto"/>
        <w:jc w:val="both"/>
        <w:rPr>
          <w:rFonts w:ascii="Arial" w:hAnsi="Arial" w:cs="Arial"/>
          <w:b/>
          <w:bCs/>
        </w:rPr>
      </w:pPr>
    </w:p>
    <w:p w14:paraId="569F1417" w14:textId="77777777" w:rsidR="008E6DE2" w:rsidRDefault="008E6DE2" w:rsidP="00453381">
      <w:pPr>
        <w:spacing w:line="360" w:lineRule="auto"/>
        <w:jc w:val="both"/>
        <w:rPr>
          <w:rFonts w:ascii="Arial" w:hAnsi="Arial" w:cs="Arial"/>
          <w:b/>
          <w:bCs/>
        </w:rPr>
      </w:pPr>
    </w:p>
    <w:p w14:paraId="3CDB755C" w14:textId="77777777" w:rsidR="008E6DE2" w:rsidRDefault="008E6DE2" w:rsidP="00453381">
      <w:pPr>
        <w:spacing w:line="360" w:lineRule="auto"/>
        <w:jc w:val="both"/>
        <w:rPr>
          <w:rFonts w:ascii="Arial" w:hAnsi="Arial" w:cs="Arial"/>
          <w:b/>
          <w:bCs/>
        </w:rPr>
      </w:pPr>
    </w:p>
    <w:p w14:paraId="024C7D01" w14:textId="77777777" w:rsidR="008E6DE2" w:rsidRDefault="008E6DE2" w:rsidP="00453381">
      <w:pPr>
        <w:spacing w:line="360" w:lineRule="auto"/>
        <w:jc w:val="both"/>
        <w:rPr>
          <w:rFonts w:ascii="Arial" w:hAnsi="Arial" w:cs="Arial"/>
          <w:b/>
          <w:bCs/>
        </w:rPr>
      </w:pPr>
    </w:p>
    <w:p w14:paraId="618756B7" w14:textId="77777777" w:rsidR="008E6DE2" w:rsidRDefault="008E6DE2" w:rsidP="00453381">
      <w:pPr>
        <w:spacing w:line="360" w:lineRule="auto"/>
        <w:jc w:val="both"/>
        <w:rPr>
          <w:rFonts w:ascii="Arial" w:hAnsi="Arial" w:cs="Arial"/>
          <w:b/>
          <w:bCs/>
        </w:rPr>
      </w:pPr>
    </w:p>
    <w:p w14:paraId="1F1D9E94" w14:textId="77777777" w:rsidR="008E6DE2" w:rsidRDefault="008E6DE2" w:rsidP="00453381">
      <w:pPr>
        <w:spacing w:line="360" w:lineRule="auto"/>
        <w:jc w:val="both"/>
        <w:rPr>
          <w:rFonts w:ascii="Arial" w:hAnsi="Arial" w:cs="Arial"/>
          <w:b/>
          <w:bCs/>
        </w:rPr>
      </w:pPr>
    </w:p>
    <w:p w14:paraId="54424DD9" w14:textId="77777777" w:rsidR="008E6DE2" w:rsidRDefault="008E6DE2" w:rsidP="00453381">
      <w:pPr>
        <w:spacing w:line="360" w:lineRule="auto"/>
        <w:jc w:val="both"/>
        <w:rPr>
          <w:rFonts w:ascii="Arial" w:hAnsi="Arial" w:cs="Arial"/>
          <w:b/>
          <w:bCs/>
        </w:rPr>
      </w:pPr>
    </w:p>
    <w:p w14:paraId="441B778E" w14:textId="77777777" w:rsidR="008E6DE2" w:rsidRDefault="008E6DE2" w:rsidP="00453381">
      <w:pPr>
        <w:spacing w:line="360" w:lineRule="auto"/>
        <w:jc w:val="both"/>
        <w:rPr>
          <w:rFonts w:ascii="Arial" w:hAnsi="Arial" w:cs="Arial"/>
          <w:b/>
          <w:bCs/>
        </w:rPr>
      </w:pPr>
    </w:p>
    <w:p w14:paraId="703C1C47" w14:textId="77777777" w:rsidR="009A23AE" w:rsidRDefault="009A23AE" w:rsidP="00453381">
      <w:pPr>
        <w:spacing w:line="360" w:lineRule="auto"/>
        <w:jc w:val="both"/>
        <w:rPr>
          <w:rFonts w:ascii="Arial" w:hAnsi="Arial" w:cs="Arial"/>
          <w:b/>
          <w:bCs/>
        </w:rPr>
      </w:pPr>
    </w:p>
    <w:p w14:paraId="6E64B47C" w14:textId="694752B0" w:rsidR="00310657" w:rsidRPr="00453381" w:rsidRDefault="00310657" w:rsidP="00453381">
      <w:pPr>
        <w:spacing w:line="360" w:lineRule="auto"/>
        <w:jc w:val="both"/>
        <w:rPr>
          <w:rFonts w:ascii="Arial" w:hAnsi="Arial" w:cs="Arial"/>
          <w:b/>
          <w:bCs/>
        </w:rPr>
      </w:pPr>
      <w:r w:rsidRPr="00453381">
        <w:rPr>
          <w:rFonts w:ascii="Arial" w:hAnsi="Arial" w:cs="Arial"/>
          <w:b/>
          <w:bCs/>
        </w:rPr>
        <w:lastRenderedPageBreak/>
        <w:t>Introduction</w:t>
      </w:r>
    </w:p>
    <w:p w14:paraId="50874E85" w14:textId="286CDD61" w:rsidR="00495E40" w:rsidRPr="00453381" w:rsidRDefault="00310657" w:rsidP="00453381">
      <w:pPr>
        <w:spacing w:line="360" w:lineRule="auto"/>
        <w:jc w:val="both"/>
        <w:rPr>
          <w:rFonts w:ascii="Arial" w:hAnsi="Arial" w:cs="Arial"/>
        </w:rPr>
      </w:pPr>
      <w:r w:rsidRPr="00453381">
        <w:rPr>
          <w:rFonts w:ascii="Arial" w:hAnsi="Arial" w:cs="Arial"/>
        </w:rPr>
        <w:t>Mrs Thompson is an 84-year-old woman who is recovering from pneumonia. She lives independently in sheltered accommodation and has mild dementia. She currently receives domiciliary care twice a day. However, concerns have recently arisen after she missed some of her medication, which resulted in increased confusion. She was also found wearing clothing that was unsuitable for cold weather. These incidents led to a review of her medication and a safeguarding assessment by the local council. This report examines three important professional areas involved in supporting Mrs Thompson: effective communication in accordance with the Equality Act 2010 and the communication cycle model; appropriate administrative management involving preparation, collection of information and weighting the data when maintaining records under the Data Protection Act 2018; and collaborative working with inter-professional workers, including GPs, community nurses and housing staff. Miner and O’Byrne’s (2002) principles of collaboration are considered when examining partnership working and ways of addressing barriers. Relevant UK legislation, professional guidance and academic literature are also used to demonstrate how these approaches can promote Mrs Thompson’s dignity, safety and overall wellbeing (</w:t>
      </w:r>
      <w:proofErr w:type="spellStart"/>
      <w:r w:rsidRPr="00453381">
        <w:rPr>
          <w:rFonts w:ascii="Arial" w:hAnsi="Arial" w:cs="Arial"/>
        </w:rPr>
        <w:t>Leathard</w:t>
      </w:r>
      <w:proofErr w:type="spellEnd"/>
      <w:r w:rsidRPr="00453381">
        <w:rPr>
          <w:rFonts w:ascii="Arial" w:hAnsi="Arial" w:cs="Arial"/>
        </w:rPr>
        <w:t>, 2019; Nolte and Gilmour, 2020).</w:t>
      </w:r>
    </w:p>
    <w:p w14:paraId="524F039E" w14:textId="77777777" w:rsidR="002C33CF" w:rsidRPr="00453381" w:rsidRDefault="002C33CF" w:rsidP="00453381">
      <w:pPr>
        <w:pStyle w:val="NoSpacing"/>
        <w:spacing w:line="360" w:lineRule="auto"/>
        <w:jc w:val="both"/>
        <w:rPr>
          <w:rFonts w:ascii="Arial" w:hAnsi="Arial" w:cs="Arial"/>
        </w:rPr>
      </w:pPr>
    </w:p>
    <w:p w14:paraId="52241ABA" w14:textId="5ABB36FC" w:rsidR="00496435" w:rsidRPr="00453381" w:rsidRDefault="00496435" w:rsidP="00453381">
      <w:pPr>
        <w:spacing w:line="360" w:lineRule="auto"/>
        <w:jc w:val="both"/>
        <w:rPr>
          <w:rFonts w:ascii="Arial" w:hAnsi="Arial" w:cs="Arial"/>
          <w:b/>
          <w:bCs/>
        </w:rPr>
      </w:pPr>
      <w:r w:rsidRPr="00453381">
        <w:rPr>
          <w:rFonts w:ascii="Arial" w:hAnsi="Arial" w:cs="Arial"/>
          <w:b/>
          <w:bCs/>
        </w:rPr>
        <w:t>1. Importance of Effective Communication Skills in Mrs Thompson’s Care</w:t>
      </w:r>
    </w:p>
    <w:p w14:paraId="0FB74F05" w14:textId="6DD9CBD1" w:rsidR="00496435" w:rsidRPr="00453381" w:rsidRDefault="00496435" w:rsidP="00453381">
      <w:pPr>
        <w:spacing w:line="360" w:lineRule="auto"/>
        <w:jc w:val="both"/>
        <w:rPr>
          <w:rFonts w:ascii="Arial" w:hAnsi="Arial" w:cs="Arial"/>
        </w:rPr>
      </w:pPr>
      <w:r w:rsidRPr="00453381">
        <w:rPr>
          <w:rFonts w:ascii="Arial" w:hAnsi="Arial" w:cs="Arial"/>
        </w:rPr>
        <w:t>Effective and person-centred communication is particularly important when supporting Mrs Thompson because mild dementia can affect her short-term memory and ability to process information. Speaking too quickly, using an inappropriate tone or providing unclear instructions could</w:t>
      </w:r>
      <w:r w:rsidR="002305D8" w:rsidRPr="00453381">
        <w:rPr>
          <w:rFonts w:ascii="Arial" w:hAnsi="Arial" w:cs="Arial"/>
        </w:rPr>
        <w:t xml:space="preserve"> </w:t>
      </w:r>
      <w:r w:rsidRPr="00453381">
        <w:rPr>
          <w:rFonts w:ascii="Arial" w:hAnsi="Arial" w:cs="Arial"/>
        </w:rPr>
        <w:t>increase her anxiety and confusion. It may also contribute to problems such as forgetting medication or choosing clothing that is inappropriate for the weather. Poor communication may also prevent her from explaining when she feels unwell, uncomfortable or confused (National Institute for Health and Care Excellence [NICE], 2021).</w:t>
      </w:r>
    </w:p>
    <w:p w14:paraId="0A3BC935" w14:textId="239510B6" w:rsidR="00496435" w:rsidRPr="00453381" w:rsidRDefault="00496435" w:rsidP="00453381">
      <w:pPr>
        <w:spacing w:line="360" w:lineRule="auto"/>
        <w:jc w:val="both"/>
        <w:rPr>
          <w:rFonts w:ascii="Arial" w:hAnsi="Arial" w:cs="Arial"/>
        </w:rPr>
      </w:pPr>
      <w:r w:rsidRPr="00453381">
        <w:rPr>
          <w:rFonts w:ascii="Arial" w:hAnsi="Arial" w:cs="Arial"/>
        </w:rPr>
        <w:t>Communication should therefore be carefully planned and adapted to meet her individual needs. Nolte and Gilmour (2020) highlight the importance of preparation in effective communication. Before visiting Mrs Thompson, carers should review her care plan, reduce unnecessary distractions, prepare visual medication reminders and allow enough time for the interaction. These measures may make communication less stressful and help her understand the information being provided. Effective communication also allows Mrs Thompson to remain involved in decisions about her care while helping professionals communicate important changes to other members of the care team.</w:t>
      </w:r>
    </w:p>
    <w:p w14:paraId="2A8850E4" w14:textId="77777777" w:rsidR="00B42677" w:rsidRDefault="00B42677" w:rsidP="00453381">
      <w:pPr>
        <w:spacing w:line="360" w:lineRule="auto"/>
        <w:jc w:val="both"/>
        <w:rPr>
          <w:rFonts w:ascii="Arial" w:hAnsi="Arial" w:cs="Arial"/>
          <w:b/>
          <w:bCs/>
        </w:rPr>
      </w:pPr>
    </w:p>
    <w:p w14:paraId="2672CFCE" w14:textId="4A654802" w:rsidR="00496435" w:rsidRPr="00453381" w:rsidRDefault="00496435" w:rsidP="00453381">
      <w:pPr>
        <w:spacing w:line="360" w:lineRule="auto"/>
        <w:jc w:val="both"/>
        <w:rPr>
          <w:rFonts w:ascii="Arial" w:hAnsi="Arial" w:cs="Arial"/>
          <w:b/>
          <w:bCs/>
        </w:rPr>
      </w:pPr>
      <w:r w:rsidRPr="00453381">
        <w:rPr>
          <w:rFonts w:ascii="Arial" w:hAnsi="Arial" w:cs="Arial"/>
          <w:b/>
          <w:bCs/>
        </w:rPr>
        <w:lastRenderedPageBreak/>
        <w:t>Equality Act 2010 and Skilled Interaction</w:t>
      </w:r>
    </w:p>
    <w:p w14:paraId="5798A853" w14:textId="0B1FD6C1" w:rsidR="00496435" w:rsidRPr="00453381" w:rsidRDefault="00496435" w:rsidP="00453381">
      <w:pPr>
        <w:spacing w:line="360" w:lineRule="auto"/>
        <w:jc w:val="both"/>
        <w:rPr>
          <w:rFonts w:ascii="Arial" w:hAnsi="Arial" w:cs="Arial"/>
        </w:rPr>
      </w:pPr>
      <w:r w:rsidRPr="00453381">
        <w:rPr>
          <w:rFonts w:ascii="Arial" w:hAnsi="Arial" w:cs="Arial"/>
        </w:rPr>
        <w:t>The Equality Act 2010 protects individuals from discrimination associated with protected characteristics, including age and disability (Great Britain, 2010). In Mrs Thompson’s situation, reasonable adjustments should therefore be made to ensure that her communication needs are appropriately supported. Staff could speak clearly and slowly, use straightforward sentences, maintain appropriate eye contact and repeat information patiently when required. Visual prompts may also help reinforce important information (Nolte and Gilmour, 2020).</w:t>
      </w:r>
    </w:p>
    <w:p w14:paraId="0A3E4ADE" w14:textId="364627CC" w:rsidR="00496435" w:rsidRPr="00453381" w:rsidRDefault="00496435" w:rsidP="00453381">
      <w:pPr>
        <w:spacing w:line="360" w:lineRule="auto"/>
        <w:jc w:val="both"/>
        <w:rPr>
          <w:rFonts w:ascii="Arial" w:hAnsi="Arial" w:cs="Arial"/>
        </w:rPr>
      </w:pPr>
      <w:r w:rsidRPr="00453381">
        <w:rPr>
          <w:rFonts w:ascii="Arial" w:hAnsi="Arial" w:cs="Arial"/>
        </w:rPr>
        <w:t>Communication should remain respectful, and carers should avoid speaking to Mrs Thompson in a childish or patronising manner. She should be encouraged to participate in discussions and decisions relating to her care. Where her mental capacity varies, professionals should check that she understands the information being discussed and obtain consent whenever possible. Personal information should normally only be shared with family members with appropriate consent, unless there is a legitimate safeguarding reason that justifies information sharing (Care Act 2014, Great Britain, 2014).</w:t>
      </w:r>
    </w:p>
    <w:p w14:paraId="1F747682" w14:textId="77777777" w:rsidR="00C748B1" w:rsidRDefault="00C748B1" w:rsidP="00453381">
      <w:pPr>
        <w:spacing w:line="360" w:lineRule="auto"/>
        <w:jc w:val="both"/>
        <w:rPr>
          <w:rFonts w:ascii="Arial" w:hAnsi="Arial" w:cs="Arial"/>
          <w:b/>
          <w:bCs/>
        </w:rPr>
      </w:pPr>
    </w:p>
    <w:p w14:paraId="0B38AE23" w14:textId="61C36131" w:rsidR="00496435" w:rsidRPr="00453381" w:rsidRDefault="00496435" w:rsidP="00453381">
      <w:pPr>
        <w:spacing w:line="360" w:lineRule="auto"/>
        <w:jc w:val="both"/>
        <w:rPr>
          <w:rFonts w:ascii="Arial" w:hAnsi="Arial" w:cs="Arial"/>
          <w:b/>
          <w:bCs/>
        </w:rPr>
      </w:pPr>
      <w:r w:rsidRPr="00453381">
        <w:rPr>
          <w:rFonts w:ascii="Arial" w:hAnsi="Arial" w:cs="Arial"/>
          <w:b/>
          <w:bCs/>
        </w:rPr>
        <w:t>Applying the Communication Cycle Model</w:t>
      </w:r>
    </w:p>
    <w:p w14:paraId="77FF9930" w14:textId="187D2904" w:rsidR="00760F87" w:rsidRPr="00453381" w:rsidRDefault="00496435" w:rsidP="00453381">
      <w:pPr>
        <w:spacing w:line="360" w:lineRule="auto"/>
        <w:jc w:val="both"/>
        <w:rPr>
          <w:rFonts w:ascii="Arial" w:hAnsi="Arial" w:cs="Arial"/>
        </w:rPr>
      </w:pPr>
      <w:r w:rsidRPr="00453381">
        <w:rPr>
          <w:rFonts w:ascii="Arial" w:hAnsi="Arial" w:cs="Arial"/>
        </w:rPr>
        <w:t>The communication cycle provides a structured way of ensuring that information has been understood. The process involves a sender developing a clear message, selecting an appropriate communication method, delivering the information to the receiver and obtaining feedback. For Mrs Thompson, the carer could prepare a short and clear explanation, communicate it calmly and use visual information where appropriate. The carer should then give her sufficient time to respond and check her understanding rather than assuming that the message has been understood (Nolte and Gilmour, 2020). Using this approach consistently can make everyday care interactions more supportive and may help reduce confusion and related risks (NICE, 2021).</w:t>
      </w:r>
    </w:p>
    <w:p w14:paraId="792BEE28" w14:textId="77777777" w:rsidR="00C748B1" w:rsidRDefault="00C748B1" w:rsidP="00453381">
      <w:pPr>
        <w:spacing w:line="360" w:lineRule="auto"/>
        <w:jc w:val="both"/>
        <w:rPr>
          <w:rFonts w:ascii="Arial" w:hAnsi="Arial" w:cs="Arial"/>
          <w:b/>
          <w:bCs/>
        </w:rPr>
      </w:pPr>
    </w:p>
    <w:p w14:paraId="3D57F8F1" w14:textId="51F32DAC" w:rsidR="002D45A1" w:rsidRPr="00453381" w:rsidRDefault="00A80CB0" w:rsidP="00453381">
      <w:pPr>
        <w:spacing w:line="360" w:lineRule="auto"/>
        <w:jc w:val="both"/>
        <w:rPr>
          <w:rFonts w:ascii="Arial" w:hAnsi="Arial" w:cs="Arial"/>
          <w:b/>
          <w:bCs/>
        </w:rPr>
      </w:pPr>
      <w:r w:rsidRPr="00453381">
        <w:rPr>
          <w:rFonts w:ascii="Arial" w:hAnsi="Arial" w:cs="Arial"/>
          <w:b/>
          <w:bCs/>
        </w:rPr>
        <w:t>2. Importance of Good Administrative Management: Preparation, Data Collection and Weighting the Data</w:t>
      </w:r>
    </w:p>
    <w:p w14:paraId="036435C7" w14:textId="5E172882" w:rsidR="00A80CB0" w:rsidRPr="00453381" w:rsidRDefault="00A80CB0" w:rsidP="00453381">
      <w:pPr>
        <w:spacing w:line="360" w:lineRule="auto"/>
        <w:jc w:val="both"/>
        <w:rPr>
          <w:rFonts w:ascii="Arial" w:hAnsi="Arial" w:cs="Arial"/>
        </w:rPr>
      </w:pPr>
      <w:r w:rsidRPr="00453381">
        <w:rPr>
          <w:rFonts w:ascii="Arial" w:hAnsi="Arial" w:cs="Arial"/>
        </w:rPr>
        <w:t>Effective management of care information is an important part of safe professional practice rather than simply an administrative responsibility. Accurate records provide evidence of the care Mrs Thompson has received, allow different professionals to understand her circumstances and help identify patterns that could indicate increasing risks or changes in her condition (Care Quality Commission [CQC], 2023).</w:t>
      </w:r>
    </w:p>
    <w:p w14:paraId="781B1164" w14:textId="50E7F209" w:rsidR="00A80CB0" w:rsidRPr="00453381" w:rsidRDefault="00A80CB0" w:rsidP="00453381">
      <w:pPr>
        <w:spacing w:line="360" w:lineRule="auto"/>
        <w:jc w:val="both"/>
        <w:rPr>
          <w:rFonts w:ascii="Arial" w:hAnsi="Arial" w:cs="Arial"/>
        </w:rPr>
      </w:pPr>
      <w:r w:rsidRPr="00453381">
        <w:rPr>
          <w:rFonts w:ascii="Arial" w:hAnsi="Arial" w:cs="Arial"/>
        </w:rPr>
        <w:lastRenderedPageBreak/>
        <w:t>Preparation is an important first stage. Before each visit, carers should ensure that they have access to the correct care plan, medication administration records and relevant incident documentation. Being properly prepared allows staff to concentrate on Mrs Thompson while also ensuring that important information is recorded correctly.</w:t>
      </w:r>
    </w:p>
    <w:p w14:paraId="13FF9277" w14:textId="4C1153F2" w:rsidR="00A80CB0" w:rsidRPr="00453381" w:rsidRDefault="00A80CB0" w:rsidP="00453381">
      <w:pPr>
        <w:spacing w:line="360" w:lineRule="auto"/>
        <w:jc w:val="both"/>
        <w:rPr>
          <w:rFonts w:ascii="Arial" w:hAnsi="Arial" w:cs="Arial"/>
        </w:rPr>
      </w:pPr>
      <w:r w:rsidRPr="00453381">
        <w:rPr>
          <w:rFonts w:ascii="Arial" w:hAnsi="Arial" w:cs="Arial"/>
        </w:rPr>
        <w:t>The next stage involves collecting accurate and relevant data during each visit. Records should contain factual and objective observations, including the date and time of the visit, whether medication was taken or refused, changes in confusion, clothing choices, environmental conditions and concerns expressed by Mrs Thompson. Staff should avoid recording assumptions, unclear statements or unnecessary personal opinions (Information Commissioner’s Office [ICO], 2018).</w:t>
      </w:r>
    </w:p>
    <w:p w14:paraId="506F7E11" w14:textId="3AAC6847" w:rsidR="00A80CB0" w:rsidRPr="00453381" w:rsidRDefault="00A80CB0" w:rsidP="00453381">
      <w:pPr>
        <w:spacing w:line="360" w:lineRule="auto"/>
        <w:jc w:val="both"/>
        <w:rPr>
          <w:rFonts w:ascii="Arial" w:hAnsi="Arial" w:cs="Arial"/>
        </w:rPr>
      </w:pPr>
      <w:r w:rsidRPr="00453381">
        <w:rPr>
          <w:rFonts w:ascii="Arial" w:hAnsi="Arial" w:cs="Arial"/>
        </w:rPr>
        <w:t>Weighting the data is also important because some information carries greater significance for Mrs Thompson’s safety than routine observations. For example, repeated refusal of medication combined with increasing confusion should receive greater professional attention than an isolated minor issue. Identifying and prioritising these patterns allows concerns to be escalated promptly to the GP, community nursing team or safeguarding professionals (CQC, 2023).</w:t>
      </w:r>
    </w:p>
    <w:p w14:paraId="7AC414AF" w14:textId="77777777" w:rsidR="00CC7A0A" w:rsidRDefault="00CC7A0A" w:rsidP="00453381">
      <w:pPr>
        <w:spacing w:line="360" w:lineRule="auto"/>
        <w:jc w:val="both"/>
        <w:rPr>
          <w:rFonts w:ascii="Arial" w:hAnsi="Arial" w:cs="Arial"/>
          <w:b/>
          <w:bCs/>
        </w:rPr>
      </w:pPr>
    </w:p>
    <w:p w14:paraId="35D19F2A" w14:textId="294297BE" w:rsidR="00A80CB0" w:rsidRPr="00453381" w:rsidRDefault="00A80CB0" w:rsidP="00453381">
      <w:pPr>
        <w:spacing w:line="360" w:lineRule="auto"/>
        <w:jc w:val="both"/>
        <w:rPr>
          <w:rFonts w:ascii="Arial" w:hAnsi="Arial" w:cs="Arial"/>
          <w:b/>
          <w:bCs/>
        </w:rPr>
      </w:pPr>
      <w:r w:rsidRPr="00453381">
        <w:rPr>
          <w:rFonts w:ascii="Arial" w:hAnsi="Arial" w:cs="Arial"/>
          <w:b/>
          <w:bCs/>
        </w:rPr>
        <w:t>Compliance with Data Protection Act 2018 and Standards</w:t>
      </w:r>
    </w:p>
    <w:p w14:paraId="6C4E0655" w14:textId="54D4CCBA" w:rsidR="00A80CB0" w:rsidRPr="00453381" w:rsidRDefault="00A80CB0" w:rsidP="00453381">
      <w:pPr>
        <w:spacing w:line="360" w:lineRule="auto"/>
        <w:jc w:val="both"/>
        <w:rPr>
          <w:rFonts w:ascii="Arial" w:hAnsi="Arial" w:cs="Arial"/>
        </w:rPr>
      </w:pPr>
      <w:r w:rsidRPr="00453381">
        <w:rPr>
          <w:rFonts w:ascii="Arial" w:hAnsi="Arial" w:cs="Arial"/>
        </w:rPr>
        <w:t>The Data Protection Act 2018, alongside UK GDPR requirements, establishes important responsibilities for managing Mrs Thompson’s personal information (Great Britain, 2018; ICO, 2018). Information should be collected and processed lawfully and fairly, and staff should only record information that is relevant and necessary for her care.</w:t>
      </w:r>
    </w:p>
    <w:p w14:paraId="5EF266CC" w14:textId="7C04706A" w:rsidR="00A80CB0" w:rsidRPr="00453381" w:rsidRDefault="00A80CB0" w:rsidP="00453381">
      <w:pPr>
        <w:spacing w:line="360" w:lineRule="auto"/>
        <w:jc w:val="both"/>
        <w:rPr>
          <w:rFonts w:ascii="Arial" w:hAnsi="Arial" w:cs="Arial"/>
        </w:rPr>
      </w:pPr>
      <w:r w:rsidRPr="00453381">
        <w:rPr>
          <w:rFonts w:ascii="Arial" w:hAnsi="Arial" w:cs="Arial"/>
        </w:rPr>
        <w:t>Records must also be accurate and completed promptly. If a mistake is made, it should be corrected appropriately without hiding or deleting the original information. Confidential information should be stored securely, whether through locked paper records or protected electronic systems. Access should only be provided to authorised professionals who require the information for Mrs Thompson’s care (ICO, 2018).</w:t>
      </w:r>
    </w:p>
    <w:p w14:paraId="6D42B3BD" w14:textId="145E845E" w:rsidR="002305D8" w:rsidRPr="00453381" w:rsidRDefault="00A80CB0" w:rsidP="00453381">
      <w:pPr>
        <w:spacing w:line="360" w:lineRule="auto"/>
        <w:jc w:val="both"/>
        <w:rPr>
          <w:rFonts w:ascii="Arial" w:hAnsi="Arial" w:cs="Arial"/>
        </w:rPr>
      </w:pPr>
      <w:r w:rsidRPr="00453381">
        <w:rPr>
          <w:rFonts w:ascii="Arial" w:hAnsi="Arial" w:cs="Arial"/>
        </w:rPr>
        <w:t>Together with the safeguarding responsibilities established under the Care Act 2014 (Great Britain, 2014) and CQC standards (CQC, 2023), effective preparation, accurate data collection and appropriate weighting of significant information create a reliable record of Mrs Thompson’s care. This information can support medication reviews and safeguarding investigations while maintaining her privacy and confidentiality.</w:t>
      </w:r>
    </w:p>
    <w:p w14:paraId="5C30BD47" w14:textId="77777777" w:rsidR="00CC7A0A" w:rsidRDefault="00CC7A0A" w:rsidP="00453381">
      <w:pPr>
        <w:spacing w:line="360" w:lineRule="auto"/>
        <w:jc w:val="both"/>
        <w:rPr>
          <w:rFonts w:ascii="Arial" w:hAnsi="Arial" w:cs="Arial"/>
          <w:b/>
          <w:bCs/>
        </w:rPr>
      </w:pPr>
    </w:p>
    <w:p w14:paraId="27536A7E" w14:textId="4F5A7469" w:rsidR="000679AD" w:rsidRPr="00453381" w:rsidRDefault="000679AD" w:rsidP="00453381">
      <w:pPr>
        <w:spacing w:line="360" w:lineRule="auto"/>
        <w:jc w:val="both"/>
        <w:rPr>
          <w:rFonts w:ascii="Arial" w:hAnsi="Arial" w:cs="Arial"/>
          <w:b/>
          <w:bCs/>
        </w:rPr>
      </w:pPr>
      <w:r w:rsidRPr="00453381">
        <w:rPr>
          <w:rFonts w:ascii="Arial" w:hAnsi="Arial" w:cs="Arial"/>
          <w:b/>
          <w:bCs/>
        </w:rPr>
        <w:lastRenderedPageBreak/>
        <w:t>3. Collaborative Teamwork with Inter-Professional Workers – Using Miner and O’Byrne (2002)</w:t>
      </w:r>
    </w:p>
    <w:p w14:paraId="3578955E" w14:textId="5999BE8B" w:rsidR="000679AD" w:rsidRPr="00453381" w:rsidRDefault="000679AD" w:rsidP="00453381">
      <w:pPr>
        <w:spacing w:line="360" w:lineRule="auto"/>
        <w:jc w:val="both"/>
        <w:rPr>
          <w:rFonts w:ascii="Arial" w:hAnsi="Arial" w:cs="Arial"/>
          <w:b/>
          <w:bCs/>
        </w:rPr>
      </w:pPr>
      <w:r w:rsidRPr="00453381">
        <w:rPr>
          <w:rFonts w:ascii="Arial" w:hAnsi="Arial" w:cs="Arial"/>
          <w:b/>
          <w:bCs/>
        </w:rPr>
        <w:t>Approaches to Foster Effective Teamwork</w:t>
      </w:r>
    </w:p>
    <w:p w14:paraId="1C3578D9" w14:textId="788CE41D" w:rsidR="000679AD" w:rsidRPr="00453381" w:rsidRDefault="000679AD" w:rsidP="00453381">
      <w:pPr>
        <w:spacing w:line="360" w:lineRule="auto"/>
        <w:jc w:val="both"/>
        <w:rPr>
          <w:rFonts w:ascii="Arial" w:hAnsi="Arial" w:cs="Arial"/>
        </w:rPr>
      </w:pPr>
      <w:r w:rsidRPr="00453381">
        <w:rPr>
          <w:rFonts w:ascii="Arial" w:hAnsi="Arial" w:cs="Arial"/>
        </w:rPr>
        <w:t>Mrs Thompson’s needs cannot be managed effectively by one professional alone. Collaborative working may involve domiciliary carers, GPs, community nurses, sheltered housing staff and social workers. Each professional contributes different knowledge and skills, but they should work towards the shared objective of maintaining Mrs Thompson’s safety, independence and quality of life.</w:t>
      </w:r>
    </w:p>
    <w:p w14:paraId="5BC79192" w14:textId="172C2680" w:rsidR="000679AD" w:rsidRPr="00453381" w:rsidRDefault="000679AD" w:rsidP="00453381">
      <w:pPr>
        <w:spacing w:line="360" w:lineRule="auto"/>
        <w:jc w:val="both"/>
        <w:rPr>
          <w:rFonts w:ascii="Arial" w:hAnsi="Arial" w:cs="Arial"/>
        </w:rPr>
      </w:pPr>
      <w:r w:rsidRPr="00453381">
        <w:rPr>
          <w:rFonts w:ascii="Arial" w:hAnsi="Arial" w:cs="Arial"/>
        </w:rPr>
        <w:t xml:space="preserve">Miner and O’Byrne (2002) emphasise several principles that support successful collaboration. These include establishing shared person-centred goals, defining professional roles clearly, respecting the contribution of different workers and maintaining regular and open communication. Professionals should also be willing to discuss concerns collectively instead of making decisions entirely in isolation (Miner and O’Byrne, 2002; </w:t>
      </w:r>
      <w:proofErr w:type="spellStart"/>
      <w:r w:rsidRPr="00453381">
        <w:rPr>
          <w:rFonts w:ascii="Arial" w:hAnsi="Arial" w:cs="Arial"/>
        </w:rPr>
        <w:t>Leathard</w:t>
      </w:r>
      <w:proofErr w:type="spellEnd"/>
      <w:r w:rsidRPr="00453381">
        <w:rPr>
          <w:rFonts w:ascii="Arial" w:hAnsi="Arial" w:cs="Arial"/>
        </w:rPr>
        <w:t>, 2019).</w:t>
      </w:r>
    </w:p>
    <w:p w14:paraId="378701F9" w14:textId="295737BB" w:rsidR="000679AD" w:rsidRPr="00453381" w:rsidRDefault="000679AD" w:rsidP="00453381">
      <w:pPr>
        <w:spacing w:line="360" w:lineRule="auto"/>
        <w:jc w:val="both"/>
        <w:rPr>
          <w:rFonts w:ascii="Arial" w:hAnsi="Arial" w:cs="Arial"/>
        </w:rPr>
      </w:pPr>
      <w:r w:rsidRPr="00453381">
        <w:rPr>
          <w:rFonts w:ascii="Arial" w:hAnsi="Arial" w:cs="Arial"/>
        </w:rPr>
        <w:t>Practical approaches could include multidisciplinary case meetings, secure shared care records and identifying a named professional to coordinate communication. These measures can reduce duplication and prevent Mrs Thompson from receiving inconsistent information from different professionals (</w:t>
      </w:r>
      <w:proofErr w:type="spellStart"/>
      <w:r w:rsidRPr="00453381">
        <w:rPr>
          <w:rFonts w:ascii="Arial" w:hAnsi="Arial" w:cs="Arial"/>
        </w:rPr>
        <w:t>Leathard</w:t>
      </w:r>
      <w:proofErr w:type="spellEnd"/>
      <w:r w:rsidRPr="00453381">
        <w:rPr>
          <w:rFonts w:ascii="Arial" w:hAnsi="Arial" w:cs="Arial"/>
        </w:rPr>
        <w:t>, 2019).</w:t>
      </w:r>
    </w:p>
    <w:p w14:paraId="72D43A12" w14:textId="3CD6C0C5" w:rsidR="000679AD" w:rsidRPr="00453381" w:rsidRDefault="000679AD" w:rsidP="00453381">
      <w:pPr>
        <w:spacing w:line="360" w:lineRule="auto"/>
        <w:jc w:val="both"/>
        <w:rPr>
          <w:rFonts w:ascii="Arial" w:hAnsi="Arial" w:cs="Arial"/>
          <w:b/>
          <w:bCs/>
        </w:rPr>
      </w:pPr>
      <w:r w:rsidRPr="00453381">
        <w:rPr>
          <w:rFonts w:ascii="Arial" w:hAnsi="Arial" w:cs="Arial"/>
          <w:b/>
          <w:bCs/>
        </w:rPr>
        <w:t>Strategies to Overcome Common Barriers</w:t>
      </w:r>
    </w:p>
    <w:p w14:paraId="6ADF7EDC" w14:textId="285C038F" w:rsidR="00030D26" w:rsidRPr="00453381" w:rsidRDefault="000679AD" w:rsidP="00453381">
      <w:pPr>
        <w:spacing w:line="360" w:lineRule="auto"/>
        <w:jc w:val="both"/>
        <w:rPr>
          <w:rFonts w:ascii="Arial" w:hAnsi="Arial" w:cs="Arial"/>
        </w:rPr>
      </w:pPr>
      <w:r w:rsidRPr="00453381">
        <w:rPr>
          <w:rFonts w:ascii="Arial" w:hAnsi="Arial" w:cs="Arial"/>
        </w:rPr>
        <w:t>Several difficulties may affect collaborative working. Different working patterns may make it difficult for professionals to attend meetings together. Organisations may also use different electronic systems, which can delay information sharing. Professional boundaries may result in observations from domiciliary carers being undervalued, while administrative delays may affect the speed of safeguarding responses.</w:t>
      </w:r>
    </w:p>
    <w:p w14:paraId="10F6FBC4" w14:textId="17B23790" w:rsidR="000679AD" w:rsidRPr="00453381" w:rsidRDefault="000679AD" w:rsidP="00453381">
      <w:pPr>
        <w:spacing w:line="360" w:lineRule="auto"/>
        <w:jc w:val="both"/>
        <w:rPr>
          <w:rFonts w:ascii="Arial" w:hAnsi="Arial" w:cs="Arial"/>
        </w:rPr>
      </w:pPr>
      <w:r w:rsidRPr="00453381">
        <w:rPr>
          <w:rFonts w:ascii="Arial" w:hAnsi="Arial" w:cs="Arial"/>
        </w:rPr>
        <w:t>Using Miner and O’Byrne’s (2002) collaborative approach, these difficulties can be addressed through short virtual meetings, agreed procedures for reporting urgent concerns and joint dementia training to strengthen understanding between professionals. High-priority information, such as repeated missed medication or significant confusion, should be communicated promptly through established urgent reporting pathways. Communication attempts and delays should also be documented appropriately (Miner and O’Byrne, 2002).</w:t>
      </w:r>
    </w:p>
    <w:p w14:paraId="7FF30A90" w14:textId="77777777" w:rsidR="009A23AE" w:rsidRDefault="000679AD" w:rsidP="00453381">
      <w:pPr>
        <w:spacing w:line="360" w:lineRule="auto"/>
        <w:jc w:val="both"/>
        <w:rPr>
          <w:rFonts w:ascii="Arial" w:hAnsi="Arial" w:cs="Arial"/>
        </w:rPr>
      </w:pPr>
      <w:r w:rsidRPr="00453381">
        <w:rPr>
          <w:rFonts w:ascii="Arial" w:hAnsi="Arial" w:cs="Arial"/>
        </w:rPr>
        <w:t>When professionals communicate effectively, understand their responsibilities and respect each other’s contribution, Mrs Thompson is more likely to receive coordinated rather than fragmented care. This can support her ability to remain safely and independently within her sheltered accommodation (</w:t>
      </w:r>
      <w:proofErr w:type="spellStart"/>
      <w:r w:rsidRPr="00453381">
        <w:rPr>
          <w:rFonts w:ascii="Arial" w:hAnsi="Arial" w:cs="Arial"/>
        </w:rPr>
        <w:t>Leathard</w:t>
      </w:r>
      <w:proofErr w:type="spellEnd"/>
      <w:r w:rsidRPr="00453381">
        <w:rPr>
          <w:rFonts w:ascii="Arial" w:hAnsi="Arial" w:cs="Arial"/>
        </w:rPr>
        <w:t>, 2019).</w:t>
      </w:r>
    </w:p>
    <w:p w14:paraId="6E0C8EE2" w14:textId="2D46608F" w:rsidR="00851492" w:rsidRPr="009A23AE" w:rsidRDefault="00851492" w:rsidP="00453381">
      <w:pPr>
        <w:spacing w:line="360" w:lineRule="auto"/>
        <w:jc w:val="both"/>
        <w:rPr>
          <w:rFonts w:ascii="Arial" w:hAnsi="Arial" w:cs="Arial"/>
        </w:rPr>
      </w:pPr>
      <w:r w:rsidRPr="00453381">
        <w:rPr>
          <w:rFonts w:ascii="Arial" w:hAnsi="Arial" w:cs="Arial"/>
          <w:b/>
          <w:bCs/>
        </w:rPr>
        <w:lastRenderedPageBreak/>
        <w:t>Conclusion</w:t>
      </w:r>
    </w:p>
    <w:p w14:paraId="5AFDCE78" w14:textId="72D26CBC" w:rsidR="00851492" w:rsidRPr="00453381" w:rsidRDefault="00851492" w:rsidP="00453381">
      <w:pPr>
        <w:spacing w:line="360" w:lineRule="auto"/>
        <w:jc w:val="both"/>
        <w:rPr>
          <w:rFonts w:ascii="Arial" w:hAnsi="Arial" w:cs="Arial"/>
        </w:rPr>
      </w:pPr>
      <w:r w:rsidRPr="00453381">
        <w:rPr>
          <w:rFonts w:ascii="Arial" w:hAnsi="Arial" w:cs="Arial"/>
        </w:rPr>
        <w:t>The care provided to Mrs Thompson demonstrates the importance of combining effective communication, preparation, accurate data collection, appropriate weighting of important information and collaborative inter-professional working. These responsibilities should be carried out in accordance with legislation such as the Equality Act 2010 (Great Britain, 2010) and Data Protection Act 2018 (Great Britain, 2018), alongside the collaborative principles identified by Miner and O’Byrne (2002). Communication adapted to Mrs Thompson’s cognitive needs can protect her dignity and involvement in care decisions (Nolte and Gilmour, 2020). Effective administrative management allows professionals to recognise and prioritise patterns of concern (ICO, 2018), while coordinated teamwork reduces the risk of important information being overlooked (Miner and O’Byrne, 2002). Together, these professional practices can protect Mrs Thompson from avoidable harm while supporting her independence and wellbeing.</w:t>
      </w:r>
    </w:p>
    <w:p w14:paraId="62F2F760" w14:textId="77777777" w:rsidR="00447270" w:rsidRDefault="00447270" w:rsidP="00453381">
      <w:pPr>
        <w:spacing w:line="360" w:lineRule="auto"/>
        <w:jc w:val="both"/>
        <w:rPr>
          <w:rFonts w:ascii="Arial" w:hAnsi="Arial" w:cs="Arial"/>
          <w:b/>
          <w:bCs/>
        </w:rPr>
      </w:pPr>
    </w:p>
    <w:p w14:paraId="5AB1E687" w14:textId="77777777" w:rsidR="00447270" w:rsidRDefault="00447270" w:rsidP="00453381">
      <w:pPr>
        <w:spacing w:line="360" w:lineRule="auto"/>
        <w:jc w:val="both"/>
        <w:rPr>
          <w:rFonts w:ascii="Arial" w:hAnsi="Arial" w:cs="Arial"/>
          <w:b/>
          <w:bCs/>
        </w:rPr>
      </w:pPr>
    </w:p>
    <w:p w14:paraId="08A32760" w14:textId="77777777" w:rsidR="00447270" w:rsidRDefault="00447270" w:rsidP="00453381">
      <w:pPr>
        <w:spacing w:line="360" w:lineRule="auto"/>
        <w:jc w:val="both"/>
        <w:rPr>
          <w:rFonts w:ascii="Arial" w:hAnsi="Arial" w:cs="Arial"/>
          <w:b/>
          <w:bCs/>
        </w:rPr>
      </w:pPr>
    </w:p>
    <w:p w14:paraId="507B4FF3" w14:textId="77777777" w:rsidR="00447270" w:rsidRDefault="00447270" w:rsidP="00453381">
      <w:pPr>
        <w:spacing w:line="360" w:lineRule="auto"/>
        <w:jc w:val="both"/>
        <w:rPr>
          <w:rFonts w:ascii="Arial" w:hAnsi="Arial" w:cs="Arial"/>
          <w:b/>
          <w:bCs/>
        </w:rPr>
      </w:pPr>
    </w:p>
    <w:p w14:paraId="6F3C0B5F" w14:textId="762A513C" w:rsidR="00DE6847" w:rsidRPr="00453381" w:rsidRDefault="00DE6847" w:rsidP="00453381">
      <w:pPr>
        <w:spacing w:line="360" w:lineRule="auto"/>
        <w:jc w:val="both"/>
        <w:rPr>
          <w:rFonts w:ascii="Arial" w:hAnsi="Arial" w:cs="Arial"/>
        </w:rPr>
      </w:pPr>
      <w:r w:rsidRPr="00453381">
        <w:rPr>
          <w:rFonts w:ascii="Arial" w:hAnsi="Arial" w:cs="Arial"/>
          <w:b/>
          <w:bCs/>
        </w:rPr>
        <w:t>Reference List</w:t>
      </w:r>
    </w:p>
    <w:p w14:paraId="7F7CD75A" w14:textId="1149AA88" w:rsidR="004B4D5C" w:rsidRPr="00453381" w:rsidRDefault="00080446" w:rsidP="00453381">
      <w:pPr>
        <w:spacing w:line="360" w:lineRule="auto"/>
        <w:jc w:val="both"/>
        <w:rPr>
          <w:rFonts w:ascii="Arial" w:hAnsi="Arial" w:cs="Arial"/>
        </w:rPr>
      </w:pPr>
      <w:r w:rsidRPr="00453381">
        <w:rPr>
          <w:rFonts w:ascii="Arial" w:hAnsi="Arial" w:cs="Arial"/>
        </w:rPr>
        <w:t xml:space="preserve">Care Quality Commission (2023) Regulation 17: Good Governance – Guidance on Record-Keeping and Compliance. London: CQC. Available at </w:t>
      </w:r>
      <w:hyperlink r:id="rId11" w:history="1">
        <w:r w:rsidR="007D29C4" w:rsidRPr="00453381">
          <w:rPr>
            <w:rStyle w:val="Hyperlink"/>
            <w:rFonts w:ascii="Arial" w:hAnsi="Arial" w:cs="Arial"/>
          </w:rPr>
          <w:t>https://www.cqc.org.uk/guidance-providers/regulations/regulation-17-good-governance</w:t>
        </w:r>
      </w:hyperlink>
      <w:r w:rsidR="007D29C4" w:rsidRPr="00453381">
        <w:rPr>
          <w:rFonts w:ascii="Arial" w:hAnsi="Arial" w:cs="Arial"/>
        </w:rPr>
        <w:t xml:space="preserve"> </w:t>
      </w:r>
    </w:p>
    <w:p w14:paraId="6E04A439" w14:textId="61545F99" w:rsidR="00D52CC6" w:rsidRPr="00453381" w:rsidRDefault="00D52CC6" w:rsidP="00453381">
      <w:pPr>
        <w:spacing w:line="360" w:lineRule="auto"/>
        <w:jc w:val="both"/>
        <w:rPr>
          <w:rFonts w:ascii="Arial" w:hAnsi="Arial" w:cs="Arial"/>
        </w:rPr>
      </w:pPr>
      <w:r w:rsidRPr="00453381">
        <w:rPr>
          <w:rFonts w:ascii="Arial" w:hAnsi="Arial" w:cs="Arial"/>
        </w:rPr>
        <w:t>Great Britain (2010) Equality Act 2010. London: The Stationery Office. Available at:</w:t>
      </w:r>
      <w:r w:rsidR="00FA5D19" w:rsidRPr="00453381">
        <w:rPr>
          <w:rFonts w:ascii="Arial" w:hAnsi="Arial" w:cs="Arial"/>
        </w:rPr>
        <w:t xml:space="preserve"> </w:t>
      </w:r>
      <w:hyperlink r:id="rId12" w:history="1">
        <w:r w:rsidR="009B6958" w:rsidRPr="00453381">
          <w:rPr>
            <w:rStyle w:val="Hyperlink"/>
            <w:rFonts w:ascii="Arial" w:hAnsi="Arial" w:cs="Arial"/>
          </w:rPr>
          <w:t>https://www.legislation.gov.uk/ukpga/2014/23/contents</w:t>
        </w:r>
      </w:hyperlink>
      <w:r w:rsidR="009B6958" w:rsidRPr="00453381">
        <w:rPr>
          <w:rFonts w:ascii="Arial" w:hAnsi="Arial" w:cs="Arial"/>
        </w:rPr>
        <w:t xml:space="preserve"> </w:t>
      </w:r>
    </w:p>
    <w:p w14:paraId="5A7A441A" w14:textId="0F30A0D2" w:rsidR="00065C11" w:rsidRPr="00453381" w:rsidRDefault="00065C11" w:rsidP="00453381">
      <w:pPr>
        <w:spacing w:line="360" w:lineRule="auto"/>
        <w:jc w:val="both"/>
        <w:rPr>
          <w:rFonts w:ascii="Arial" w:hAnsi="Arial" w:cs="Arial"/>
        </w:rPr>
      </w:pPr>
      <w:r w:rsidRPr="00453381">
        <w:rPr>
          <w:rFonts w:ascii="Arial" w:hAnsi="Arial" w:cs="Arial"/>
        </w:rPr>
        <w:t>Great Britain (2014) The Care Act 2014. London: The Stationery Office. Available at:</w:t>
      </w:r>
      <w:r w:rsidR="00CD114E" w:rsidRPr="00453381">
        <w:rPr>
          <w:rFonts w:ascii="Arial" w:hAnsi="Arial" w:cs="Arial"/>
        </w:rPr>
        <w:t xml:space="preserve"> </w:t>
      </w:r>
      <w:hyperlink r:id="rId13" w:history="1">
        <w:r w:rsidR="009B55E8" w:rsidRPr="00453381">
          <w:rPr>
            <w:rStyle w:val="Hyperlink"/>
            <w:rFonts w:ascii="Arial" w:hAnsi="Arial" w:cs="Arial"/>
          </w:rPr>
          <w:t>https://www.legislation.gov.uk/ukpga/2018/12/contents</w:t>
        </w:r>
      </w:hyperlink>
    </w:p>
    <w:p w14:paraId="1C4DD272" w14:textId="3C5059B4" w:rsidR="00617347" w:rsidRPr="00453381" w:rsidRDefault="009270B1" w:rsidP="00453381">
      <w:pPr>
        <w:spacing w:line="360" w:lineRule="auto"/>
        <w:jc w:val="both"/>
        <w:rPr>
          <w:rFonts w:ascii="Arial" w:hAnsi="Arial" w:cs="Arial"/>
        </w:rPr>
      </w:pPr>
      <w:r w:rsidRPr="00453381">
        <w:rPr>
          <w:rFonts w:ascii="Arial" w:hAnsi="Arial" w:cs="Arial"/>
        </w:rPr>
        <w:t xml:space="preserve">Great Britain (2018) Data Protection Act 2018. London: The Stationery Office. Available at: </w:t>
      </w:r>
      <w:hyperlink r:id="rId14" w:history="1">
        <w:r w:rsidR="008F0D83" w:rsidRPr="00453381">
          <w:rPr>
            <w:rStyle w:val="Hyperlink"/>
            <w:rFonts w:ascii="Arial" w:hAnsi="Arial" w:cs="Arial"/>
          </w:rPr>
          <w:t>https://www.legislation.gov.uk/ukpga/2018/12/contents</w:t>
        </w:r>
      </w:hyperlink>
      <w:r w:rsidR="00411221" w:rsidRPr="00453381">
        <w:rPr>
          <w:rFonts w:ascii="Arial" w:hAnsi="Arial" w:cs="Arial"/>
        </w:rPr>
        <w:t xml:space="preserve"> </w:t>
      </w:r>
    </w:p>
    <w:p w14:paraId="76C3E46E" w14:textId="79967926" w:rsidR="00411221" w:rsidRPr="00453381" w:rsidRDefault="00045DAA" w:rsidP="00453381">
      <w:pPr>
        <w:spacing w:line="360" w:lineRule="auto"/>
        <w:jc w:val="both"/>
        <w:rPr>
          <w:rFonts w:ascii="Arial" w:hAnsi="Arial" w:cs="Arial"/>
        </w:rPr>
      </w:pPr>
      <w:r w:rsidRPr="00453381">
        <w:rPr>
          <w:rFonts w:ascii="Arial" w:hAnsi="Arial" w:cs="Arial"/>
        </w:rPr>
        <w:t xml:space="preserve">Information Commissioner’s Office (2018) Guide to the Data Protection Act 2018 &amp; UK GDPR in Health and Social Care. Wilmslow: ICO Publications. Available at: </w:t>
      </w:r>
      <w:hyperlink r:id="rId15" w:history="1">
        <w:r w:rsidR="00D1286F" w:rsidRPr="00453381">
          <w:rPr>
            <w:rStyle w:val="Hyperlink"/>
            <w:rFonts w:ascii="Arial" w:hAnsi="Arial" w:cs="Arial"/>
          </w:rPr>
          <w:t>https://ico.org.uk/for-organisations/uk-gdpr-guidance-and-resources/</w:t>
        </w:r>
      </w:hyperlink>
    </w:p>
    <w:p w14:paraId="0DDA5CC0" w14:textId="1352EC90" w:rsidR="00D1286F" w:rsidRPr="00453381" w:rsidRDefault="0065375E" w:rsidP="00453381">
      <w:pPr>
        <w:spacing w:line="360" w:lineRule="auto"/>
        <w:jc w:val="both"/>
        <w:rPr>
          <w:rFonts w:ascii="Arial" w:hAnsi="Arial" w:cs="Arial"/>
        </w:rPr>
      </w:pPr>
      <w:proofErr w:type="spellStart"/>
      <w:r w:rsidRPr="00453381">
        <w:rPr>
          <w:rFonts w:ascii="Arial" w:hAnsi="Arial" w:cs="Arial"/>
        </w:rPr>
        <w:t>Leathard</w:t>
      </w:r>
      <w:proofErr w:type="spellEnd"/>
      <w:r w:rsidRPr="00453381">
        <w:rPr>
          <w:rFonts w:ascii="Arial" w:hAnsi="Arial" w:cs="Arial"/>
        </w:rPr>
        <w:t xml:space="preserve">, A. (2019) Inter-Agency Collaboration in Health and Social Care: Making Partnership Work. 2nd </w:t>
      </w:r>
      <w:proofErr w:type="spellStart"/>
      <w:r w:rsidRPr="00453381">
        <w:rPr>
          <w:rFonts w:ascii="Arial" w:hAnsi="Arial" w:cs="Arial"/>
        </w:rPr>
        <w:t>edn</w:t>
      </w:r>
      <w:proofErr w:type="spellEnd"/>
      <w:r w:rsidRPr="00453381">
        <w:rPr>
          <w:rFonts w:ascii="Arial" w:hAnsi="Arial" w:cs="Arial"/>
        </w:rPr>
        <w:t>. Bristol: Policy Press.</w:t>
      </w:r>
    </w:p>
    <w:p w14:paraId="453EA23A" w14:textId="4C790783" w:rsidR="00490E0E" w:rsidRPr="00453381" w:rsidRDefault="00490E0E" w:rsidP="00453381">
      <w:pPr>
        <w:spacing w:line="360" w:lineRule="auto"/>
        <w:jc w:val="both"/>
        <w:rPr>
          <w:rFonts w:ascii="Arial" w:hAnsi="Arial" w:cs="Arial"/>
        </w:rPr>
      </w:pPr>
      <w:r w:rsidRPr="00453381">
        <w:rPr>
          <w:rFonts w:ascii="Arial" w:hAnsi="Arial" w:cs="Arial"/>
        </w:rPr>
        <w:lastRenderedPageBreak/>
        <w:t>Miner, F. and O’Byrne, K. (2002) Interprofessional Collaboration in Health and Social Care: Working Together for Better Outcomes. Edinburgh: Bailliere Tindall.</w:t>
      </w:r>
    </w:p>
    <w:p w14:paraId="38BA32D3" w14:textId="55971F10" w:rsidR="005E4DF9" w:rsidRPr="00453381" w:rsidRDefault="00490E0E" w:rsidP="00453381">
      <w:pPr>
        <w:spacing w:line="360" w:lineRule="auto"/>
        <w:jc w:val="both"/>
        <w:rPr>
          <w:rFonts w:ascii="Arial" w:hAnsi="Arial" w:cs="Arial"/>
        </w:rPr>
      </w:pPr>
      <w:r w:rsidRPr="00453381">
        <w:rPr>
          <w:rFonts w:ascii="Arial" w:hAnsi="Arial" w:cs="Arial"/>
        </w:rPr>
        <w:t xml:space="preserve">National Institute for Health and Care Excellence (2021) NG97: Dementia: Assessment, Management and Support for People Living with Dementia. London: NICE. Available at: </w:t>
      </w:r>
      <w:hyperlink r:id="rId16" w:history="1">
        <w:r w:rsidR="00802A3D" w:rsidRPr="00453381">
          <w:rPr>
            <w:rStyle w:val="Hyperlink"/>
            <w:rFonts w:ascii="Arial" w:hAnsi="Arial" w:cs="Arial"/>
          </w:rPr>
          <w:t>https://www.nice.org.uk/guidance/ng97</w:t>
        </w:r>
      </w:hyperlink>
    </w:p>
    <w:p w14:paraId="3D1BFB68" w14:textId="5A3C88CA" w:rsidR="006E7FDB" w:rsidRPr="00453381" w:rsidRDefault="005E4DF9" w:rsidP="00453381">
      <w:pPr>
        <w:spacing w:line="360" w:lineRule="auto"/>
        <w:jc w:val="both"/>
        <w:rPr>
          <w:rFonts w:ascii="Arial" w:hAnsi="Arial" w:cs="Arial"/>
        </w:rPr>
      </w:pPr>
      <w:r w:rsidRPr="00453381">
        <w:rPr>
          <w:rFonts w:ascii="Arial" w:hAnsi="Arial" w:cs="Arial"/>
        </w:rPr>
        <w:t xml:space="preserve">Nolte, L. and Gilmour, J. (2020) Communication in Nursing and Healthcare: A Guide for Practitioners. 3rd </w:t>
      </w:r>
      <w:proofErr w:type="spellStart"/>
      <w:r w:rsidRPr="00453381">
        <w:rPr>
          <w:rFonts w:ascii="Arial" w:hAnsi="Arial" w:cs="Arial"/>
        </w:rPr>
        <w:t>edn</w:t>
      </w:r>
      <w:proofErr w:type="spellEnd"/>
      <w:r w:rsidRPr="00453381">
        <w:rPr>
          <w:rFonts w:ascii="Arial" w:hAnsi="Arial" w:cs="Arial"/>
        </w:rPr>
        <w:t>. Oxford: Oxford University Press.</w:t>
      </w:r>
    </w:p>
    <w:p w14:paraId="142337FB" w14:textId="77777777" w:rsidR="006E7FDB" w:rsidRDefault="006E7FDB" w:rsidP="00F26F02">
      <w:pPr>
        <w:jc w:val="both"/>
        <w:rPr>
          <w:b/>
          <w:bCs/>
        </w:rPr>
      </w:pPr>
    </w:p>
    <w:p w14:paraId="4EEA08E8" w14:textId="77777777" w:rsidR="006E7FDB" w:rsidRDefault="006E7FDB" w:rsidP="00F26F02">
      <w:pPr>
        <w:jc w:val="both"/>
        <w:rPr>
          <w:b/>
          <w:bCs/>
        </w:rPr>
      </w:pPr>
    </w:p>
    <w:p w14:paraId="44F2887B" w14:textId="77777777" w:rsidR="006E7FDB" w:rsidRDefault="006E7FDB" w:rsidP="00F26F02">
      <w:pPr>
        <w:jc w:val="both"/>
        <w:rPr>
          <w:b/>
          <w:bCs/>
        </w:rPr>
      </w:pPr>
    </w:p>
    <w:p w14:paraId="450DFED0" w14:textId="77777777" w:rsidR="006E7FDB" w:rsidRDefault="006E7FDB" w:rsidP="00F26F02">
      <w:pPr>
        <w:jc w:val="both"/>
        <w:rPr>
          <w:b/>
          <w:bCs/>
        </w:rPr>
      </w:pPr>
    </w:p>
    <w:p w14:paraId="13DE6320" w14:textId="77777777" w:rsidR="006E7FDB" w:rsidRDefault="006E7FDB" w:rsidP="00F26F02">
      <w:pPr>
        <w:jc w:val="both"/>
        <w:rPr>
          <w:b/>
          <w:bCs/>
        </w:rPr>
      </w:pPr>
    </w:p>
    <w:p w14:paraId="2E8B5A08" w14:textId="77777777" w:rsidR="006E7FDB" w:rsidRDefault="006E7FDB" w:rsidP="00F26F02">
      <w:pPr>
        <w:jc w:val="both"/>
        <w:rPr>
          <w:b/>
          <w:bCs/>
        </w:rPr>
      </w:pPr>
    </w:p>
    <w:p w14:paraId="148B74A2" w14:textId="77777777" w:rsidR="006E7FDB" w:rsidRDefault="006E7FDB" w:rsidP="00F26F02">
      <w:pPr>
        <w:jc w:val="both"/>
        <w:rPr>
          <w:b/>
          <w:bCs/>
        </w:rPr>
      </w:pPr>
    </w:p>
    <w:p w14:paraId="104E154F" w14:textId="77777777" w:rsidR="006E7FDB" w:rsidRDefault="006E7FDB" w:rsidP="00F26F02">
      <w:pPr>
        <w:jc w:val="both"/>
        <w:rPr>
          <w:b/>
          <w:bCs/>
        </w:rPr>
      </w:pPr>
    </w:p>
    <w:p w14:paraId="367FA10E" w14:textId="77777777" w:rsidR="006E7FDB" w:rsidRDefault="006E7FDB" w:rsidP="00F26F02">
      <w:pPr>
        <w:jc w:val="both"/>
        <w:rPr>
          <w:b/>
          <w:bCs/>
        </w:rPr>
      </w:pPr>
    </w:p>
    <w:p w14:paraId="47161161" w14:textId="77777777" w:rsidR="006E7FDB" w:rsidRDefault="006E7FDB" w:rsidP="00F26F02">
      <w:pPr>
        <w:jc w:val="both"/>
        <w:rPr>
          <w:b/>
          <w:bCs/>
        </w:rPr>
      </w:pPr>
    </w:p>
    <w:p w14:paraId="4CF7338F" w14:textId="77777777" w:rsidR="006E7FDB" w:rsidRDefault="006E7FDB" w:rsidP="00F26F02">
      <w:pPr>
        <w:jc w:val="both"/>
        <w:rPr>
          <w:b/>
          <w:bCs/>
        </w:rPr>
      </w:pPr>
    </w:p>
    <w:p w14:paraId="0B878ECC" w14:textId="77777777" w:rsidR="006E7FDB" w:rsidRDefault="006E7FDB" w:rsidP="00F26F02">
      <w:pPr>
        <w:jc w:val="both"/>
        <w:rPr>
          <w:b/>
          <w:bCs/>
        </w:rPr>
      </w:pPr>
    </w:p>
    <w:p w14:paraId="788364FD" w14:textId="77777777" w:rsidR="006E7FDB" w:rsidRDefault="006E7FDB" w:rsidP="00F26F02">
      <w:pPr>
        <w:jc w:val="both"/>
        <w:rPr>
          <w:b/>
          <w:bCs/>
        </w:rPr>
      </w:pPr>
    </w:p>
    <w:p w14:paraId="4829E632" w14:textId="77777777" w:rsidR="006E7FDB" w:rsidRDefault="006E7FDB" w:rsidP="00F26F02">
      <w:pPr>
        <w:jc w:val="both"/>
        <w:rPr>
          <w:b/>
          <w:bCs/>
        </w:rPr>
      </w:pPr>
    </w:p>
    <w:p w14:paraId="2700F3E0" w14:textId="77777777" w:rsidR="006E7FDB" w:rsidRDefault="006E7FDB" w:rsidP="00F26F02">
      <w:pPr>
        <w:jc w:val="both"/>
        <w:rPr>
          <w:b/>
          <w:bCs/>
        </w:rPr>
      </w:pPr>
    </w:p>
    <w:p w14:paraId="7BFFFBEC" w14:textId="77777777" w:rsidR="006E7FDB" w:rsidRDefault="006E7FDB" w:rsidP="00F26F02">
      <w:pPr>
        <w:jc w:val="both"/>
        <w:rPr>
          <w:b/>
          <w:bCs/>
        </w:rPr>
      </w:pPr>
    </w:p>
    <w:p w14:paraId="43B9A8F1" w14:textId="77777777" w:rsidR="006E7FDB" w:rsidRDefault="006E7FDB" w:rsidP="00F26F02">
      <w:pPr>
        <w:jc w:val="both"/>
        <w:rPr>
          <w:b/>
          <w:bCs/>
        </w:rPr>
      </w:pPr>
    </w:p>
    <w:p w14:paraId="569F1303" w14:textId="77777777" w:rsidR="00393C2B" w:rsidRDefault="00393C2B" w:rsidP="00393C2B">
      <w:pPr>
        <w:pStyle w:val="NoSpacing"/>
        <w:jc w:val="both"/>
      </w:pPr>
    </w:p>
    <w:p w14:paraId="2FA92E63" w14:textId="77777777" w:rsidR="00393C2B" w:rsidRDefault="00393C2B" w:rsidP="00393C2B">
      <w:pPr>
        <w:pStyle w:val="NoSpacing"/>
        <w:jc w:val="both"/>
      </w:pPr>
    </w:p>
    <w:p w14:paraId="08654CB5" w14:textId="77777777" w:rsidR="00393C2B" w:rsidRDefault="00393C2B" w:rsidP="00393C2B">
      <w:pPr>
        <w:pStyle w:val="NoSpacing"/>
        <w:jc w:val="both"/>
      </w:pPr>
    </w:p>
    <w:p w14:paraId="0373CA63" w14:textId="77777777" w:rsidR="005C3882" w:rsidRDefault="005C3882" w:rsidP="006F727D">
      <w:pPr>
        <w:pStyle w:val="TOCHeading"/>
        <w:jc w:val="both"/>
        <w:rPr>
          <w:b/>
          <w:bCs/>
          <w:sz w:val="22"/>
          <w:szCs w:val="22"/>
        </w:rPr>
      </w:pPr>
    </w:p>
    <w:p w14:paraId="59C01232" w14:textId="2FF78F15" w:rsidR="006F7DB6" w:rsidRPr="00956238" w:rsidRDefault="006F7DB6" w:rsidP="00DD4E6F">
      <w:pPr>
        <w:pStyle w:val="NoSpacing"/>
        <w:jc w:val="both"/>
        <w:rPr>
          <w:rFonts w:ascii="Arial" w:hAnsi="Arial" w:cs="Arial"/>
        </w:rPr>
      </w:pPr>
    </w:p>
    <w:sectPr w:rsidR="006F7DB6" w:rsidRPr="009562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5B4AE" w14:textId="77777777" w:rsidR="002211DC" w:rsidRDefault="002211DC" w:rsidP="003907B9">
      <w:pPr>
        <w:spacing w:after="0" w:line="240" w:lineRule="auto"/>
      </w:pPr>
      <w:r>
        <w:separator/>
      </w:r>
    </w:p>
  </w:endnote>
  <w:endnote w:type="continuationSeparator" w:id="0">
    <w:p w14:paraId="14F4D008" w14:textId="77777777" w:rsidR="002211DC" w:rsidRDefault="002211DC" w:rsidP="00390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5A4ECA" w14:textId="77777777" w:rsidR="002211DC" w:rsidRDefault="002211DC" w:rsidP="003907B9">
      <w:pPr>
        <w:spacing w:after="0" w:line="240" w:lineRule="auto"/>
      </w:pPr>
      <w:r>
        <w:separator/>
      </w:r>
    </w:p>
  </w:footnote>
  <w:footnote w:type="continuationSeparator" w:id="0">
    <w:p w14:paraId="32C4F01E" w14:textId="77777777" w:rsidR="002211DC" w:rsidRDefault="002211DC" w:rsidP="003907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7D3121"/>
    <w:multiLevelType w:val="hybridMultilevel"/>
    <w:tmpl w:val="1CF2E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4782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256"/>
    <w:rsid w:val="00002119"/>
    <w:rsid w:val="000073C1"/>
    <w:rsid w:val="00023475"/>
    <w:rsid w:val="00030D26"/>
    <w:rsid w:val="00034035"/>
    <w:rsid w:val="00034F51"/>
    <w:rsid w:val="00045DAA"/>
    <w:rsid w:val="00054AA1"/>
    <w:rsid w:val="00061323"/>
    <w:rsid w:val="00065C11"/>
    <w:rsid w:val="000679AD"/>
    <w:rsid w:val="00080446"/>
    <w:rsid w:val="000813EC"/>
    <w:rsid w:val="00081EFE"/>
    <w:rsid w:val="00083AD8"/>
    <w:rsid w:val="000A0B5C"/>
    <w:rsid w:val="000B5947"/>
    <w:rsid w:val="000B7F6E"/>
    <w:rsid w:val="000C3FCD"/>
    <w:rsid w:val="000C74D8"/>
    <w:rsid w:val="000D7245"/>
    <w:rsid w:val="000D76D8"/>
    <w:rsid w:val="000F7B01"/>
    <w:rsid w:val="001035A7"/>
    <w:rsid w:val="001077E8"/>
    <w:rsid w:val="00136913"/>
    <w:rsid w:val="001401BB"/>
    <w:rsid w:val="0015222F"/>
    <w:rsid w:val="00155A45"/>
    <w:rsid w:val="00167E59"/>
    <w:rsid w:val="00171110"/>
    <w:rsid w:val="0019475B"/>
    <w:rsid w:val="00195C68"/>
    <w:rsid w:val="001A2F36"/>
    <w:rsid w:val="001A4306"/>
    <w:rsid w:val="001B6367"/>
    <w:rsid w:val="001B659D"/>
    <w:rsid w:val="001C280E"/>
    <w:rsid w:val="001D1F4F"/>
    <w:rsid w:val="001D66C8"/>
    <w:rsid w:val="00207D6F"/>
    <w:rsid w:val="0021313A"/>
    <w:rsid w:val="002211DC"/>
    <w:rsid w:val="002231CF"/>
    <w:rsid w:val="00227620"/>
    <w:rsid w:val="002305D8"/>
    <w:rsid w:val="00232165"/>
    <w:rsid w:val="0024515A"/>
    <w:rsid w:val="00247BE7"/>
    <w:rsid w:val="00260E32"/>
    <w:rsid w:val="002643A5"/>
    <w:rsid w:val="00273D07"/>
    <w:rsid w:val="00283754"/>
    <w:rsid w:val="00284158"/>
    <w:rsid w:val="0029647A"/>
    <w:rsid w:val="002B15F4"/>
    <w:rsid w:val="002C33CF"/>
    <w:rsid w:val="002C4ABF"/>
    <w:rsid w:val="002D45A1"/>
    <w:rsid w:val="002E1193"/>
    <w:rsid w:val="002F013B"/>
    <w:rsid w:val="002F6447"/>
    <w:rsid w:val="00300F9B"/>
    <w:rsid w:val="00310657"/>
    <w:rsid w:val="00313853"/>
    <w:rsid w:val="0031512C"/>
    <w:rsid w:val="0031515A"/>
    <w:rsid w:val="00321651"/>
    <w:rsid w:val="00321C61"/>
    <w:rsid w:val="00336E03"/>
    <w:rsid w:val="00337C28"/>
    <w:rsid w:val="0035103F"/>
    <w:rsid w:val="00351DFA"/>
    <w:rsid w:val="00356597"/>
    <w:rsid w:val="003567F8"/>
    <w:rsid w:val="0035751B"/>
    <w:rsid w:val="00372386"/>
    <w:rsid w:val="0037264C"/>
    <w:rsid w:val="00374FE7"/>
    <w:rsid w:val="003904D1"/>
    <w:rsid w:val="003907B9"/>
    <w:rsid w:val="0039206C"/>
    <w:rsid w:val="00393C2B"/>
    <w:rsid w:val="003958BC"/>
    <w:rsid w:val="00395D2E"/>
    <w:rsid w:val="003B4E9F"/>
    <w:rsid w:val="003D2AAC"/>
    <w:rsid w:val="003D3F9C"/>
    <w:rsid w:val="003E1F75"/>
    <w:rsid w:val="003E3DAD"/>
    <w:rsid w:val="003E5A53"/>
    <w:rsid w:val="00410D0B"/>
    <w:rsid w:val="00411221"/>
    <w:rsid w:val="004145F9"/>
    <w:rsid w:val="0042171E"/>
    <w:rsid w:val="0042185D"/>
    <w:rsid w:val="0042764F"/>
    <w:rsid w:val="00431236"/>
    <w:rsid w:val="004402DA"/>
    <w:rsid w:val="00444F01"/>
    <w:rsid w:val="00447270"/>
    <w:rsid w:val="00453381"/>
    <w:rsid w:val="0046206C"/>
    <w:rsid w:val="0047287B"/>
    <w:rsid w:val="004821E9"/>
    <w:rsid w:val="00490E0E"/>
    <w:rsid w:val="00495E40"/>
    <w:rsid w:val="00496435"/>
    <w:rsid w:val="004A07FF"/>
    <w:rsid w:val="004B19BA"/>
    <w:rsid w:val="004B4D5C"/>
    <w:rsid w:val="004B51E4"/>
    <w:rsid w:val="004D1256"/>
    <w:rsid w:val="004D1475"/>
    <w:rsid w:val="004D520C"/>
    <w:rsid w:val="004F502F"/>
    <w:rsid w:val="00503BF3"/>
    <w:rsid w:val="00511296"/>
    <w:rsid w:val="00514FCF"/>
    <w:rsid w:val="00525099"/>
    <w:rsid w:val="005265F4"/>
    <w:rsid w:val="005411DB"/>
    <w:rsid w:val="005462D9"/>
    <w:rsid w:val="00547161"/>
    <w:rsid w:val="005531D3"/>
    <w:rsid w:val="00555DED"/>
    <w:rsid w:val="005605DF"/>
    <w:rsid w:val="005613E1"/>
    <w:rsid w:val="00563F9A"/>
    <w:rsid w:val="00575CA3"/>
    <w:rsid w:val="00576530"/>
    <w:rsid w:val="00580075"/>
    <w:rsid w:val="00585F43"/>
    <w:rsid w:val="00591C07"/>
    <w:rsid w:val="005A0F33"/>
    <w:rsid w:val="005A4FE3"/>
    <w:rsid w:val="005A6567"/>
    <w:rsid w:val="005B1836"/>
    <w:rsid w:val="005B4E33"/>
    <w:rsid w:val="005B5CC0"/>
    <w:rsid w:val="005B7A2E"/>
    <w:rsid w:val="005C3882"/>
    <w:rsid w:val="005C5D80"/>
    <w:rsid w:val="005C6653"/>
    <w:rsid w:val="005E07D0"/>
    <w:rsid w:val="005E41BA"/>
    <w:rsid w:val="005E4DF9"/>
    <w:rsid w:val="005E7022"/>
    <w:rsid w:val="005F10FE"/>
    <w:rsid w:val="005F3642"/>
    <w:rsid w:val="005F4070"/>
    <w:rsid w:val="00613D92"/>
    <w:rsid w:val="00617347"/>
    <w:rsid w:val="0062730B"/>
    <w:rsid w:val="00634D53"/>
    <w:rsid w:val="006440DF"/>
    <w:rsid w:val="0065375E"/>
    <w:rsid w:val="006625FB"/>
    <w:rsid w:val="006A51DF"/>
    <w:rsid w:val="006B20B0"/>
    <w:rsid w:val="006B7FF7"/>
    <w:rsid w:val="006C0EEB"/>
    <w:rsid w:val="006D08C9"/>
    <w:rsid w:val="006E7FDB"/>
    <w:rsid w:val="006F06B1"/>
    <w:rsid w:val="006F727D"/>
    <w:rsid w:val="006F7DB6"/>
    <w:rsid w:val="007042D7"/>
    <w:rsid w:val="00706986"/>
    <w:rsid w:val="00712B91"/>
    <w:rsid w:val="00725DC3"/>
    <w:rsid w:val="00730EA8"/>
    <w:rsid w:val="00741C83"/>
    <w:rsid w:val="00742B75"/>
    <w:rsid w:val="007512D3"/>
    <w:rsid w:val="007515E1"/>
    <w:rsid w:val="00760F87"/>
    <w:rsid w:val="00764FE2"/>
    <w:rsid w:val="007A3A75"/>
    <w:rsid w:val="007A5693"/>
    <w:rsid w:val="007A65B5"/>
    <w:rsid w:val="007A71FD"/>
    <w:rsid w:val="007C5B5E"/>
    <w:rsid w:val="007C6448"/>
    <w:rsid w:val="007C6B4F"/>
    <w:rsid w:val="007D100D"/>
    <w:rsid w:val="007D29C4"/>
    <w:rsid w:val="007D2C9E"/>
    <w:rsid w:val="007D2EBD"/>
    <w:rsid w:val="007F269C"/>
    <w:rsid w:val="00800188"/>
    <w:rsid w:val="0080183B"/>
    <w:rsid w:val="008028F0"/>
    <w:rsid w:val="00802A3D"/>
    <w:rsid w:val="00816F6F"/>
    <w:rsid w:val="00825693"/>
    <w:rsid w:val="00827719"/>
    <w:rsid w:val="00832377"/>
    <w:rsid w:val="00837CB7"/>
    <w:rsid w:val="00851492"/>
    <w:rsid w:val="00856760"/>
    <w:rsid w:val="00856A32"/>
    <w:rsid w:val="00856F69"/>
    <w:rsid w:val="008910E8"/>
    <w:rsid w:val="008947A0"/>
    <w:rsid w:val="008B1810"/>
    <w:rsid w:val="008B6EEF"/>
    <w:rsid w:val="008C5E4A"/>
    <w:rsid w:val="008E6DE2"/>
    <w:rsid w:val="008F0D83"/>
    <w:rsid w:val="00907CB5"/>
    <w:rsid w:val="009154C4"/>
    <w:rsid w:val="00920D0D"/>
    <w:rsid w:val="00922CCE"/>
    <w:rsid w:val="00925C1C"/>
    <w:rsid w:val="009270B1"/>
    <w:rsid w:val="0092716E"/>
    <w:rsid w:val="00930F47"/>
    <w:rsid w:val="0093668B"/>
    <w:rsid w:val="0094165A"/>
    <w:rsid w:val="00941DAC"/>
    <w:rsid w:val="00944A33"/>
    <w:rsid w:val="00954587"/>
    <w:rsid w:val="00956238"/>
    <w:rsid w:val="00962A56"/>
    <w:rsid w:val="00964331"/>
    <w:rsid w:val="00970E9D"/>
    <w:rsid w:val="00992FC7"/>
    <w:rsid w:val="00993478"/>
    <w:rsid w:val="009A23AE"/>
    <w:rsid w:val="009B55E8"/>
    <w:rsid w:val="009B6958"/>
    <w:rsid w:val="009C40C2"/>
    <w:rsid w:val="009D1C4B"/>
    <w:rsid w:val="009D2F77"/>
    <w:rsid w:val="009D7B98"/>
    <w:rsid w:val="00A2374B"/>
    <w:rsid w:val="00A32B46"/>
    <w:rsid w:val="00A35995"/>
    <w:rsid w:val="00A36E3E"/>
    <w:rsid w:val="00A37136"/>
    <w:rsid w:val="00A4065D"/>
    <w:rsid w:val="00A47C9F"/>
    <w:rsid w:val="00A538E1"/>
    <w:rsid w:val="00A54D13"/>
    <w:rsid w:val="00A64AEE"/>
    <w:rsid w:val="00A761ED"/>
    <w:rsid w:val="00A776E5"/>
    <w:rsid w:val="00A80CB0"/>
    <w:rsid w:val="00AA2B3B"/>
    <w:rsid w:val="00AB22AF"/>
    <w:rsid w:val="00AC53AE"/>
    <w:rsid w:val="00AC723E"/>
    <w:rsid w:val="00AD52D9"/>
    <w:rsid w:val="00AF377E"/>
    <w:rsid w:val="00B16F8C"/>
    <w:rsid w:val="00B31E2E"/>
    <w:rsid w:val="00B34B9E"/>
    <w:rsid w:val="00B42677"/>
    <w:rsid w:val="00B4621C"/>
    <w:rsid w:val="00B547E5"/>
    <w:rsid w:val="00B557EA"/>
    <w:rsid w:val="00B55D80"/>
    <w:rsid w:val="00B64547"/>
    <w:rsid w:val="00B72AA7"/>
    <w:rsid w:val="00B76BEC"/>
    <w:rsid w:val="00B8547A"/>
    <w:rsid w:val="00B86625"/>
    <w:rsid w:val="00BB0955"/>
    <w:rsid w:val="00BC2F25"/>
    <w:rsid w:val="00BC7566"/>
    <w:rsid w:val="00BC7B0C"/>
    <w:rsid w:val="00BD0A14"/>
    <w:rsid w:val="00BD641C"/>
    <w:rsid w:val="00BE7D2A"/>
    <w:rsid w:val="00BF327B"/>
    <w:rsid w:val="00BF4C77"/>
    <w:rsid w:val="00BF7761"/>
    <w:rsid w:val="00C07663"/>
    <w:rsid w:val="00C15E7F"/>
    <w:rsid w:val="00C23100"/>
    <w:rsid w:val="00C23BD4"/>
    <w:rsid w:val="00C304D0"/>
    <w:rsid w:val="00C54206"/>
    <w:rsid w:val="00C603D7"/>
    <w:rsid w:val="00C66313"/>
    <w:rsid w:val="00C70614"/>
    <w:rsid w:val="00C748B1"/>
    <w:rsid w:val="00C809DE"/>
    <w:rsid w:val="00C84BD9"/>
    <w:rsid w:val="00CA6A02"/>
    <w:rsid w:val="00CB64D9"/>
    <w:rsid w:val="00CC1D9F"/>
    <w:rsid w:val="00CC6D71"/>
    <w:rsid w:val="00CC7A0A"/>
    <w:rsid w:val="00CD114E"/>
    <w:rsid w:val="00CD3236"/>
    <w:rsid w:val="00CD5D37"/>
    <w:rsid w:val="00CF3BFC"/>
    <w:rsid w:val="00D06739"/>
    <w:rsid w:val="00D110F8"/>
    <w:rsid w:val="00D1286F"/>
    <w:rsid w:val="00D27D31"/>
    <w:rsid w:val="00D52CC6"/>
    <w:rsid w:val="00D617B3"/>
    <w:rsid w:val="00D7059C"/>
    <w:rsid w:val="00D7455E"/>
    <w:rsid w:val="00D77816"/>
    <w:rsid w:val="00D94F9D"/>
    <w:rsid w:val="00DA4BC7"/>
    <w:rsid w:val="00DC4DA0"/>
    <w:rsid w:val="00DC7B71"/>
    <w:rsid w:val="00DD4E6F"/>
    <w:rsid w:val="00DE6847"/>
    <w:rsid w:val="00DF00E1"/>
    <w:rsid w:val="00DF64C4"/>
    <w:rsid w:val="00E05D50"/>
    <w:rsid w:val="00E3190C"/>
    <w:rsid w:val="00E3266E"/>
    <w:rsid w:val="00E46723"/>
    <w:rsid w:val="00E46879"/>
    <w:rsid w:val="00E722B4"/>
    <w:rsid w:val="00E72C0D"/>
    <w:rsid w:val="00E73A64"/>
    <w:rsid w:val="00E76356"/>
    <w:rsid w:val="00E90252"/>
    <w:rsid w:val="00EA1404"/>
    <w:rsid w:val="00EA44B7"/>
    <w:rsid w:val="00EB1529"/>
    <w:rsid w:val="00EE11DE"/>
    <w:rsid w:val="00EF424B"/>
    <w:rsid w:val="00F12BCE"/>
    <w:rsid w:val="00F26F02"/>
    <w:rsid w:val="00F306B7"/>
    <w:rsid w:val="00F32BC8"/>
    <w:rsid w:val="00F604AF"/>
    <w:rsid w:val="00F73E8F"/>
    <w:rsid w:val="00F91FE8"/>
    <w:rsid w:val="00F97BE5"/>
    <w:rsid w:val="00FA134E"/>
    <w:rsid w:val="00FA245E"/>
    <w:rsid w:val="00FA5D19"/>
    <w:rsid w:val="00FA61D9"/>
    <w:rsid w:val="00FD6904"/>
    <w:rsid w:val="00FF4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57E13"/>
  <w15:chartTrackingRefBased/>
  <w15:docId w15:val="{189BA95A-945C-41BE-ACF8-6F19A179B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2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D12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D12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D12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D12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D12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2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2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2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25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D125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D125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D125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D125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D12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2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2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256"/>
    <w:rPr>
      <w:rFonts w:eastAsiaTheme="majorEastAsia" w:cstheme="majorBidi"/>
      <w:color w:val="272727" w:themeColor="text1" w:themeTint="D8"/>
    </w:rPr>
  </w:style>
  <w:style w:type="paragraph" w:styleId="Title">
    <w:name w:val="Title"/>
    <w:basedOn w:val="Normal"/>
    <w:next w:val="Normal"/>
    <w:link w:val="TitleChar"/>
    <w:uiPriority w:val="10"/>
    <w:qFormat/>
    <w:rsid w:val="004D12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2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2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2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256"/>
    <w:pPr>
      <w:spacing w:before="160"/>
      <w:jc w:val="center"/>
    </w:pPr>
    <w:rPr>
      <w:i/>
      <w:iCs/>
      <w:color w:val="404040" w:themeColor="text1" w:themeTint="BF"/>
    </w:rPr>
  </w:style>
  <w:style w:type="character" w:customStyle="1" w:styleId="QuoteChar">
    <w:name w:val="Quote Char"/>
    <w:basedOn w:val="DefaultParagraphFont"/>
    <w:link w:val="Quote"/>
    <w:uiPriority w:val="29"/>
    <w:rsid w:val="004D1256"/>
    <w:rPr>
      <w:i/>
      <w:iCs/>
      <w:color w:val="404040" w:themeColor="text1" w:themeTint="BF"/>
    </w:rPr>
  </w:style>
  <w:style w:type="paragraph" w:styleId="ListParagraph">
    <w:name w:val="List Paragraph"/>
    <w:basedOn w:val="Normal"/>
    <w:uiPriority w:val="34"/>
    <w:qFormat/>
    <w:rsid w:val="004D1256"/>
    <w:pPr>
      <w:ind w:left="720"/>
      <w:contextualSpacing/>
    </w:pPr>
  </w:style>
  <w:style w:type="character" w:styleId="IntenseEmphasis">
    <w:name w:val="Intense Emphasis"/>
    <w:basedOn w:val="DefaultParagraphFont"/>
    <w:uiPriority w:val="21"/>
    <w:qFormat/>
    <w:rsid w:val="004D1256"/>
    <w:rPr>
      <w:i/>
      <w:iCs/>
      <w:color w:val="2F5496" w:themeColor="accent1" w:themeShade="BF"/>
    </w:rPr>
  </w:style>
  <w:style w:type="paragraph" w:styleId="IntenseQuote">
    <w:name w:val="Intense Quote"/>
    <w:basedOn w:val="Normal"/>
    <w:next w:val="Normal"/>
    <w:link w:val="IntenseQuoteChar"/>
    <w:uiPriority w:val="30"/>
    <w:qFormat/>
    <w:rsid w:val="004D12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1256"/>
    <w:rPr>
      <w:i/>
      <w:iCs/>
      <w:color w:val="2F5496" w:themeColor="accent1" w:themeShade="BF"/>
    </w:rPr>
  </w:style>
  <w:style w:type="character" w:styleId="IntenseReference">
    <w:name w:val="Intense Reference"/>
    <w:basedOn w:val="DefaultParagraphFont"/>
    <w:uiPriority w:val="32"/>
    <w:qFormat/>
    <w:rsid w:val="004D1256"/>
    <w:rPr>
      <w:b/>
      <w:bCs/>
      <w:smallCaps/>
      <w:color w:val="2F5496" w:themeColor="accent1" w:themeShade="BF"/>
      <w:spacing w:val="5"/>
    </w:rPr>
  </w:style>
  <w:style w:type="paragraph" w:styleId="NoSpacing">
    <w:name w:val="No Spacing"/>
    <w:uiPriority w:val="1"/>
    <w:qFormat/>
    <w:rsid w:val="00585F43"/>
    <w:pPr>
      <w:spacing w:after="0" w:line="240" w:lineRule="auto"/>
    </w:pPr>
  </w:style>
  <w:style w:type="character" w:styleId="Hyperlink">
    <w:name w:val="Hyperlink"/>
    <w:basedOn w:val="DefaultParagraphFont"/>
    <w:uiPriority w:val="99"/>
    <w:unhideWhenUsed/>
    <w:rsid w:val="00AB22AF"/>
    <w:rPr>
      <w:color w:val="0563C1" w:themeColor="hyperlink"/>
      <w:u w:val="single"/>
    </w:rPr>
  </w:style>
  <w:style w:type="character" w:styleId="UnresolvedMention">
    <w:name w:val="Unresolved Mention"/>
    <w:basedOn w:val="DefaultParagraphFont"/>
    <w:uiPriority w:val="99"/>
    <w:semiHidden/>
    <w:unhideWhenUsed/>
    <w:rsid w:val="00AB22AF"/>
    <w:rPr>
      <w:color w:val="605E5C"/>
      <w:shd w:val="clear" w:color="auto" w:fill="E1DFDD"/>
    </w:rPr>
  </w:style>
  <w:style w:type="paragraph" w:styleId="Header">
    <w:name w:val="header"/>
    <w:basedOn w:val="Normal"/>
    <w:link w:val="HeaderChar"/>
    <w:uiPriority w:val="99"/>
    <w:unhideWhenUsed/>
    <w:rsid w:val="003907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7B9"/>
  </w:style>
  <w:style w:type="paragraph" w:styleId="Footer">
    <w:name w:val="footer"/>
    <w:basedOn w:val="Normal"/>
    <w:link w:val="FooterChar"/>
    <w:uiPriority w:val="99"/>
    <w:unhideWhenUsed/>
    <w:rsid w:val="003907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7B9"/>
  </w:style>
  <w:style w:type="paragraph" w:styleId="TOCHeading">
    <w:name w:val="TOC Heading"/>
    <w:basedOn w:val="Heading1"/>
    <w:next w:val="Normal"/>
    <w:uiPriority w:val="39"/>
    <w:unhideWhenUsed/>
    <w:qFormat/>
    <w:rsid w:val="006B7FF7"/>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6B7FF7"/>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B7FF7"/>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B7FF7"/>
    <w:pPr>
      <w:spacing w:after="100"/>
      <w:ind w:left="440"/>
    </w:pPr>
    <w:rPr>
      <w:rFonts w:eastAsiaTheme="minorEastAsia" w:cs="Times New Roman"/>
      <w:kern w:val="0"/>
      <w:lang w:val="en-US"/>
      <w14:ligatures w14:val="none"/>
    </w:rPr>
  </w:style>
  <w:style w:type="table" w:styleId="TableGrid">
    <w:name w:val="Table Grid"/>
    <w:basedOn w:val="TableNormal"/>
    <w:uiPriority w:val="39"/>
    <w:rsid w:val="002276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2018/12/content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egislation.gov.uk/ukpga/2014/23/content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ice.org.uk/guidance/ng9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qc.org.uk/guidance-providers/regulations/regulation-17-good-governance" TargetMode="External"/><Relationship Id="rId5" Type="http://schemas.openxmlformats.org/officeDocument/2006/relationships/numbering" Target="numbering.xml"/><Relationship Id="rId15" Type="http://schemas.openxmlformats.org/officeDocument/2006/relationships/hyperlink" Target="https://ico.org.uk/for-organisations/uk-gdpr-guidance-and-resourc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2018/1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27c0704a7b732219c0f179b1a89be890">
  <xsd:schema xmlns:xsd="http://www.w3.org/2001/XMLSchema" xmlns:xs="http://www.w3.org/2001/XMLSchema" xmlns:p="http://schemas.microsoft.com/office/2006/metadata/properties" xmlns:ns3="21f98238-5914-40fc-b2db-49ce196065c9" targetNamespace="http://schemas.microsoft.com/office/2006/metadata/properties" ma:root="true" ma:fieldsID="347a7a397eaac97325fed8068522ac1e"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5814FD-1102-4C87-94B0-0625AB138C65}">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BF516428-E6D2-4382-9EC4-8DCF60062784}">
  <ds:schemaRefs>
    <ds:schemaRef ds:uri="http://schemas.microsoft.com/sharepoint/v3/contenttype/forms"/>
  </ds:schemaRefs>
</ds:datastoreItem>
</file>

<file path=customXml/itemProps3.xml><?xml version="1.0" encoding="utf-8"?>
<ds:datastoreItem xmlns:ds="http://schemas.openxmlformats.org/officeDocument/2006/customXml" ds:itemID="{83D09473-D292-4A48-8F0E-F4D221C750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CB8CF2A-C542-4269-8565-BEFC84A7A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2101</Words>
  <Characters>11977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Constance Agbon (2533232)</dc:creator>
  <cp:keywords/>
  <dc:description/>
  <cp:lastModifiedBy>Constance Agbon (2533232)</cp:lastModifiedBy>
  <cp:revision>2</cp:revision>
  <dcterms:created xsi:type="dcterms:W3CDTF">2026-08-16T10:26:00Z</dcterms:created>
  <dcterms:modified xsi:type="dcterms:W3CDTF">2026-08-16T10:26:00Z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