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48F80" w14:textId="1FD31E45" w:rsidR="00DD4B65" w:rsidRDefault="00DD4B65" w:rsidP="001076FD">
      <w:pPr>
        <w:spacing w:line="360" w:lineRule="auto"/>
        <w:rPr>
          <w:b/>
          <w:bCs/>
          <w:u w:val="single"/>
        </w:rPr>
      </w:pPr>
      <w:r w:rsidRPr="00635E4C">
        <w:rPr>
          <w:b/>
          <w:bCs/>
          <w:u w:val="single"/>
        </w:rPr>
        <w:t>Teacher observational Assignment</w:t>
      </w:r>
      <w:r w:rsidR="008221BB" w:rsidRPr="00635E4C">
        <w:rPr>
          <w:b/>
          <w:bCs/>
          <w:u w:val="single"/>
        </w:rPr>
        <w:t xml:space="preserve"> – Jack Howard: 2315322</w:t>
      </w:r>
    </w:p>
    <w:p w14:paraId="5B4632BA" w14:textId="3720E7E2" w:rsidR="0056452B" w:rsidRPr="00635E4C" w:rsidRDefault="0056452B" w:rsidP="001076FD">
      <w:pPr>
        <w:spacing w:line="360" w:lineRule="auto"/>
        <w:rPr>
          <w:b/>
          <w:bCs/>
          <w:u w:val="single"/>
        </w:rPr>
      </w:pPr>
      <w:r>
        <w:rPr>
          <w:b/>
          <w:bCs/>
          <w:u w:val="single"/>
        </w:rPr>
        <w:t>Word Count: 2444</w:t>
      </w:r>
    </w:p>
    <w:p w14:paraId="2E5D7C20" w14:textId="05B3AF40" w:rsidR="00DD4B65" w:rsidRDefault="00DD4B65" w:rsidP="00123D1A">
      <w:pPr>
        <w:spacing w:line="360" w:lineRule="auto"/>
      </w:pPr>
      <w:r>
        <w:t>For this assignment I observed t</w:t>
      </w:r>
      <w:r w:rsidR="00457C56">
        <w:t>w</w:t>
      </w:r>
      <w:r>
        <w:t>o professional lecturers for a total of six hours. My findings and observations are included in the appendices. I observed each lecturer for a total of 3 hours each. Throughout this assignment I will be referring to them as Lecturer A and Lecturer B to preserve anonymity for all involved.</w:t>
      </w:r>
    </w:p>
    <w:p w14:paraId="1E269508" w14:textId="413B3CA5" w:rsidR="00DD4B65" w:rsidRDefault="004A42FA" w:rsidP="00123D1A">
      <w:pPr>
        <w:spacing w:line="360" w:lineRule="auto"/>
      </w:pPr>
      <w:r>
        <w:t xml:space="preserve">The aim of this assignment is to observe many different aspects of what makes an effective teacher. I took notes on what strategies were used and how this engaged students, what tactics were used in a disruptive situation, body language, tone of voice and the use of technology in the classroom setting to determine the best way to deliver an effective lesson. I will be critically evaluating all these elements, using relevant literature to either reinforce or refute what was being used. Alongside observing these </w:t>
      </w:r>
      <w:r w:rsidR="00457C56">
        <w:t>lecturers,</w:t>
      </w:r>
      <w:r>
        <w:t xml:space="preserve"> I will be using the experience to better my practice as an educator and learn from those more experienced than myself. Hagger (2008) suggests that educators </w:t>
      </w:r>
      <w:r w:rsidR="00457C56">
        <w:t>themselves are learners. They continue to learn throughout their careers developing different strategies that fit their teaching styles to ensure that their students learn themselves.</w:t>
      </w:r>
    </w:p>
    <w:p w14:paraId="4FC0BD90" w14:textId="77777777" w:rsidR="00457C56" w:rsidRDefault="00457C56" w:rsidP="00123D1A">
      <w:pPr>
        <w:spacing w:line="360" w:lineRule="auto"/>
      </w:pPr>
      <w:r>
        <w:t xml:space="preserve">As this assignments foundation is based on reflection, I will be using </w:t>
      </w:r>
      <w:r w:rsidRPr="00457C56">
        <w:t>Driscoll’s 1994 model (2007)</w:t>
      </w:r>
      <w:r>
        <w:t xml:space="preserve">. </w:t>
      </w:r>
    </w:p>
    <w:p w14:paraId="748AF3D5" w14:textId="0FCDD3E0" w:rsidR="00457C56" w:rsidRDefault="00457C56" w:rsidP="00123D1A">
      <w:pPr>
        <w:spacing w:line="360" w:lineRule="auto"/>
      </w:pPr>
      <w:r>
        <w:t xml:space="preserve">My rational for this is that Driscoll's Reflective Model offers numerous benefits in facilitating deep learning and professional development. It consists of three key phases: "what," "so what," and "now what," encouraging individuals to explore their experiences, analyse their significance, and derive action-oriented insights for future practice (Driscoll, 2007a). </w:t>
      </w:r>
    </w:p>
    <w:p w14:paraId="3FC80BFB" w14:textId="38E35EAC" w:rsidR="00457C56" w:rsidRDefault="00457C56" w:rsidP="00123D1A">
      <w:pPr>
        <w:spacing w:line="360" w:lineRule="auto"/>
      </w:pPr>
      <w:r>
        <w:t xml:space="preserve">The model is particularly valuable in educational settings, guiding teachers in evaluating their teaching methods, refining instructional strategies, and enhancing student learning outcomes. This allows me to use the information gathered during the observations to better understand what makes an effective educator and how I can use this is in my practice going forward. </w:t>
      </w:r>
    </w:p>
    <w:p w14:paraId="7270FCE8" w14:textId="77777777" w:rsidR="00457C56" w:rsidRDefault="00457C56" w:rsidP="00123D1A">
      <w:pPr>
        <w:spacing w:line="360" w:lineRule="auto"/>
      </w:pPr>
    </w:p>
    <w:p w14:paraId="5859B924" w14:textId="0C509966" w:rsidR="00457C56" w:rsidRDefault="00457C56" w:rsidP="00123D1A">
      <w:pPr>
        <w:spacing w:line="360" w:lineRule="auto"/>
        <w:rPr>
          <w:b/>
          <w:bCs/>
          <w:u w:val="single"/>
        </w:rPr>
      </w:pPr>
      <w:r w:rsidRPr="00457C56">
        <w:rPr>
          <w:b/>
          <w:bCs/>
          <w:u w:val="single"/>
        </w:rPr>
        <w:t>Teacher A</w:t>
      </w:r>
    </w:p>
    <w:p w14:paraId="716663C1" w14:textId="0083C3F8" w:rsidR="00457C56" w:rsidRDefault="00347A64" w:rsidP="00123D1A">
      <w:pPr>
        <w:spacing w:line="360" w:lineRule="auto"/>
      </w:pPr>
      <w:r>
        <w:t>Teacher A delivered a session to 20 Level 4, Health and social care students on the topic of</w:t>
      </w:r>
      <w:r w:rsidR="009D2F19">
        <w:t>:</w:t>
      </w:r>
      <w:r>
        <w:t xml:space="preserve"> preparing for success in higher education. To start with she introduced herself to the classroom. </w:t>
      </w:r>
      <w:r w:rsidRPr="00347A64">
        <w:t xml:space="preserve">Introducing oneself to a classroom offers </w:t>
      </w:r>
      <w:r>
        <w:t xml:space="preserve">many </w:t>
      </w:r>
      <w:r w:rsidRPr="00347A64">
        <w:t xml:space="preserve">advantages. It sets the foundation for a positive and inclusive learning environment, establishing rapport and trust between the teacher and students (Kaplan &amp; Silver, 2005). This personal connection can enhance student engagement and motivation, fostering a </w:t>
      </w:r>
      <w:r w:rsidRPr="00347A64">
        <w:lastRenderedPageBreak/>
        <w:t>sense of belonging and comfort within the classroom (Kane, 2017).</w:t>
      </w:r>
      <w:r>
        <w:t xml:space="preserve"> Kane (2017) also suggests that this </w:t>
      </w:r>
      <w:r w:rsidRPr="00347A64">
        <w:t>provide</w:t>
      </w:r>
      <w:r>
        <w:t>s</w:t>
      </w:r>
      <w:r w:rsidRPr="00347A64">
        <w:t xml:space="preserve"> insight into the teacher’s background, expertise, and personal interests, creating opportunities for students to relate to their instructor and encouraging a more approachable learning atmosphere.</w:t>
      </w:r>
      <w:r>
        <w:t xml:space="preserve"> </w:t>
      </w:r>
    </w:p>
    <w:p w14:paraId="4FA2B33C" w14:textId="750DD6C9" w:rsidR="0068346E" w:rsidRDefault="00347A64" w:rsidP="00123D1A">
      <w:pPr>
        <w:spacing w:line="360" w:lineRule="auto"/>
      </w:pPr>
      <w:r>
        <w:t xml:space="preserve">Although it was the start of a fresh university year with new students the lecturer did not use an icebreaker at the start of the session, however, began discussing the aims and objectives for the lesson she was about to deliver. When I discussed this with her post lesson, her rational was that not all students want to </w:t>
      </w:r>
      <w:r w:rsidR="00063059">
        <w:t>engage,</w:t>
      </w:r>
      <w:r>
        <w:t xml:space="preserve"> and an icebreaker would force people out of their comfort </w:t>
      </w:r>
      <w:r w:rsidR="00063059">
        <w:t>zone</w:t>
      </w:r>
      <w:r w:rsidR="00DD2082">
        <w:t>.</w:t>
      </w:r>
      <w:r>
        <w:t xml:space="preserve"> </w:t>
      </w:r>
      <w:r w:rsidR="00DD2082">
        <w:t>S</w:t>
      </w:r>
      <w:r w:rsidR="00063059">
        <w:t>he emphasized that</w:t>
      </w:r>
      <w:r>
        <w:t xml:space="preserve"> it is not a strategy that she employs. </w:t>
      </w:r>
      <w:r w:rsidR="00063059">
        <w:t xml:space="preserve">Tobin (2014) agrees. He suggests that </w:t>
      </w:r>
      <w:r w:rsidR="00DD2082">
        <w:t>t</w:t>
      </w:r>
      <w:r w:rsidR="00063059" w:rsidRPr="00063059">
        <w:t>h</w:t>
      </w:r>
      <w:r w:rsidR="00DD2082">
        <w:t>is</w:t>
      </w:r>
      <w:r w:rsidR="00063059" w:rsidRPr="00063059">
        <w:t xml:space="preserve"> might lead to discomfort or disengagement if poorly executed</w:t>
      </w:r>
      <w:r w:rsidR="00063059">
        <w:t>. Harman and Spiro (2005) reinforce this, and claims o</w:t>
      </w:r>
      <w:r w:rsidR="00063059" w:rsidRPr="00063059">
        <w:t>verused, or irrelevant icebreakers can become a distraction from the learning objectives, impacting the learning environment negatively. In diverse settings, some activities might unintentionally emphasize differences</w:t>
      </w:r>
      <w:r w:rsidR="00063059">
        <w:t xml:space="preserve"> such as language or cultural</w:t>
      </w:r>
      <w:r w:rsidR="00063059" w:rsidRPr="00063059">
        <w:t>, leading to discomfort or divisions among students</w:t>
      </w:r>
      <w:r w:rsidR="00063059">
        <w:t xml:space="preserve">. This would be a violation </w:t>
      </w:r>
      <w:r w:rsidR="00A224C6">
        <w:t>of several</w:t>
      </w:r>
      <w:r w:rsidR="00063059">
        <w:t xml:space="preserve"> Profession Standards such as creating a safe environment and promoting diversity </w:t>
      </w:r>
      <w:r w:rsidR="00063059" w:rsidRPr="00063059">
        <w:t>(Bond et al 2000).</w:t>
      </w:r>
      <w:r w:rsidR="00A60883">
        <w:t xml:space="preserve"> Lecturer A was able to create a safe environment for the students. This was evidenced throughout the session, as students were not afraid to answer questions regardless of if they were wrong or right.</w:t>
      </w:r>
      <w:r w:rsidR="0068346E">
        <w:t xml:space="preserve"> Although an Icebreaker was not used, lecturer A used humour throughout the session to calm the atmosphere within the classroom. </w:t>
      </w:r>
      <w:r w:rsidR="0068346E" w:rsidRPr="0068346E">
        <w:t xml:space="preserve">Recent studies </w:t>
      </w:r>
      <w:r w:rsidR="0068346E">
        <w:t>show</w:t>
      </w:r>
      <w:r w:rsidR="0068346E" w:rsidRPr="0068346E">
        <w:t xml:space="preserve"> the positive impact of humour in classrooms, promoting student engagement, reducing stress, and fostering a positive learning environment (Frymier &amp; Houser, 2016). Banas et al (2011)</w:t>
      </w:r>
      <w:r w:rsidR="0068346E">
        <w:t>, states h</w:t>
      </w:r>
      <w:r w:rsidR="0068346E" w:rsidRPr="0068346E">
        <w:t>umour can also aid retention and recall of information as it makes learning more enjoyable and memorable, leading to increased participation and motivation</w:t>
      </w:r>
      <w:r w:rsidR="0068346E">
        <w:t xml:space="preserve">. </w:t>
      </w:r>
    </w:p>
    <w:p w14:paraId="4BFF4928" w14:textId="6D193132" w:rsidR="00063059" w:rsidRDefault="00063059" w:rsidP="00123D1A">
      <w:pPr>
        <w:spacing w:line="360" w:lineRule="auto"/>
      </w:pPr>
      <w:r>
        <w:t xml:space="preserve">Following the brief outline of the course she delved into the lesson. </w:t>
      </w:r>
      <w:r w:rsidR="00D0143A">
        <w:t>However,</w:t>
      </w:r>
      <w:r>
        <w:t xml:space="preserve"> when trying to get the whiteboard to work, she experienced technical difficulties and was unable to use it.</w:t>
      </w:r>
      <w:r w:rsidR="00D0143A">
        <w:t xml:space="preserve"> </w:t>
      </w:r>
      <w:r w:rsidR="00D0143A" w:rsidRPr="00063059">
        <w:t xml:space="preserve">Ertmer, Ottenbreit-Leftwich, &amp; York, </w:t>
      </w:r>
      <w:r w:rsidR="00D0143A">
        <w:t>(</w:t>
      </w:r>
      <w:r w:rsidR="00D0143A" w:rsidRPr="00063059">
        <w:t>2007</w:t>
      </w:r>
      <w:r w:rsidR="00D0143A">
        <w:t>)</w:t>
      </w:r>
      <w:r>
        <w:t xml:space="preserve"> </w:t>
      </w:r>
      <w:r w:rsidR="00D0143A">
        <w:t>claim that f</w:t>
      </w:r>
      <w:r w:rsidRPr="00063059">
        <w:t>aulty technology in classrooms poses significant drawbacks. Technical malfunctions disrupt lesson flow and hinder planned activities, leading to wasted instructional time</w:t>
      </w:r>
      <w:r w:rsidR="00D0143A">
        <w:t xml:space="preserve">. </w:t>
      </w:r>
      <w:r w:rsidRPr="00063059">
        <w:t>Reliance on malfunctioning technology can also impede learning, causing frustration among both educators and students (Roblyer &amp; Doering, 2013).</w:t>
      </w:r>
    </w:p>
    <w:p w14:paraId="4B2FBE2C" w14:textId="3EDAD1C9" w:rsidR="00D0143A" w:rsidRDefault="00D0143A" w:rsidP="00123D1A">
      <w:pPr>
        <w:spacing w:line="360" w:lineRule="auto"/>
      </w:pPr>
      <w:r>
        <w:t xml:space="preserve">Although she experienced this setback, she was prepared and had handouts of the presentation already printed to offer the students. </w:t>
      </w:r>
      <w:r w:rsidRPr="00D0143A">
        <w:t xml:space="preserve">Planning lessons is fundamental to effective teaching. It ensures </w:t>
      </w:r>
      <w:r>
        <w:t xml:space="preserve">an </w:t>
      </w:r>
      <w:r w:rsidRPr="00D0143A">
        <w:t>organized and structured delivery of content, allowing for strong learning objectives and clear progression (Wragg &amp; Brown, 2001).</w:t>
      </w:r>
      <w:r>
        <w:t xml:space="preserve"> Yet again linking into the profession standards that Bond et al (2000) outlines, such as: plan and deliver effective learning, teaching, and assessment. </w:t>
      </w:r>
    </w:p>
    <w:p w14:paraId="5241E5D9" w14:textId="22E6379E" w:rsidR="000D1B35" w:rsidRDefault="0097042B" w:rsidP="00123D1A">
      <w:pPr>
        <w:spacing w:line="360" w:lineRule="auto"/>
      </w:pPr>
      <w:r>
        <w:lastRenderedPageBreak/>
        <w:t xml:space="preserve">Throughout the session Lecturer A did not walk around the classroom, however, stood in one spot and delivered a chalk and talk approach of delivery. Respectfully this is something I would not take away upon reflection. </w:t>
      </w:r>
      <w:r w:rsidRPr="0097042B">
        <w:t xml:space="preserve">Milne </w:t>
      </w:r>
      <w:r>
        <w:t>(</w:t>
      </w:r>
      <w:r w:rsidRPr="0097042B">
        <w:t>2019</w:t>
      </w:r>
      <w:r>
        <w:t>), encourages movement in classrooms to enhance participation and inclusivity by ensuring that all corners of the classroom are reachable, aiding in positive engagement from students. Eilam (2001) reinforces this and suggests movement is a way to break up the rigidity of a classroom and offering a more personalized learning experience.</w:t>
      </w:r>
    </w:p>
    <w:p w14:paraId="21106C9B" w14:textId="1DF59B48" w:rsidR="00600151" w:rsidRDefault="00EB5BD4" w:rsidP="00123D1A">
      <w:pPr>
        <w:spacing w:line="360" w:lineRule="auto"/>
      </w:pPr>
      <w:r>
        <w:t>Halfway through the lesson, lecturer A gave the students an opportunity to have a break</w:t>
      </w:r>
      <w:r w:rsidR="00DD2082">
        <w:t>.</w:t>
      </w:r>
      <w:r>
        <w:t xml:space="preserve"> </w:t>
      </w:r>
      <w:r w:rsidR="00DD2082">
        <w:t>I</w:t>
      </w:r>
      <w:r w:rsidRPr="00EB5BD4">
        <w:t>ntegrating breaks in classrooms positively impacts student focus and cognitive function. Research indicates that regular breaks enhance attention, reduce stress, and rejuvenate students, leading to improved academic performance and behaviour (Jensen, 2000).</w:t>
      </w:r>
      <w:r>
        <w:t xml:space="preserve"> This is something that I will use in my practice moving forward. There was a change in engagement during the session before and after the break, with a higher level </w:t>
      </w:r>
      <w:r w:rsidR="00DD2082">
        <w:t xml:space="preserve">of engagement </w:t>
      </w:r>
      <w:r>
        <w:t xml:space="preserve">being offered post break. </w:t>
      </w:r>
      <w:r w:rsidR="00600151">
        <w:t>Garner (2013) is an advocate of breaks within the classroom. He states that this is a way of revitalizing the students for more effective learning.</w:t>
      </w:r>
    </w:p>
    <w:p w14:paraId="77EB16C7" w14:textId="52E2212A" w:rsidR="00A60883" w:rsidRDefault="00A60883" w:rsidP="00123D1A">
      <w:pPr>
        <w:spacing w:line="360" w:lineRule="auto"/>
      </w:pPr>
      <w:r>
        <w:t xml:space="preserve">During the session, Lecturer A had a clear tone of voice which was of good volume. Given the size of the classroom, it was ensured that all students were able to hear what lecturer A was saying. </w:t>
      </w:r>
      <w:r w:rsidRPr="00A60883">
        <w:t>A well-modulated tone and volume</w:t>
      </w:r>
      <w:r>
        <w:t xml:space="preserve"> will</w:t>
      </w:r>
      <w:r w:rsidRPr="00A60883">
        <w:t xml:space="preserve"> not only capture attention but also convey enthusiasm, reinforcing the </w:t>
      </w:r>
      <w:r>
        <w:t>importance</w:t>
      </w:r>
      <w:r w:rsidRPr="00A60883">
        <w:t xml:space="preserve"> of the content and promoting a comfortable and conducive learning </w:t>
      </w:r>
      <w:r>
        <w:t xml:space="preserve">environment </w:t>
      </w:r>
      <w:r w:rsidRPr="00A60883">
        <w:t>(Rogers &amp; Webb, 2020).</w:t>
      </w:r>
    </w:p>
    <w:p w14:paraId="752102D1" w14:textId="14E8C199" w:rsidR="001420A9" w:rsidRDefault="00A60883" w:rsidP="00123D1A">
      <w:pPr>
        <w:spacing w:line="360" w:lineRule="auto"/>
      </w:pPr>
      <w:r>
        <w:t xml:space="preserve">There are several aspects of the session in which I will use in my future practice, and details that I need to improve on which were highlighted as well. My reliance on technology, be it PowerPoint presentation will change exponentially, due to my first observation showing me that it will not always work. It also shows that preparing and effective lesson planning is a key tool in which I will continue to use in my practice. </w:t>
      </w:r>
      <w:r w:rsidR="001420A9">
        <w:t xml:space="preserve">Rigorous lesson planning ensures that all course objectives are met with an integration of different teaching strategies to use, especially if one fails due to technology issues </w:t>
      </w:r>
      <w:r w:rsidR="001420A9" w:rsidRPr="001420A9">
        <w:t>(Biggs &amp; Tang, 2011).</w:t>
      </w:r>
    </w:p>
    <w:p w14:paraId="04EEAB6A" w14:textId="019A671A" w:rsidR="001420A9" w:rsidRDefault="006F35D2" w:rsidP="00123D1A">
      <w:pPr>
        <w:spacing w:line="360" w:lineRule="auto"/>
      </w:pPr>
      <w:r>
        <w:t xml:space="preserve">I need to be mindful of learner’s entry levels within the classroom environment and ensure that all my students are understanding the information that I am delivering. </w:t>
      </w:r>
      <w:r w:rsidRPr="006F35D2">
        <w:t>Assessing students' entry-level knowledge allows educators to effectively build upon prior understanding and identify individual learning needs</w:t>
      </w:r>
      <w:r>
        <w:t xml:space="preserve">. </w:t>
      </w:r>
      <w:r w:rsidRPr="006F35D2">
        <w:t xml:space="preserve">Understanding students' </w:t>
      </w:r>
      <w:r>
        <w:t xml:space="preserve">base </w:t>
      </w:r>
      <w:r w:rsidRPr="006F35D2">
        <w:t>knowledge aids in creating more targeted and adaptive teaching strategies, leading to enhanced learning outcomes</w:t>
      </w:r>
      <w:r>
        <w:t xml:space="preserve"> </w:t>
      </w:r>
      <w:r w:rsidRPr="006F35D2">
        <w:t>(Shepard, 2005).</w:t>
      </w:r>
      <w:r>
        <w:t xml:space="preserve"> Unlike lecturer A I feel an icebreaker is a good way of assessing learners and </w:t>
      </w:r>
      <w:r w:rsidR="00DD2082">
        <w:t>their</w:t>
      </w:r>
      <w:r>
        <w:t xml:space="preserve"> ability and willingness to engage in </w:t>
      </w:r>
      <w:r>
        <w:lastRenderedPageBreak/>
        <w:t xml:space="preserve">further sessions. Hogan (2018) agrees with this. He claims that an icebreaker is a way of building rapport between educators and students and a way of reducing the anxiety in a classroom setting. </w:t>
      </w:r>
    </w:p>
    <w:p w14:paraId="54D82B26" w14:textId="18057631" w:rsidR="006F35D2" w:rsidRDefault="006F35D2" w:rsidP="00123D1A">
      <w:pPr>
        <w:spacing w:line="360" w:lineRule="auto"/>
      </w:pPr>
      <w:r>
        <w:t xml:space="preserve">Furthermore, I </w:t>
      </w:r>
      <w:r w:rsidR="00F146A4">
        <w:t>will continue to be create a safe environment for my students as lecturer A did. This aligns with the professional standards in which we base our practice off. The importance of this is paramount. A safe environment links into increased levels of engagement and active participation from students, leading to a more productive teaching session (Anderman and Anderman, 2010).</w:t>
      </w:r>
    </w:p>
    <w:p w14:paraId="4C7E3AC8" w14:textId="66A875EB" w:rsidR="00D0143A" w:rsidRDefault="00C87320" w:rsidP="00123D1A">
      <w:pPr>
        <w:spacing w:line="360" w:lineRule="auto"/>
      </w:pPr>
      <w:r>
        <w:t>Additionally, I would like to incorporate some Welsh culture in my teaching, unlike lecturer A. This aligns again to professional standards on promoting the Welsh culture. I would adapt by greeting students in Welsh, offering handouts in Welsh to the fluent speakers to ensure inclusivity. The Welsh culture in a higher education setting holds significance in promoting the cultural diversities. It fosters inclusivity, celebrates the country, and encourages further use of the</w:t>
      </w:r>
      <w:r w:rsidR="00DD2082">
        <w:t xml:space="preserve"> culture</w:t>
      </w:r>
      <w:r>
        <w:t xml:space="preserve"> (Jones, 2018).</w:t>
      </w:r>
    </w:p>
    <w:p w14:paraId="2607E0F9" w14:textId="5F47E16C" w:rsidR="00C87320" w:rsidRDefault="00C87320" w:rsidP="00123D1A">
      <w:pPr>
        <w:spacing w:line="360" w:lineRule="auto"/>
        <w:rPr>
          <w:b/>
          <w:bCs/>
          <w:u w:val="single"/>
        </w:rPr>
      </w:pPr>
      <w:r>
        <w:br/>
      </w:r>
      <w:r w:rsidRPr="00C87320">
        <w:rPr>
          <w:b/>
          <w:bCs/>
          <w:u w:val="single"/>
        </w:rPr>
        <w:t>Teacher B</w:t>
      </w:r>
    </w:p>
    <w:p w14:paraId="07052FF8" w14:textId="330CF14E" w:rsidR="00C87320" w:rsidRDefault="00DD2082" w:rsidP="00123D1A">
      <w:pPr>
        <w:spacing w:line="360" w:lineRule="auto"/>
      </w:pPr>
      <w:r>
        <w:t xml:space="preserve">Teacher B delivered a session to a similar sized class of 20 students. The students were also apart of the Digital Health and Social Care course, however, were being given a lecture on: Developing Employability Skills. </w:t>
      </w:r>
    </w:p>
    <w:p w14:paraId="063471B1" w14:textId="3B89AC53" w:rsidR="00DD2082" w:rsidRDefault="00DD2082" w:rsidP="00123D1A">
      <w:pPr>
        <w:spacing w:line="360" w:lineRule="auto"/>
      </w:pPr>
      <w:r>
        <w:t>Similarly, to Lecture A, Lecturer B introduced himself to the classroom and gave information on his background</w:t>
      </w:r>
      <w:r w:rsidR="007216F9">
        <w:t xml:space="preserve">, before giving a recap on the previous lecture. Recapping a previous session promotes the ability to recall information and revisit previous knowledge. If there is a gap between sessions this can reiterate the learning that was achieved previously (Benny, 2019). </w:t>
      </w:r>
    </w:p>
    <w:p w14:paraId="18DF6A0D" w14:textId="7AFA1E21" w:rsidR="005006E7" w:rsidRDefault="007216F9" w:rsidP="00123D1A">
      <w:pPr>
        <w:spacing w:line="360" w:lineRule="auto"/>
      </w:pPr>
      <w:r>
        <w:t>After recapping the previous session, he continued with the session and used the register to create an icebreaker. He would call out a student’s name and they were required to tell him why they have chosen to do this course and what they would like to do moving forward. Prince (2004) is an advocate for icebreakers and claims that it enhances the ability to problem solve and think on your feet. He also claims it creates a safe environment and a more student-centred classroom</w:t>
      </w:r>
      <w:r w:rsidR="005006E7">
        <w:t>, which links into professional standards. He also did this by engaging with the students and taking an interest in the answers that they were providing.</w:t>
      </w:r>
    </w:p>
    <w:p w14:paraId="7D227D0E" w14:textId="27BDE8A2" w:rsidR="005006E7" w:rsidRDefault="005006E7" w:rsidP="00123D1A">
      <w:pPr>
        <w:spacing w:line="360" w:lineRule="auto"/>
      </w:pPr>
      <w:r>
        <w:t xml:space="preserve">Lecturer B also thanks students for their answers regardless of if they were correct or not. This is a behaviourist approach, made famous by B. F. Skinner. Using positive feedback from their answered to get the desired outcome of further engagement from the students (Toates, 2009). Behaviourism in classrooms offers benefits by emphasizing observable behaviours, aiding in creating structured and measurable learning experiences. Skinner's theory focuses on rewards and reinforcements, shaping </w:t>
      </w:r>
      <w:r>
        <w:lastRenderedPageBreak/>
        <w:t>student behaviour and motivation (Skinner, 1958). This is something that I will continue to develop in my practice for the maximum levels of engagement.</w:t>
      </w:r>
    </w:p>
    <w:p w14:paraId="6E9EDFCF" w14:textId="21C1210C" w:rsidR="005006E7" w:rsidRDefault="005006E7" w:rsidP="00123D1A">
      <w:pPr>
        <w:spacing w:line="360" w:lineRule="auto"/>
      </w:pPr>
      <w:r>
        <w:t>At some point during the lesson, a student was being disruptive and questioned lecturer B on IT issues which were irrelevant to the session being delivered. Lecturer B politely told the student that any queries about IT, needs to be brought up with the IT department and if there were any more questions that students need to raise their hands. Lecturer B claimed that this strategy was used to ensure further disruptions we not caused. I disagree</w:t>
      </w:r>
      <w:r w:rsidR="00CE6AAA">
        <w:t xml:space="preserve"> I would not use this is my own practice, as I found the level of engagement dropped following this. Brookfield (2015), claims asking adults to raise their hands can have negative effects. He states that this method often cases discomfort and limits engagement in the classroom among adult learners. He also suggests that this might evoke a sense of patronisation due to raising a hand to answer a question is mainly adopted in pre 16 education settings. Dirkx and Mezirow (2006), strengthen this argument. They assert that it would deter students from sharing thoughts and feelings with the general class and can cause a power dynamic creating a sense of inferiority between the students and the educator.</w:t>
      </w:r>
      <w:r w:rsidR="00635E4C" w:rsidRPr="00635E4C">
        <w:t xml:space="preserve"> This, in my opinion, doesn’t align with professional standards, </w:t>
      </w:r>
      <w:r w:rsidR="00635E4C">
        <w:t>as creating a barrier between teacher and student does not promote a safe environment and show commitment to the learners.</w:t>
      </w:r>
    </w:p>
    <w:p w14:paraId="6541139B" w14:textId="6ECF898F" w:rsidR="00CE6AAA" w:rsidRDefault="00CE6AAA" w:rsidP="00123D1A">
      <w:pPr>
        <w:spacing w:line="360" w:lineRule="auto"/>
      </w:pPr>
      <w:r>
        <w:t xml:space="preserve">Additionally, to ascertain his authority as stated above, lecturer B gave the students a break and reiterated that they must be back at a curtain time as he would be restarting the lecture with or without them. This is something that I feel I would employ in my practice, as rules in university classrooms will establish clear expectations, maintain a structured learning environment and in some cases foster mutual respect between students and educators (Williams, 2018). </w:t>
      </w:r>
    </w:p>
    <w:p w14:paraId="233C62F3" w14:textId="3288EB92" w:rsidR="00635E4C" w:rsidRDefault="00635E4C" w:rsidP="00123D1A">
      <w:pPr>
        <w:spacing w:line="360" w:lineRule="auto"/>
      </w:pPr>
      <w:r>
        <w:t xml:space="preserve">Overall lecturer B stated that his lesson went to plan. </w:t>
      </w:r>
    </w:p>
    <w:p w14:paraId="17A27430" w14:textId="77777777" w:rsidR="00635E4C" w:rsidRDefault="00635E4C" w:rsidP="00123D1A">
      <w:pPr>
        <w:spacing w:line="360" w:lineRule="auto"/>
      </w:pPr>
    </w:p>
    <w:p w14:paraId="72F3A254" w14:textId="692DC01D" w:rsidR="00635E4C" w:rsidRDefault="00635E4C" w:rsidP="00123D1A">
      <w:pPr>
        <w:spacing w:line="360" w:lineRule="auto"/>
        <w:rPr>
          <w:b/>
          <w:bCs/>
          <w:u w:val="single"/>
        </w:rPr>
      </w:pPr>
      <w:r>
        <w:rPr>
          <w:b/>
          <w:bCs/>
          <w:u w:val="single"/>
        </w:rPr>
        <w:t>Action plan</w:t>
      </w:r>
    </w:p>
    <w:p w14:paraId="63F69661" w14:textId="343F54F3" w:rsidR="00635E4C" w:rsidRDefault="00635E4C" w:rsidP="00123D1A">
      <w:pPr>
        <w:spacing w:line="360" w:lineRule="auto"/>
      </w:pPr>
      <w:r>
        <w:t xml:space="preserve">Observing both lecturers was a positive experience, and I came away with many things to influence m practice for the better. Lecturer A and B both had substantial knowledge on the subject that they were teaching. I will adhere to the professional standard of demonstrating commitment to my learners and their learning by ensuring that my knowledge is competent enough to deliver effective sessions. </w:t>
      </w:r>
      <w:r w:rsidRPr="00635E4C">
        <w:t>Teacher knowledge is vital in university settings. Educators with deep subject expertise and pedagogical knowledge enhance student learning experiences (Kang, 2015).</w:t>
      </w:r>
    </w:p>
    <w:p w14:paraId="414D1171" w14:textId="4172839F" w:rsidR="00635E4C" w:rsidRDefault="00635E4C" w:rsidP="00123D1A">
      <w:pPr>
        <w:spacing w:line="360" w:lineRule="auto"/>
      </w:pPr>
      <w:r>
        <w:t xml:space="preserve">Secondly, I would like to incorporate the Welsh culture into my lesson, even in the simplest ways, explained in the reflection lecturer A. Something as simple as greeting the students in Welsh is a way </w:t>
      </w:r>
      <w:r>
        <w:lastRenderedPageBreak/>
        <w:t>to promote inclusivity and diversity, as well as understanding the importance of the Welsh language and culture. This aligns with several professional standards which I feel would enhance my teaching practice.</w:t>
      </w:r>
    </w:p>
    <w:p w14:paraId="76E53FB3" w14:textId="2D4FB325" w:rsidR="00380347" w:rsidRDefault="00710F3C" w:rsidP="00123D1A">
      <w:pPr>
        <w:spacing w:line="360" w:lineRule="auto"/>
      </w:pPr>
      <w:r>
        <w:t xml:space="preserve">Although the experience was overall positive there are things that both lecturers did that, I feel I would not take into my teaching career. </w:t>
      </w:r>
      <w:r w:rsidR="00380347">
        <w:t>Firstly,</w:t>
      </w:r>
      <w:r>
        <w:t xml:space="preserve"> </w:t>
      </w:r>
      <w:r w:rsidR="00380347">
        <w:t>I would move around the classroom to engage my students, allowing interaction and proximity to all learners for a more inclusive learning environment. Mobility in the classroom also promotes better classroom management, attentiveness and helps to address is students need additional support (Davis, 2008).</w:t>
      </w:r>
    </w:p>
    <w:p w14:paraId="404A876E" w14:textId="163B8F90" w:rsidR="00380347" w:rsidRDefault="00380347" w:rsidP="00123D1A">
      <w:pPr>
        <w:spacing w:line="360" w:lineRule="auto"/>
      </w:pPr>
      <w:r>
        <w:t>Secondly, I would promote students to speak out freely, instead of putting their hands up. Opening the room to discussions in a classroom offers many benefits. It would encourage student participation and stimulate critical thinking in curtain circumstances (Brookfield and Preskill, 2005). Nilson (2010) agrees and reiterates the benefits of open discussion in the classroom. He believes that it improves on communication skills, supporting the students’ skills for their professional and personal development.</w:t>
      </w:r>
    </w:p>
    <w:p w14:paraId="77B85090" w14:textId="096B3567" w:rsidR="00CE6AAA" w:rsidRDefault="00380347" w:rsidP="00123D1A">
      <w:pPr>
        <w:spacing w:line="360" w:lineRule="auto"/>
      </w:pPr>
      <w:r>
        <w:t xml:space="preserve">Finally, I will continue to treat all students with respect and as individuals, aligning to my professional standards. </w:t>
      </w:r>
      <w:r w:rsidR="0056452B">
        <w:t>Treating students as individuals enhances learning experiences, it addresses each students’ individual needs and learning styles. It motivates students to engage and gives them a sense of belonging in the classroom, all of which can lead to an improvement in academic performance (Tomlinson 2014).</w:t>
      </w:r>
    </w:p>
    <w:p w14:paraId="04A091C5" w14:textId="77777777" w:rsidR="00CE6AAA" w:rsidRDefault="00CE6AAA" w:rsidP="001076FD">
      <w:pPr>
        <w:spacing w:line="360" w:lineRule="auto"/>
      </w:pPr>
    </w:p>
    <w:p w14:paraId="17FD3C90" w14:textId="77777777" w:rsidR="00CE6AAA" w:rsidRDefault="00CE6AAA" w:rsidP="001076FD">
      <w:pPr>
        <w:spacing w:line="360" w:lineRule="auto"/>
      </w:pPr>
    </w:p>
    <w:p w14:paraId="2F246D89" w14:textId="77777777" w:rsidR="005006E7" w:rsidRDefault="005006E7" w:rsidP="001076FD">
      <w:pPr>
        <w:spacing w:line="360" w:lineRule="auto"/>
      </w:pPr>
    </w:p>
    <w:p w14:paraId="27822D5D" w14:textId="77777777" w:rsidR="007216F9" w:rsidRDefault="007216F9" w:rsidP="001076FD">
      <w:pPr>
        <w:spacing w:line="360" w:lineRule="auto"/>
      </w:pPr>
    </w:p>
    <w:p w14:paraId="531D5D1A" w14:textId="77777777" w:rsidR="00C87320" w:rsidRDefault="00C87320" w:rsidP="001076FD">
      <w:pPr>
        <w:spacing w:line="360" w:lineRule="auto"/>
      </w:pPr>
    </w:p>
    <w:p w14:paraId="0E54D811" w14:textId="77777777" w:rsidR="004A42FA" w:rsidRDefault="004A42FA" w:rsidP="001076FD">
      <w:pPr>
        <w:spacing w:line="360" w:lineRule="auto"/>
      </w:pPr>
    </w:p>
    <w:p w14:paraId="597E8E6D" w14:textId="77777777" w:rsidR="001420A9" w:rsidRDefault="001420A9" w:rsidP="001076FD">
      <w:pPr>
        <w:spacing w:line="360" w:lineRule="auto"/>
        <w:rPr>
          <w:u w:val="single"/>
        </w:rPr>
      </w:pPr>
    </w:p>
    <w:p w14:paraId="72604344" w14:textId="77777777" w:rsidR="001420A9" w:rsidRDefault="001420A9" w:rsidP="001076FD">
      <w:pPr>
        <w:spacing w:line="360" w:lineRule="auto"/>
        <w:rPr>
          <w:u w:val="single"/>
        </w:rPr>
      </w:pPr>
    </w:p>
    <w:p w14:paraId="3DFBB5B8" w14:textId="77777777" w:rsidR="001420A9" w:rsidRDefault="001420A9" w:rsidP="001076FD">
      <w:pPr>
        <w:spacing w:line="360" w:lineRule="auto"/>
        <w:rPr>
          <w:u w:val="single"/>
        </w:rPr>
      </w:pPr>
    </w:p>
    <w:p w14:paraId="05314C74" w14:textId="77777777" w:rsidR="001420A9" w:rsidRDefault="001420A9" w:rsidP="001076FD">
      <w:pPr>
        <w:spacing w:line="360" w:lineRule="auto"/>
        <w:rPr>
          <w:u w:val="single"/>
        </w:rPr>
      </w:pPr>
    </w:p>
    <w:p w14:paraId="1A4E3D12" w14:textId="77777777" w:rsidR="001420A9" w:rsidRDefault="001420A9" w:rsidP="001076FD">
      <w:pPr>
        <w:spacing w:line="360" w:lineRule="auto"/>
        <w:rPr>
          <w:u w:val="single"/>
        </w:rPr>
      </w:pPr>
    </w:p>
    <w:p w14:paraId="29487B35" w14:textId="77777777" w:rsidR="001420A9" w:rsidRDefault="001420A9" w:rsidP="001076FD">
      <w:pPr>
        <w:spacing w:line="360" w:lineRule="auto"/>
        <w:rPr>
          <w:u w:val="single"/>
        </w:rPr>
      </w:pPr>
    </w:p>
    <w:p w14:paraId="3960BD6D" w14:textId="77777777" w:rsidR="001420A9" w:rsidRDefault="001420A9" w:rsidP="001076FD">
      <w:pPr>
        <w:spacing w:line="360" w:lineRule="auto"/>
        <w:rPr>
          <w:u w:val="single"/>
        </w:rPr>
      </w:pPr>
    </w:p>
    <w:p w14:paraId="444EDC72" w14:textId="77777777" w:rsidR="001420A9" w:rsidRDefault="001420A9" w:rsidP="001076FD">
      <w:pPr>
        <w:spacing w:line="360" w:lineRule="auto"/>
        <w:rPr>
          <w:u w:val="single"/>
        </w:rPr>
      </w:pPr>
    </w:p>
    <w:p w14:paraId="66E385F8" w14:textId="77777777" w:rsidR="001420A9" w:rsidRDefault="001420A9" w:rsidP="001076FD">
      <w:pPr>
        <w:spacing w:line="360" w:lineRule="auto"/>
        <w:rPr>
          <w:u w:val="single"/>
        </w:rPr>
      </w:pPr>
    </w:p>
    <w:p w14:paraId="6A3131FD" w14:textId="77777777" w:rsidR="001420A9" w:rsidRDefault="001420A9" w:rsidP="001076FD">
      <w:pPr>
        <w:spacing w:line="360" w:lineRule="auto"/>
        <w:rPr>
          <w:u w:val="single"/>
        </w:rPr>
      </w:pPr>
    </w:p>
    <w:p w14:paraId="4880CE97" w14:textId="77777777" w:rsidR="001420A9" w:rsidRDefault="001420A9" w:rsidP="001076FD">
      <w:pPr>
        <w:spacing w:line="360" w:lineRule="auto"/>
        <w:rPr>
          <w:u w:val="single"/>
        </w:rPr>
      </w:pPr>
    </w:p>
    <w:p w14:paraId="747AF605" w14:textId="77777777" w:rsidR="001420A9" w:rsidRDefault="001420A9" w:rsidP="001076FD">
      <w:pPr>
        <w:spacing w:line="360" w:lineRule="auto"/>
        <w:rPr>
          <w:u w:val="single"/>
        </w:rPr>
      </w:pPr>
    </w:p>
    <w:p w14:paraId="3E84C546" w14:textId="77777777" w:rsidR="001420A9" w:rsidRDefault="001420A9" w:rsidP="001076FD">
      <w:pPr>
        <w:spacing w:line="360" w:lineRule="auto"/>
        <w:rPr>
          <w:u w:val="single"/>
        </w:rPr>
      </w:pPr>
    </w:p>
    <w:p w14:paraId="7D9EEE17" w14:textId="77777777" w:rsidR="001420A9" w:rsidRDefault="001420A9" w:rsidP="001076FD">
      <w:pPr>
        <w:spacing w:line="360" w:lineRule="auto"/>
        <w:rPr>
          <w:u w:val="single"/>
        </w:rPr>
      </w:pPr>
    </w:p>
    <w:p w14:paraId="6CAB8F11" w14:textId="77777777" w:rsidR="001420A9" w:rsidRDefault="001420A9" w:rsidP="001076FD">
      <w:pPr>
        <w:spacing w:line="360" w:lineRule="auto"/>
        <w:rPr>
          <w:u w:val="single"/>
        </w:rPr>
      </w:pPr>
    </w:p>
    <w:p w14:paraId="69DB290D" w14:textId="77777777" w:rsidR="001420A9" w:rsidRDefault="001420A9" w:rsidP="001076FD">
      <w:pPr>
        <w:spacing w:line="360" w:lineRule="auto"/>
        <w:rPr>
          <w:u w:val="single"/>
        </w:rPr>
      </w:pPr>
    </w:p>
    <w:p w14:paraId="25E8B30B" w14:textId="77777777" w:rsidR="001420A9" w:rsidRDefault="001420A9" w:rsidP="001076FD">
      <w:pPr>
        <w:spacing w:line="360" w:lineRule="auto"/>
        <w:rPr>
          <w:u w:val="single"/>
        </w:rPr>
      </w:pPr>
    </w:p>
    <w:p w14:paraId="3004957F" w14:textId="77777777" w:rsidR="001420A9" w:rsidRDefault="001420A9" w:rsidP="001076FD">
      <w:pPr>
        <w:spacing w:line="360" w:lineRule="auto"/>
        <w:rPr>
          <w:u w:val="single"/>
        </w:rPr>
      </w:pPr>
    </w:p>
    <w:p w14:paraId="2E76717F" w14:textId="77777777" w:rsidR="00591AC5" w:rsidRDefault="00591AC5" w:rsidP="001076FD">
      <w:pPr>
        <w:spacing w:line="360" w:lineRule="auto"/>
        <w:rPr>
          <w:u w:val="single"/>
        </w:rPr>
      </w:pPr>
    </w:p>
    <w:p w14:paraId="40F6BE21" w14:textId="32E24B7B" w:rsidR="004A42FA" w:rsidRPr="004A42FA" w:rsidRDefault="004A42FA" w:rsidP="001076FD">
      <w:pPr>
        <w:spacing w:line="360" w:lineRule="auto"/>
        <w:rPr>
          <w:u w:val="single"/>
        </w:rPr>
      </w:pPr>
      <w:r w:rsidRPr="004A42FA">
        <w:rPr>
          <w:u w:val="single"/>
        </w:rPr>
        <w:t>References</w:t>
      </w:r>
    </w:p>
    <w:p w14:paraId="142BA1F9" w14:textId="77777777" w:rsidR="00C8253B" w:rsidRDefault="00C8253B" w:rsidP="001076FD">
      <w:pPr>
        <w:spacing w:line="360" w:lineRule="auto"/>
      </w:pPr>
      <w:r w:rsidRPr="00F146A4">
        <w:t>Anderman, L. H., &amp; Anderman, E. M. (2010). Classroom motivation. Upper Saddle River, NJ: Pearson Education.</w:t>
      </w:r>
    </w:p>
    <w:p w14:paraId="68F1898C" w14:textId="77777777" w:rsidR="00C8253B" w:rsidRDefault="00C8253B" w:rsidP="001076FD">
      <w:pPr>
        <w:spacing w:line="360" w:lineRule="auto"/>
      </w:pPr>
      <w:r w:rsidRPr="0068346E">
        <w:t xml:space="preserve">Banas, J. A., Dunbar, N., Rodriguez, D., &amp; Liu, S. J. (2011). A review of </w:t>
      </w:r>
      <w:proofErr w:type="spellStart"/>
      <w:r w:rsidRPr="0068346E">
        <w:t>humor</w:t>
      </w:r>
      <w:proofErr w:type="spellEnd"/>
      <w:r w:rsidRPr="0068346E">
        <w:t xml:space="preserve"> in educational settings: Four decades of research. Communication Education, 60(1), 115-144.</w:t>
      </w:r>
    </w:p>
    <w:p w14:paraId="1536B3A0" w14:textId="77777777" w:rsidR="00C8253B" w:rsidRDefault="00C8253B" w:rsidP="001076FD">
      <w:pPr>
        <w:spacing w:line="360" w:lineRule="auto"/>
      </w:pPr>
      <w:r w:rsidRPr="007216F9">
        <w:t xml:space="preserve">Benney, D. (2019) Revisit Knowledge to Improve Recall. Available at: https://edu.rsc.org/feature/revisiting-knowledge-to-improve-recall/3010133.article (Accessed </w:t>
      </w:r>
      <w:r>
        <w:t>2 November</w:t>
      </w:r>
      <w:r w:rsidRPr="007216F9">
        <w:t xml:space="preserve"> 2023).</w:t>
      </w:r>
    </w:p>
    <w:p w14:paraId="6E95CCF3" w14:textId="77777777" w:rsidR="00C8253B" w:rsidRDefault="00C8253B" w:rsidP="001076FD">
      <w:pPr>
        <w:spacing w:line="360" w:lineRule="auto"/>
      </w:pPr>
      <w:r w:rsidRPr="001420A9">
        <w:t>Biggs, J., &amp; Tang, C. (2011). Teaching for quality learning at university. McGraw-Hill Education.</w:t>
      </w:r>
    </w:p>
    <w:p w14:paraId="03E47F97" w14:textId="77777777" w:rsidR="00C8253B" w:rsidRDefault="00C8253B" w:rsidP="001076FD">
      <w:pPr>
        <w:spacing w:line="360" w:lineRule="auto"/>
      </w:pPr>
      <w:r w:rsidRPr="00063059">
        <w:t xml:space="preserve">Bond, L., Smith., T., Baker, W.K., &amp; Hattie, J.A. (2000). The certification system of the national board for professional teaching standards: A construct and consequential validity study. Greensboro </w:t>
      </w:r>
      <w:proofErr w:type="spellStart"/>
      <w:r w:rsidRPr="00063059">
        <w:t>Center</w:t>
      </w:r>
      <w:proofErr w:type="spellEnd"/>
      <w:r w:rsidRPr="00063059">
        <w:t xml:space="preserve"> for Educational Research and Evaluation: University of North Carolina at Greensboro.</w:t>
      </w:r>
    </w:p>
    <w:p w14:paraId="6FFF7A53" w14:textId="77777777" w:rsidR="00C8253B" w:rsidRDefault="00C8253B" w:rsidP="001076FD">
      <w:pPr>
        <w:spacing w:line="360" w:lineRule="auto"/>
      </w:pPr>
      <w:r>
        <w:lastRenderedPageBreak/>
        <w:t xml:space="preserve">Brookfield, S. D. (2015). The </w:t>
      </w:r>
      <w:proofErr w:type="spellStart"/>
      <w:r>
        <w:t>skillful</w:t>
      </w:r>
      <w:proofErr w:type="spellEnd"/>
      <w:r>
        <w:t xml:space="preserve"> teacher: On technique, trust, and responsiveness in the classroom. John Wiley &amp; Sons.</w:t>
      </w:r>
    </w:p>
    <w:p w14:paraId="3704C461" w14:textId="77777777" w:rsidR="00C8253B" w:rsidRDefault="00C8253B" w:rsidP="001076FD">
      <w:pPr>
        <w:spacing w:line="360" w:lineRule="auto"/>
      </w:pPr>
      <w:r>
        <w:t>Brookfield, S. D., &amp; Preskill, S. (2005). Discussion as a way of teaching: Tools and techniques for democratic classrooms. John Wiley &amp; Sons.</w:t>
      </w:r>
    </w:p>
    <w:p w14:paraId="4CEE8B63" w14:textId="77777777" w:rsidR="00C8253B" w:rsidRDefault="00C8253B" w:rsidP="001076FD">
      <w:pPr>
        <w:spacing w:line="360" w:lineRule="auto"/>
      </w:pPr>
      <w:r w:rsidRPr="00380347">
        <w:t>Davis, B. G. (2008). Tools for teaching. John Wiley &amp; Sons.</w:t>
      </w:r>
    </w:p>
    <w:p w14:paraId="7666401C" w14:textId="77777777" w:rsidR="00C8253B" w:rsidRDefault="00C8253B" w:rsidP="001076FD">
      <w:pPr>
        <w:spacing w:line="360" w:lineRule="auto"/>
      </w:pPr>
      <w:r>
        <w:t>Dirkx, J. M., &amp; Mezirow, J. (2006). Musings and reflections on the meaning, context, and process of transformative learning: A dialogue between John M. Dirkx and Jack Mezirow. Journal of Transformative Education, 4(2), 123-139.</w:t>
      </w:r>
    </w:p>
    <w:p w14:paraId="4BB668A2" w14:textId="77777777" w:rsidR="00C8253B" w:rsidRDefault="00C8253B" w:rsidP="001076FD">
      <w:pPr>
        <w:spacing w:line="360" w:lineRule="auto"/>
      </w:pPr>
      <w:r w:rsidRPr="00457C56">
        <w:t>Driscoll, J. (2007) Practicing Clinical Supervision: A Reflective Approach for Healthcare Professionals. Edinburgh: Elsevier.</w:t>
      </w:r>
    </w:p>
    <w:p w14:paraId="2FD8EF6F" w14:textId="77777777" w:rsidR="00C8253B" w:rsidRDefault="00C8253B" w:rsidP="001076FD">
      <w:pPr>
        <w:spacing w:line="360" w:lineRule="auto"/>
      </w:pPr>
      <w:r w:rsidRPr="00457C56">
        <w:t>Driscoll, J. (2007</w:t>
      </w:r>
      <w:r>
        <w:t>a</w:t>
      </w:r>
      <w:r w:rsidRPr="00457C56">
        <w:t>) Practicing Clinical Supervision: A Reflective Approach for Healthcare Professionals. Edinburgh: Elsevier.</w:t>
      </w:r>
    </w:p>
    <w:p w14:paraId="30665456" w14:textId="77777777" w:rsidR="00C8253B" w:rsidRDefault="00C8253B" w:rsidP="001076FD">
      <w:pPr>
        <w:spacing w:line="360" w:lineRule="auto"/>
      </w:pPr>
      <w:r>
        <w:t>Eilam, B. (2001). Pedagogy for movement in the education of young children. Early Child Development and Care, 166(1), 49-65.</w:t>
      </w:r>
    </w:p>
    <w:p w14:paraId="60BE2701" w14:textId="77777777" w:rsidR="00C8253B" w:rsidRDefault="00C8253B" w:rsidP="001076FD">
      <w:pPr>
        <w:spacing w:line="360" w:lineRule="auto"/>
      </w:pPr>
      <w:r>
        <w:t>Ertmer, P. A., Ottenbreit-Leftwich, A. T., &amp; York, C. S. (2007). Exemplary technology-using teachers: Perceptions of factors influencing success. Journal of Computing in Teacher Education, 23(2), 55-61.</w:t>
      </w:r>
    </w:p>
    <w:p w14:paraId="79EB414E" w14:textId="77777777" w:rsidR="00C8253B" w:rsidRDefault="00C8253B" w:rsidP="001076FD">
      <w:pPr>
        <w:spacing w:line="360" w:lineRule="auto"/>
      </w:pPr>
      <w:r w:rsidRPr="0068346E">
        <w:t>Frymier, A. B., &amp; Houser, M. L. (2016). The role of humour in the teaching-learning process: A review of the literature. Communication Education, 51(1), 59-77.</w:t>
      </w:r>
    </w:p>
    <w:p w14:paraId="51353569" w14:textId="77777777" w:rsidR="00C8253B" w:rsidRDefault="00C8253B" w:rsidP="001076FD">
      <w:pPr>
        <w:spacing w:line="360" w:lineRule="auto"/>
      </w:pPr>
      <w:r w:rsidRPr="00600151">
        <w:t>Gardner, M. R. (2013). Engaging students in lectures: How to create the conditions for deep learning. Journal of Management Education, 37(6), 712-739.</w:t>
      </w:r>
    </w:p>
    <w:p w14:paraId="014EE287" w14:textId="77777777" w:rsidR="00C8253B" w:rsidRDefault="00C8253B" w:rsidP="001076FD">
      <w:pPr>
        <w:spacing w:line="360" w:lineRule="auto"/>
      </w:pPr>
      <w:r w:rsidRPr="004A42FA">
        <w:t xml:space="preserve">Hagger, H., Burn, K., Mutton, T. and Brindley, S. (2008). Practice makes </w:t>
      </w:r>
      <w:proofErr w:type="gramStart"/>
      <w:r w:rsidRPr="004A42FA">
        <w:t>perfect?</w:t>
      </w:r>
      <w:proofErr w:type="gramEnd"/>
      <w:r w:rsidRPr="004A42FA">
        <w:t xml:space="preserve"> Learning to learn as a teacher. Oxford Review of Education, 34(2), pp.159–178. </w:t>
      </w:r>
      <w:proofErr w:type="spellStart"/>
      <w:proofErr w:type="gramStart"/>
      <w:r w:rsidRPr="004A42FA">
        <w:t>doi:https</w:t>
      </w:r>
      <w:proofErr w:type="spellEnd"/>
      <w:r w:rsidRPr="004A42FA">
        <w:t>://doi.org/10.1080/03054980701614978</w:t>
      </w:r>
      <w:proofErr w:type="gramEnd"/>
      <w:r w:rsidRPr="004A42FA">
        <w:t>.</w:t>
      </w:r>
    </w:p>
    <w:p w14:paraId="4A54FF4D" w14:textId="77777777" w:rsidR="00C8253B" w:rsidRDefault="00C8253B" w:rsidP="001076FD">
      <w:pPr>
        <w:spacing w:line="360" w:lineRule="auto"/>
      </w:pPr>
      <w:r>
        <w:t>Hartman, J., &amp; Spiro, R. (2005). Using icebreakers to promote diversity awareness. College Teaching, 53(2), 71-75.</w:t>
      </w:r>
    </w:p>
    <w:p w14:paraId="39D317E6" w14:textId="77777777" w:rsidR="00C8253B" w:rsidRDefault="00C8253B" w:rsidP="001076FD">
      <w:pPr>
        <w:spacing w:line="360" w:lineRule="auto"/>
      </w:pPr>
      <w:r w:rsidRPr="006F35D2">
        <w:t>Hogan, R. (2018). Classroom icebreakers: Set the tone for the semester. Journal on Excellence in College Teaching, 29(1), 31-47.</w:t>
      </w:r>
    </w:p>
    <w:p w14:paraId="72489936" w14:textId="77777777" w:rsidR="00C8253B" w:rsidRDefault="00C8253B" w:rsidP="001076FD">
      <w:pPr>
        <w:spacing w:line="360" w:lineRule="auto"/>
      </w:pPr>
      <w:r w:rsidRPr="00EB5BD4">
        <w:t>Jensen, E. (2000). Brain-based learning: The new paradigm of teaching. Corwin Press.</w:t>
      </w:r>
    </w:p>
    <w:p w14:paraId="662A9178" w14:textId="77777777" w:rsidR="00C8253B" w:rsidRDefault="00C8253B" w:rsidP="001076FD">
      <w:pPr>
        <w:spacing w:line="360" w:lineRule="auto"/>
      </w:pPr>
      <w:r w:rsidRPr="00C87320">
        <w:lastRenderedPageBreak/>
        <w:t>Jones, R. M. (2018). Promoting and integrating culture in higher education: Research, practice, and policy. Routledge.</w:t>
      </w:r>
    </w:p>
    <w:p w14:paraId="0A1B9551" w14:textId="77777777" w:rsidR="00C8253B" w:rsidRDefault="00C8253B" w:rsidP="001076FD">
      <w:pPr>
        <w:spacing w:line="360" w:lineRule="auto"/>
      </w:pPr>
      <w:r>
        <w:t>Kane, D. (2017). Building better relationships with students through the intentional first-day introduction. Scholarship of Teaching and Learning in Psychology, 3(3), 207-216.</w:t>
      </w:r>
    </w:p>
    <w:p w14:paraId="5F3C0D68" w14:textId="77777777" w:rsidR="00C8253B" w:rsidRDefault="00C8253B" w:rsidP="001076FD">
      <w:pPr>
        <w:spacing w:line="360" w:lineRule="auto"/>
      </w:pPr>
      <w:r w:rsidRPr="00635E4C">
        <w:t>Kang, S. H. (2015). Teachers' knowledge about reading comprehension. Journal of Educational Psychology, 107(2), 484-496.</w:t>
      </w:r>
    </w:p>
    <w:p w14:paraId="1DDB257A" w14:textId="77777777" w:rsidR="00C8253B" w:rsidRDefault="00C8253B" w:rsidP="001076FD">
      <w:pPr>
        <w:spacing w:line="360" w:lineRule="auto"/>
      </w:pPr>
      <w:r>
        <w:t>Kaplan, M., &amp; Silver, N. (2005). Teaching and learning: Personal narratives of an instructor's first year. New Directions for Teaching and Learning, 2005(104), 27-38.</w:t>
      </w:r>
    </w:p>
    <w:p w14:paraId="7B3972DD" w14:textId="77777777" w:rsidR="00C8253B" w:rsidRDefault="00C8253B" w:rsidP="001076FD">
      <w:pPr>
        <w:spacing w:line="360" w:lineRule="auto"/>
      </w:pPr>
      <w:r>
        <w:t xml:space="preserve">Milne, H. (2019). Moving to learn: Integrating </w:t>
      </w:r>
      <w:proofErr w:type="spellStart"/>
      <w:r>
        <w:t>kinesthetic</w:t>
      </w:r>
      <w:proofErr w:type="spellEnd"/>
      <w:r>
        <w:t xml:space="preserve"> activities into the curriculum. Lanham, MD: Rowman &amp; Littlefield.</w:t>
      </w:r>
    </w:p>
    <w:p w14:paraId="65F8754E" w14:textId="77777777" w:rsidR="00C8253B" w:rsidRDefault="00C8253B" w:rsidP="001076FD">
      <w:pPr>
        <w:spacing w:line="360" w:lineRule="auto"/>
      </w:pPr>
      <w:r w:rsidRPr="00380347">
        <w:t>Nilson, L. B. (2010). Teaching at its best: A research-based resource for college instructors (3rd ed.). Jossey-Bass.</w:t>
      </w:r>
    </w:p>
    <w:p w14:paraId="07B91645" w14:textId="77777777" w:rsidR="00C8253B" w:rsidRDefault="00C8253B" w:rsidP="001076FD">
      <w:pPr>
        <w:spacing w:line="360" w:lineRule="auto"/>
      </w:pPr>
      <w:r w:rsidRPr="007216F9">
        <w:t>Prince, M. (2004). Does active learning work? A review of the research. Journal of Engineering Education, 93(3), 223-231.</w:t>
      </w:r>
    </w:p>
    <w:p w14:paraId="6297FBE1" w14:textId="77777777" w:rsidR="00C8253B" w:rsidRDefault="00C8253B" w:rsidP="001076FD">
      <w:pPr>
        <w:spacing w:line="360" w:lineRule="auto"/>
      </w:pPr>
      <w:r>
        <w:t>Roblyer, M. D., &amp; Doering, A. H. (2013). Integrating educational technology into teaching. Upper Saddle River, NJ: Pearson.</w:t>
      </w:r>
    </w:p>
    <w:p w14:paraId="7BA6C405" w14:textId="77777777" w:rsidR="00C8253B" w:rsidRDefault="00C8253B" w:rsidP="001076FD">
      <w:pPr>
        <w:spacing w:line="360" w:lineRule="auto"/>
      </w:pPr>
      <w:r w:rsidRPr="00A60883">
        <w:t>Rogers, B., &amp; Webb, M. (2020). Classroom communication and diversity: Enhancing instructional practice. Routledge.</w:t>
      </w:r>
    </w:p>
    <w:p w14:paraId="47BAF97D" w14:textId="77777777" w:rsidR="00C8253B" w:rsidRDefault="00C8253B" w:rsidP="001076FD">
      <w:pPr>
        <w:spacing w:line="360" w:lineRule="auto"/>
      </w:pPr>
      <w:r w:rsidRPr="006F35D2">
        <w:t>Shepard, L. A. (2005). Linking formative assessment to scaffolding. Educational Leadership, 63(3), 66-70.</w:t>
      </w:r>
    </w:p>
    <w:p w14:paraId="6B020C0C" w14:textId="77777777" w:rsidR="00C8253B" w:rsidRDefault="00C8253B" w:rsidP="001076FD">
      <w:pPr>
        <w:spacing w:line="360" w:lineRule="auto"/>
      </w:pPr>
      <w:r w:rsidRPr="005006E7">
        <w:t>Skinner, B. F. (1958). Reinforcement today. American Psychologist, 13(2), 94-99.</w:t>
      </w:r>
    </w:p>
    <w:p w14:paraId="489507D1" w14:textId="77777777" w:rsidR="00C8253B" w:rsidRDefault="00C8253B" w:rsidP="001076FD">
      <w:pPr>
        <w:spacing w:line="360" w:lineRule="auto"/>
      </w:pPr>
      <w:r w:rsidRPr="005006E7">
        <w:t>Toates, F. (2009) Burrhus F. Skinner: the shaping of behaviour. Basingstoke: Palgrave Macmillan.</w:t>
      </w:r>
    </w:p>
    <w:p w14:paraId="1859C6A7" w14:textId="77777777" w:rsidR="00C8253B" w:rsidRDefault="00C8253B" w:rsidP="001076FD">
      <w:pPr>
        <w:spacing w:line="360" w:lineRule="auto"/>
      </w:pPr>
      <w:r>
        <w:t>Tobin, T. J. (2014). Effective instructional strategies for adult learners. Routledge.</w:t>
      </w:r>
    </w:p>
    <w:p w14:paraId="4726B375" w14:textId="77777777" w:rsidR="00C8253B" w:rsidRDefault="00C8253B" w:rsidP="001076FD">
      <w:pPr>
        <w:spacing w:line="360" w:lineRule="auto"/>
      </w:pPr>
      <w:r w:rsidRPr="0056452B">
        <w:t>Tomlinson, C. A. (2014). The differentiated classroom: Responding to the needs of all learners. ASCD.</w:t>
      </w:r>
    </w:p>
    <w:p w14:paraId="32BF7196" w14:textId="77777777" w:rsidR="00C8253B" w:rsidRDefault="00C8253B" w:rsidP="001076FD">
      <w:pPr>
        <w:spacing w:line="360" w:lineRule="auto"/>
      </w:pPr>
      <w:r w:rsidRPr="00CE6AAA">
        <w:t>Williams, J. M. (2018). Preparing to teach in the lifelong learning sector. Learning Matters.</w:t>
      </w:r>
    </w:p>
    <w:p w14:paraId="75755869" w14:textId="77777777" w:rsidR="00C8253B" w:rsidRDefault="00C8253B" w:rsidP="001076FD">
      <w:pPr>
        <w:spacing w:line="360" w:lineRule="auto"/>
      </w:pPr>
      <w:r w:rsidRPr="00D0143A">
        <w:t>Wragg, E. C., &amp; Brown, G. (2001). Explaining in the primary school. Routledge.</w:t>
      </w:r>
    </w:p>
    <w:p w14:paraId="35BAE28E" w14:textId="77777777" w:rsidR="001076FD" w:rsidRDefault="001076FD" w:rsidP="00C8253B">
      <w:pPr>
        <w:pStyle w:val="Heading2"/>
        <w:jc w:val="left"/>
        <w:rPr>
          <w:i w:val="0"/>
          <w:iCs w:val="0"/>
        </w:rPr>
      </w:pPr>
      <w:bookmarkStart w:id="0" w:name="_Toc48127143"/>
    </w:p>
    <w:p w14:paraId="4A3E8177" w14:textId="77777777" w:rsidR="001076FD" w:rsidRDefault="001076FD" w:rsidP="00C8253B">
      <w:pPr>
        <w:pStyle w:val="Heading2"/>
        <w:jc w:val="left"/>
        <w:rPr>
          <w:i w:val="0"/>
          <w:iCs w:val="0"/>
        </w:rPr>
      </w:pPr>
    </w:p>
    <w:p w14:paraId="754B3680" w14:textId="5D922266" w:rsidR="00C8253B" w:rsidRPr="00AA4407" w:rsidRDefault="00C8253B" w:rsidP="00C8253B">
      <w:pPr>
        <w:pStyle w:val="Heading2"/>
        <w:jc w:val="left"/>
        <w:rPr>
          <w:i w:val="0"/>
          <w:iCs w:val="0"/>
        </w:rPr>
      </w:pPr>
      <w:r w:rsidRPr="1B5D5813">
        <w:rPr>
          <w:i w:val="0"/>
          <w:iCs w:val="0"/>
        </w:rPr>
        <w:t>Teacher Observation Form</w:t>
      </w:r>
      <w:bookmarkEnd w:id="0"/>
      <w:r w:rsidRPr="1B5D5813">
        <w:rPr>
          <w:i w:val="0"/>
          <w:iCs w:val="0"/>
        </w:rPr>
        <w:t xml:space="preserve"> </w:t>
      </w:r>
      <w:r>
        <w:rPr>
          <w:i w:val="0"/>
          <w:iCs w:val="0"/>
        </w:rPr>
        <w:t>1</w:t>
      </w:r>
    </w:p>
    <w:p w14:paraId="6176BB8B" w14:textId="77777777" w:rsidR="00C8253B" w:rsidRPr="00C71C2F" w:rsidRDefault="00C8253B" w:rsidP="00C8253B">
      <w:pPr>
        <w:rPr>
          <w:rFonts w:ascii="Calibri" w:hAnsi="Calibri" w:cs="Calibri"/>
          <w:b/>
          <w:sz w:val="18"/>
          <w:szCs w:val="18"/>
        </w:rPr>
      </w:pPr>
    </w:p>
    <w:p w14:paraId="2305A4D4" w14:textId="77777777" w:rsidR="00C8253B" w:rsidRPr="00D57B13" w:rsidRDefault="00C8253B" w:rsidP="00C8253B">
      <w:pPr>
        <w:jc w:val="center"/>
      </w:pPr>
      <w:r w:rsidRPr="00D57B13">
        <w:rPr>
          <w:noProof/>
          <w:lang w:eastAsia="en-GB"/>
        </w:rPr>
        <w:drawing>
          <wp:inline distT="0" distB="0" distL="0" distR="0" wp14:anchorId="3391B840" wp14:editId="78564A82">
            <wp:extent cx="1362075" cy="48133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A9130FC" w14:textId="77777777" w:rsidR="00C8253B" w:rsidRPr="00C71C2F" w:rsidRDefault="00C8253B" w:rsidP="00C8253B">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2"/>
        <w:gridCol w:w="1298"/>
      </w:tblGrid>
      <w:tr w:rsidR="00C8253B" w:rsidRPr="00C71C2F" w14:paraId="777FE843" w14:textId="77777777" w:rsidTr="009D399F">
        <w:trPr>
          <w:jc w:val="center"/>
        </w:trPr>
        <w:tc>
          <w:tcPr>
            <w:tcW w:w="10201" w:type="dxa"/>
            <w:shd w:val="clear" w:color="auto" w:fill="auto"/>
          </w:tcPr>
          <w:p w14:paraId="1F10F077" w14:textId="77777777" w:rsidR="00C8253B" w:rsidRPr="00C71C2F" w:rsidRDefault="00C8253B" w:rsidP="009D399F">
            <w:pPr>
              <w:rPr>
                <w:rFonts w:ascii="Calibri" w:hAnsi="Calibri" w:cs="Calibri"/>
                <w:b/>
                <w:szCs w:val="24"/>
              </w:rPr>
            </w:pPr>
            <w:r w:rsidRPr="00C71C2F">
              <w:rPr>
                <w:rFonts w:ascii="Calibri" w:hAnsi="Calibri" w:cs="Calibri"/>
                <w:b/>
                <w:szCs w:val="24"/>
              </w:rPr>
              <w:t>Teacher</w:t>
            </w:r>
          </w:p>
          <w:p w14:paraId="67E5D28E" w14:textId="77777777" w:rsidR="00C8253B" w:rsidRPr="00C71C2F" w:rsidRDefault="00C8253B" w:rsidP="009D399F">
            <w:pPr>
              <w:rPr>
                <w:rFonts w:ascii="Calibri" w:hAnsi="Calibri" w:cs="Calibri"/>
                <w:b/>
                <w:szCs w:val="24"/>
              </w:rPr>
            </w:pPr>
          </w:p>
        </w:tc>
        <w:tc>
          <w:tcPr>
            <w:tcW w:w="289" w:type="dxa"/>
            <w:shd w:val="clear" w:color="auto" w:fill="auto"/>
          </w:tcPr>
          <w:p w14:paraId="76CB7CCE" w14:textId="77777777" w:rsidR="00C8253B" w:rsidRPr="00C71C2F" w:rsidRDefault="00C8253B" w:rsidP="009D399F">
            <w:pPr>
              <w:rPr>
                <w:rFonts w:ascii="Calibri" w:hAnsi="Calibri" w:cs="Calibri"/>
                <w:b/>
                <w:szCs w:val="24"/>
              </w:rPr>
            </w:pPr>
            <w:r>
              <w:rPr>
                <w:rFonts w:ascii="Calibri" w:hAnsi="Calibri" w:cs="Calibri"/>
                <w:b/>
                <w:szCs w:val="24"/>
              </w:rPr>
              <w:t>Beverley Howard</w:t>
            </w:r>
          </w:p>
        </w:tc>
      </w:tr>
      <w:tr w:rsidR="00C8253B" w:rsidRPr="00C71C2F" w14:paraId="7D342CF7" w14:textId="77777777" w:rsidTr="009D399F">
        <w:trPr>
          <w:jc w:val="center"/>
        </w:trPr>
        <w:tc>
          <w:tcPr>
            <w:tcW w:w="10201" w:type="dxa"/>
            <w:shd w:val="clear" w:color="auto" w:fill="auto"/>
          </w:tcPr>
          <w:p w14:paraId="00FE553E" w14:textId="77777777" w:rsidR="00C8253B" w:rsidRPr="00C71C2F" w:rsidRDefault="00C8253B" w:rsidP="009D399F">
            <w:pPr>
              <w:rPr>
                <w:rFonts w:ascii="Calibri" w:hAnsi="Calibri" w:cs="Calibri"/>
                <w:b/>
                <w:szCs w:val="24"/>
              </w:rPr>
            </w:pPr>
            <w:r w:rsidRPr="00C71C2F">
              <w:rPr>
                <w:rFonts w:ascii="Calibri" w:hAnsi="Calibri" w:cs="Calibri"/>
                <w:b/>
                <w:szCs w:val="24"/>
              </w:rPr>
              <w:t>Date</w:t>
            </w:r>
          </w:p>
        </w:tc>
        <w:tc>
          <w:tcPr>
            <w:tcW w:w="289" w:type="dxa"/>
            <w:shd w:val="clear" w:color="auto" w:fill="auto"/>
          </w:tcPr>
          <w:p w14:paraId="3818EB97" w14:textId="77777777" w:rsidR="00C8253B" w:rsidRPr="00C71C2F" w:rsidRDefault="00C8253B" w:rsidP="009D399F">
            <w:pPr>
              <w:rPr>
                <w:rFonts w:ascii="Calibri" w:hAnsi="Calibri" w:cs="Calibri"/>
                <w:b/>
                <w:szCs w:val="24"/>
              </w:rPr>
            </w:pPr>
          </w:p>
          <w:p w14:paraId="2F12BEF3" w14:textId="77777777" w:rsidR="00C8253B" w:rsidRPr="00C71C2F" w:rsidRDefault="00C8253B" w:rsidP="009D399F">
            <w:pPr>
              <w:rPr>
                <w:rFonts w:ascii="Calibri" w:hAnsi="Calibri" w:cs="Calibri"/>
                <w:b/>
                <w:szCs w:val="24"/>
              </w:rPr>
            </w:pPr>
            <w:r>
              <w:rPr>
                <w:rFonts w:ascii="Calibri" w:hAnsi="Calibri" w:cs="Calibri"/>
                <w:b/>
                <w:szCs w:val="24"/>
              </w:rPr>
              <w:t>09/10/2023</w:t>
            </w:r>
          </w:p>
        </w:tc>
      </w:tr>
      <w:tr w:rsidR="00C8253B" w:rsidRPr="00C71C2F" w14:paraId="60760A8A" w14:textId="77777777" w:rsidTr="009D399F">
        <w:trPr>
          <w:jc w:val="center"/>
        </w:trPr>
        <w:tc>
          <w:tcPr>
            <w:tcW w:w="10201" w:type="dxa"/>
            <w:shd w:val="clear" w:color="auto" w:fill="auto"/>
          </w:tcPr>
          <w:p w14:paraId="55AE04E1" w14:textId="77777777" w:rsidR="00C8253B" w:rsidRPr="00C71C2F" w:rsidRDefault="00C8253B" w:rsidP="009D399F">
            <w:pPr>
              <w:rPr>
                <w:rFonts w:ascii="Calibri" w:hAnsi="Calibri" w:cs="Calibri"/>
                <w:b/>
                <w:szCs w:val="24"/>
              </w:rPr>
            </w:pPr>
            <w:r w:rsidRPr="00C71C2F">
              <w:rPr>
                <w:rFonts w:ascii="Calibri" w:hAnsi="Calibri" w:cs="Calibri"/>
                <w:b/>
                <w:szCs w:val="24"/>
              </w:rPr>
              <w:t>Group</w:t>
            </w:r>
          </w:p>
        </w:tc>
        <w:tc>
          <w:tcPr>
            <w:tcW w:w="289" w:type="dxa"/>
            <w:shd w:val="clear" w:color="auto" w:fill="auto"/>
          </w:tcPr>
          <w:p w14:paraId="0FFDFD0A" w14:textId="77777777" w:rsidR="00C8253B" w:rsidRPr="00C71C2F" w:rsidRDefault="00C8253B" w:rsidP="009D399F">
            <w:pPr>
              <w:rPr>
                <w:rFonts w:ascii="Calibri" w:hAnsi="Calibri" w:cs="Calibri"/>
                <w:b/>
                <w:szCs w:val="24"/>
              </w:rPr>
            </w:pPr>
            <w:r>
              <w:rPr>
                <w:rFonts w:ascii="Calibri" w:hAnsi="Calibri" w:cs="Calibri"/>
                <w:b/>
                <w:szCs w:val="24"/>
              </w:rPr>
              <w:t>Digital Health and Social Care</w:t>
            </w:r>
          </w:p>
          <w:p w14:paraId="1DE11F2F" w14:textId="77777777" w:rsidR="00C8253B" w:rsidRPr="00C71C2F" w:rsidRDefault="00C8253B" w:rsidP="009D399F">
            <w:pPr>
              <w:rPr>
                <w:rFonts w:ascii="Calibri" w:hAnsi="Calibri" w:cs="Calibri"/>
                <w:b/>
                <w:szCs w:val="24"/>
              </w:rPr>
            </w:pPr>
          </w:p>
        </w:tc>
      </w:tr>
      <w:tr w:rsidR="00C8253B" w:rsidRPr="00C71C2F" w14:paraId="26D04218" w14:textId="77777777" w:rsidTr="009D399F">
        <w:trPr>
          <w:jc w:val="center"/>
        </w:trPr>
        <w:tc>
          <w:tcPr>
            <w:tcW w:w="10201" w:type="dxa"/>
            <w:tcBorders>
              <w:bottom w:val="single" w:sz="4" w:space="0" w:color="auto"/>
            </w:tcBorders>
            <w:shd w:val="clear" w:color="auto" w:fill="auto"/>
          </w:tcPr>
          <w:p w14:paraId="2B7F4061" w14:textId="77777777" w:rsidR="00C8253B" w:rsidRPr="00C71C2F" w:rsidRDefault="00C8253B" w:rsidP="009D399F">
            <w:pPr>
              <w:rPr>
                <w:rFonts w:ascii="Calibri" w:hAnsi="Calibri" w:cs="Calibri"/>
                <w:b/>
                <w:szCs w:val="24"/>
              </w:rPr>
            </w:pPr>
            <w:r w:rsidRPr="00C71C2F">
              <w:rPr>
                <w:rFonts w:ascii="Calibri" w:hAnsi="Calibri" w:cs="Calibri"/>
                <w:b/>
                <w:szCs w:val="24"/>
              </w:rPr>
              <w:t>Topic/Context</w:t>
            </w:r>
          </w:p>
        </w:tc>
        <w:tc>
          <w:tcPr>
            <w:tcW w:w="289" w:type="dxa"/>
            <w:tcBorders>
              <w:bottom w:val="single" w:sz="4" w:space="0" w:color="auto"/>
            </w:tcBorders>
            <w:shd w:val="clear" w:color="auto" w:fill="auto"/>
          </w:tcPr>
          <w:p w14:paraId="4BD58076" w14:textId="77777777" w:rsidR="00C8253B" w:rsidRPr="00C71C2F" w:rsidRDefault="00C8253B" w:rsidP="009D399F">
            <w:pPr>
              <w:rPr>
                <w:rFonts w:ascii="Calibri" w:hAnsi="Calibri" w:cs="Calibri"/>
                <w:b/>
                <w:szCs w:val="24"/>
              </w:rPr>
            </w:pPr>
            <w:r>
              <w:rPr>
                <w:rFonts w:ascii="Calibri" w:hAnsi="Calibri" w:cs="Calibri"/>
                <w:b/>
                <w:szCs w:val="24"/>
              </w:rPr>
              <w:t>Preparing for Success in HE</w:t>
            </w:r>
          </w:p>
          <w:p w14:paraId="58AE03AF" w14:textId="77777777" w:rsidR="00C8253B" w:rsidRPr="00C71C2F" w:rsidRDefault="00C8253B" w:rsidP="009D399F">
            <w:pPr>
              <w:rPr>
                <w:rFonts w:ascii="Calibri" w:hAnsi="Calibri" w:cs="Calibri"/>
                <w:b/>
                <w:szCs w:val="24"/>
              </w:rPr>
            </w:pPr>
          </w:p>
        </w:tc>
      </w:tr>
      <w:tr w:rsidR="00C8253B" w:rsidRPr="00C71C2F" w14:paraId="5496D18D" w14:textId="77777777" w:rsidTr="009D399F">
        <w:trPr>
          <w:jc w:val="center"/>
        </w:trPr>
        <w:tc>
          <w:tcPr>
            <w:tcW w:w="10490" w:type="dxa"/>
            <w:gridSpan w:val="2"/>
            <w:shd w:val="clear" w:color="auto" w:fill="auto"/>
          </w:tcPr>
          <w:p w14:paraId="1E844D51" w14:textId="77777777" w:rsidR="00C8253B" w:rsidRPr="00C71C2F" w:rsidRDefault="00C8253B" w:rsidP="009D399F">
            <w:pPr>
              <w:rPr>
                <w:rFonts w:ascii="Calibri" w:hAnsi="Calibri" w:cs="Calibri"/>
                <w:b/>
                <w:szCs w:val="24"/>
              </w:rPr>
            </w:pPr>
            <w:r w:rsidRPr="00C71C2F">
              <w:rPr>
                <w:rFonts w:ascii="Calibri" w:hAnsi="Calibri" w:cs="Calibri"/>
                <w:b/>
                <w:szCs w:val="24"/>
              </w:rPr>
              <w:t>Notes on the lesson:</w:t>
            </w:r>
          </w:p>
        </w:tc>
      </w:tr>
      <w:tr w:rsidR="00C8253B" w:rsidRPr="00C71C2F" w14:paraId="22421291" w14:textId="77777777" w:rsidTr="009D399F">
        <w:trPr>
          <w:jc w:val="center"/>
        </w:trPr>
        <w:tc>
          <w:tcPr>
            <w:tcW w:w="10201" w:type="dxa"/>
            <w:tcBorders>
              <w:bottom w:val="single" w:sz="4" w:space="0" w:color="auto"/>
              <w:right w:val="nil"/>
            </w:tcBorders>
            <w:shd w:val="clear" w:color="auto" w:fill="auto"/>
          </w:tcPr>
          <w:p w14:paraId="38F1DFBF"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To start with several of the students turned up late to the lecture, the lecturer did not let this throw her off her stride and she continued as normal. She made a note during the middle portion of the lecture to address late comers and said ‘If you are going to be late, just come in and sit down and try not to disturb the rest of the classroom.  </w:t>
            </w:r>
          </w:p>
          <w:p w14:paraId="32216DD7"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The lesson was outlining the course and the assignment. Throughout the lecture, after every point was taught, she would ask the students if they understood and if they had any questions.</w:t>
            </w:r>
          </w:p>
          <w:p w14:paraId="477FA793"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She outlined her teaching strategies with the students, letting them know that she likes to have open discussions in her lectures and that student participation is welcomed. </w:t>
            </w:r>
          </w:p>
          <w:p w14:paraId="074C7D69"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She used humor throughout the lecture to make the atmosphere less intense. </w:t>
            </w:r>
          </w:p>
          <w:p w14:paraId="1C73D1CE"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She introduced herself well at the start of the lecture and told the students who I was and what I was doing in the classroom.</w:t>
            </w:r>
          </w:p>
          <w:p w14:paraId="22448934"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The lecturer was having technical difficulties, and the interactive whiteboard was not working. She adapted well and continued the lecture using a board marker and whiteboard. She also had pre prepared in case this happened and had already printed handouts of what was going to be on the PowerPoint presentation.</w:t>
            </w:r>
          </w:p>
          <w:p w14:paraId="3A5060AA"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She did not conduct an ice breaker, even though it was the first lesson of their academic journey.</w:t>
            </w:r>
          </w:p>
          <w:p w14:paraId="38992C41"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lastRenderedPageBreak/>
              <w:t>She was knowledgeable on the subject and answered students’ questions thoroughly, if she did not know an answer, she would respond with ‘I’m not quite sure of that, let me find out and get back to you.’</w:t>
            </w:r>
          </w:p>
          <w:p w14:paraId="674392ED"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The classroom was large, and she did not walk around the classroom, however stayed in one spot at the classroom to deliver the subject matter. </w:t>
            </w:r>
          </w:p>
          <w:p w14:paraId="26687BB8"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Students were not afraid to give answers regardless of whether they were correct or wrong. </w:t>
            </w:r>
          </w:p>
          <w:p w14:paraId="115F11B8"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Halfway through the lesson she gave the students a break to get a coffee, stretch their legs, etc.</w:t>
            </w:r>
          </w:p>
          <w:p w14:paraId="07378B73"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 When students contributed to the lecture, she would thank them.</w:t>
            </w:r>
          </w:p>
          <w:p w14:paraId="78ED78D1"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Some students were talking to each other during the lecture, the teacher politely asked them if they would quiet down and if they would like a conversation, they were free to leave the room. The students did not disturb the lesson further.</w:t>
            </w:r>
          </w:p>
          <w:p w14:paraId="4940D30D"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Voice and tone were strong throughout the lecture, she was clear and easy to understand. She did not use overcomplicated words considering all entry levels for her learners. </w:t>
            </w:r>
          </w:p>
          <w:p w14:paraId="56ED6D91"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She directed students towards the resources for the assignment and where to find them although the interactive whiteboard was not working. </w:t>
            </w:r>
          </w:p>
          <w:p w14:paraId="6D913754" w14:textId="77777777" w:rsidR="00C8253B" w:rsidRPr="008424FB" w:rsidRDefault="00C8253B" w:rsidP="009D399F">
            <w:pPr>
              <w:pStyle w:val="ListParagraph"/>
              <w:numPr>
                <w:ilvl w:val="0"/>
                <w:numId w:val="1"/>
              </w:numPr>
              <w:rPr>
                <w:rFonts w:ascii="Calibri" w:hAnsi="Calibri" w:cs="Calibri"/>
                <w:b/>
                <w:szCs w:val="24"/>
              </w:rPr>
            </w:pPr>
            <w:r>
              <w:rPr>
                <w:rFonts w:ascii="Calibri" w:hAnsi="Calibri" w:cs="Calibri"/>
                <w:b/>
                <w:szCs w:val="24"/>
              </w:rPr>
              <w:t>Stayed at the end of the lesson and informed the students that if they had any queries that they would like to share privately that they would be able to.</w:t>
            </w:r>
          </w:p>
          <w:p w14:paraId="770481AE" w14:textId="77777777" w:rsidR="00C8253B" w:rsidRPr="00C71C2F" w:rsidRDefault="00C8253B" w:rsidP="009D399F">
            <w:pPr>
              <w:rPr>
                <w:rFonts w:ascii="Calibri" w:hAnsi="Calibri" w:cs="Calibri"/>
                <w:b/>
                <w:szCs w:val="24"/>
              </w:rPr>
            </w:pPr>
          </w:p>
          <w:p w14:paraId="02EFED45" w14:textId="77777777" w:rsidR="00C8253B" w:rsidRPr="00C71C2F" w:rsidRDefault="00C8253B" w:rsidP="009D399F">
            <w:pPr>
              <w:rPr>
                <w:rFonts w:ascii="Calibri" w:hAnsi="Calibri" w:cs="Calibri"/>
                <w:b/>
                <w:szCs w:val="24"/>
              </w:rPr>
            </w:pPr>
          </w:p>
        </w:tc>
        <w:tc>
          <w:tcPr>
            <w:tcW w:w="289" w:type="dxa"/>
            <w:tcBorders>
              <w:left w:val="nil"/>
              <w:bottom w:val="single" w:sz="4" w:space="0" w:color="auto"/>
            </w:tcBorders>
            <w:shd w:val="clear" w:color="auto" w:fill="auto"/>
          </w:tcPr>
          <w:p w14:paraId="496E29B0" w14:textId="77777777" w:rsidR="00C8253B" w:rsidRPr="00C71C2F" w:rsidRDefault="00C8253B" w:rsidP="009D399F">
            <w:pPr>
              <w:rPr>
                <w:rFonts w:ascii="Calibri" w:hAnsi="Calibri" w:cs="Calibri"/>
                <w:b/>
                <w:szCs w:val="24"/>
              </w:rPr>
            </w:pPr>
          </w:p>
        </w:tc>
      </w:tr>
      <w:tr w:rsidR="00C8253B" w:rsidRPr="00C71C2F" w14:paraId="328DAE3D" w14:textId="77777777" w:rsidTr="009D399F">
        <w:trPr>
          <w:jc w:val="center"/>
        </w:trPr>
        <w:tc>
          <w:tcPr>
            <w:tcW w:w="10490" w:type="dxa"/>
            <w:gridSpan w:val="2"/>
            <w:shd w:val="clear" w:color="auto" w:fill="auto"/>
          </w:tcPr>
          <w:p w14:paraId="5BCF160C" w14:textId="77777777" w:rsidR="00C8253B" w:rsidRPr="00C71C2F" w:rsidRDefault="00C8253B" w:rsidP="009D399F">
            <w:pPr>
              <w:rPr>
                <w:rFonts w:ascii="Calibri" w:hAnsi="Calibri" w:cs="Calibri"/>
                <w:b/>
                <w:szCs w:val="24"/>
              </w:rPr>
            </w:pPr>
            <w:r w:rsidRPr="00C71C2F">
              <w:rPr>
                <w:rFonts w:ascii="Calibri" w:hAnsi="Calibri" w:cs="Calibri"/>
                <w:b/>
                <w:szCs w:val="24"/>
              </w:rPr>
              <w:t>What I have learned:</w:t>
            </w:r>
          </w:p>
        </w:tc>
      </w:tr>
      <w:tr w:rsidR="00C8253B" w:rsidRPr="00C71C2F" w14:paraId="2E807040" w14:textId="77777777" w:rsidTr="009D399F">
        <w:trPr>
          <w:jc w:val="center"/>
        </w:trPr>
        <w:tc>
          <w:tcPr>
            <w:tcW w:w="10201" w:type="dxa"/>
            <w:tcBorders>
              <w:bottom w:val="single" w:sz="4" w:space="0" w:color="auto"/>
              <w:right w:val="nil"/>
            </w:tcBorders>
            <w:shd w:val="clear" w:color="auto" w:fill="auto"/>
          </w:tcPr>
          <w:p w14:paraId="006238E0" w14:textId="77777777" w:rsidR="00C8253B" w:rsidRDefault="00C8253B" w:rsidP="009D399F">
            <w:pPr>
              <w:pStyle w:val="ListParagraph"/>
              <w:numPr>
                <w:ilvl w:val="0"/>
                <w:numId w:val="1"/>
              </w:numPr>
              <w:rPr>
                <w:rFonts w:ascii="Calibri" w:hAnsi="Calibri" w:cs="Calibri"/>
                <w:b/>
                <w:szCs w:val="24"/>
              </w:rPr>
            </w:pPr>
            <w:r w:rsidRPr="0076132B">
              <w:rPr>
                <w:rFonts w:ascii="Calibri" w:hAnsi="Calibri" w:cs="Calibri"/>
                <w:b/>
                <w:szCs w:val="24"/>
              </w:rPr>
              <w:t>I gained knowledge on a lot of different aspects of teaching whilst observing this lesson. I understood the importance of assessing entry level knowledge of the students to ensure that no one is excluded. Thus, creating a safe environment for all.</w:t>
            </w:r>
          </w:p>
          <w:p w14:paraId="532C8D44"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To be prepared. Technology will not always work in my favor, and I need to be prepared for all circumstances, this will come with effective lesson planning and experience. </w:t>
            </w:r>
          </w:p>
          <w:p w14:paraId="6F3443C4"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To have authority but also be approachable. I need to have a good balance between being friendly but not the students’ friends and having authority that I will not be walked over.</w:t>
            </w:r>
          </w:p>
          <w:p w14:paraId="4318AB2B"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Icebreakers can be good but also bad. When speaking to the lecturer, her rational for not conducting an icebreaker was, that not all students want to speak publicly in a classroom, and she would not want to force anyone into doing something that they are uncomfortable with.</w:t>
            </w:r>
          </w:p>
          <w:p w14:paraId="246B58EE"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Always create a safe environment for your learners, the levels of engagement will increase, creating a more productive lesson.</w:t>
            </w:r>
          </w:p>
          <w:p w14:paraId="453F60CD"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Be confident whilst speaking, tone of voice and volume are important. Not only to ensure the students can hear me, but that they have confidence in what I’m saying.</w:t>
            </w:r>
          </w:p>
          <w:p w14:paraId="2B71771C"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Understand what I’m teaching. Knowledge on a subject can be the biggest tool to use. This will come across within the lecture and instill confidence in the students that I know what I’m talking about. </w:t>
            </w:r>
          </w:p>
          <w:p w14:paraId="3AF33075"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lastRenderedPageBreak/>
              <w:t>Plan thoroughly and try to refine my skills to adapt in changing circumstances.</w:t>
            </w:r>
          </w:p>
          <w:p w14:paraId="1E96D6B1"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rPr>
              <w:t>Humor isn’t the most, but it is important. It can relax the environment.</w:t>
            </w:r>
          </w:p>
          <w:p w14:paraId="1BB70424" w14:textId="77777777" w:rsidR="00C8253B" w:rsidRPr="00AB588F" w:rsidRDefault="00C8253B" w:rsidP="009D399F">
            <w:pPr>
              <w:pStyle w:val="ListParagraph"/>
              <w:numPr>
                <w:ilvl w:val="0"/>
                <w:numId w:val="1"/>
              </w:numPr>
              <w:rPr>
                <w:rFonts w:ascii="Calibri" w:hAnsi="Calibri" w:cs="Calibri"/>
                <w:b/>
                <w:szCs w:val="24"/>
              </w:rPr>
            </w:pPr>
            <w:r>
              <w:rPr>
                <w:rFonts w:ascii="Calibri" w:hAnsi="Calibri" w:cs="Calibri"/>
                <w:b/>
                <w:szCs w:val="24"/>
              </w:rPr>
              <w:t xml:space="preserve">Give students a break. Lectures can be long and sometime draining, causing students to disengage, and a quick 10/15-minute break can energize people into a more productive second half of the lecture. </w:t>
            </w:r>
          </w:p>
          <w:p w14:paraId="5726A9A0" w14:textId="77777777" w:rsidR="00C8253B" w:rsidRDefault="00C8253B" w:rsidP="009D399F">
            <w:pPr>
              <w:rPr>
                <w:rFonts w:ascii="Calibri" w:hAnsi="Calibri" w:cs="Calibri"/>
                <w:b/>
                <w:szCs w:val="24"/>
              </w:rPr>
            </w:pPr>
          </w:p>
          <w:p w14:paraId="01464315" w14:textId="77777777" w:rsidR="00C8253B" w:rsidRPr="00AB588F" w:rsidRDefault="00C8253B" w:rsidP="009D399F">
            <w:pPr>
              <w:rPr>
                <w:rFonts w:ascii="Calibri" w:hAnsi="Calibri" w:cs="Calibri"/>
                <w:b/>
                <w:szCs w:val="24"/>
              </w:rPr>
            </w:pPr>
          </w:p>
          <w:p w14:paraId="7F883BF1" w14:textId="77777777" w:rsidR="00C8253B" w:rsidRPr="00C71C2F" w:rsidRDefault="00C8253B" w:rsidP="009D399F">
            <w:pPr>
              <w:rPr>
                <w:rFonts w:ascii="Calibri" w:hAnsi="Calibri" w:cs="Calibri"/>
                <w:b/>
                <w:szCs w:val="24"/>
              </w:rPr>
            </w:pPr>
          </w:p>
          <w:p w14:paraId="2870790D" w14:textId="77777777" w:rsidR="00C8253B" w:rsidRPr="00C71C2F" w:rsidRDefault="00C8253B" w:rsidP="009D399F">
            <w:pPr>
              <w:rPr>
                <w:rFonts w:ascii="Calibri" w:hAnsi="Calibri" w:cs="Calibri"/>
                <w:b/>
                <w:szCs w:val="24"/>
              </w:rPr>
            </w:pPr>
          </w:p>
        </w:tc>
        <w:tc>
          <w:tcPr>
            <w:tcW w:w="289" w:type="dxa"/>
            <w:tcBorders>
              <w:left w:val="nil"/>
              <w:bottom w:val="single" w:sz="4" w:space="0" w:color="auto"/>
            </w:tcBorders>
            <w:shd w:val="clear" w:color="auto" w:fill="auto"/>
          </w:tcPr>
          <w:p w14:paraId="7DE0A755" w14:textId="77777777" w:rsidR="00C8253B" w:rsidRPr="00C71C2F" w:rsidRDefault="00C8253B" w:rsidP="009D399F">
            <w:pPr>
              <w:rPr>
                <w:rFonts w:ascii="Calibri" w:hAnsi="Calibri" w:cs="Calibri"/>
                <w:b/>
                <w:szCs w:val="24"/>
              </w:rPr>
            </w:pPr>
          </w:p>
        </w:tc>
      </w:tr>
      <w:tr w:rsidR="00C8253B" w:rsidRPr="00C71C2F" w14:paraId="2A23DC72" w14:textId="77777777" w:rsidTr="009D399F">
        <w:trPr>
          <w:jc w:val="center"/>
        </w:trPr>
        <w:tc>
          <w:tcPr>
            <w:tcW w:w="10490" w:type="dxa"/>
            <w:gridSpan w:val="2"/>
            <w:shd w:val="clear" w:color="auto" w:fill="auto"/>
          </w:tcPr>
          <w:p w14:paraId="105F1135" w14:textId="77777777" w:rsidR="00C8253B" w:rsidRPr="00C71C2F" w:rsidRDefault="00C8253B" w:rsidP="009D399F">
            <w:pPr>
              <w:rPr>
                <w:rFonts w:ascii="Calibri" w:hAnsi="Calibri" w:cs="Calibri"/>
                <w:b/>
                <w:bCs/>
              </w:rPr>
            </w:pPr>
            <w:r w:rsidRPr="1B5D5813">
              <w:rPr>
                <w:rFonts w:ascii="Calibri" w:hAnsi="Calibri" w:cs="Calibri"/>
                <w:b/>
                <w:bCs/>
              </w:rPr>
              <w:t>Targets to improve my own practice (mapped to professional standards):</w:t>
            </w:r>
          </w:p>
        </w:tc>
      </w:tr>
      <w:tr w:rsidR="00C8253B" w:rsidRPr="00C71C2F" w14:paraId="4DD026BD" w14:textId="77777777" w:rsidTr="009D399F">
        <w:trPr>
          <w:jc w:val="center"/>
        </w:trPr>
        <w:tc>
          <w:tcPr>
            <w:tcW w:w="10201" w:type="dxa"/>
            <w:tcBorders>
              <w:right w:val="nil"/>
            </w:tcBorders>
            <w:shd w:val="clear" w:color="auto" w:fill="auto"/>
          </w:tcPr>
          <w:p w14:paraId="3CCCD21D" w14:textId="77777777" w:rsidR="00C8253B" w:rsidRDefault="00C8253B" w:rsidP="009D399F">
            <w:pPr>
              <w:pStyle w:val="ListParagraph"/>
              <w:numPr>
                <w:ilvl w:val="0"/>
                <w:numId w:val="1"/>
              </w:numPr>
              <w:rPr>
                <w:rFonts w:ascii="Calibri" w:hAnsi="Calibri" w:cs="Calibri"/>
                <w:b/>
                <w:szCs w:val="24"/>
              </w:rPr>
            </w:pPr>
            <w:r w:rsidRPr="00AB588F">
              <w:rPr>
                <w:rFonts w:ascii="Calibri" w:hAnsi="Calibri" w:cs="Calibri"/>
                <w:b/>
                <w:szCs w:val="24"/>
                <w:u w:val="single"/>
              </w:rPr>
              <w:t>Demonstrate commitment to learners, their learning, safety and well-being</w:t>
            </w:r>
            <w:r>
              <w:rPr>
                <w:rFonts w:ascii="Calibri" w:hAnsi="Calibri" w:cs="Calibri"/>
                <w:b/>
                <w:szCs w:val="24"/>
              </w:rPr>
              <w:t xml:space="preserve"> – as I am teaching subjects slightly outside of my knowledge base, I will be committed to learning the material myself to ensure that the students are getting the best possible learning experience possible.</w:t>
            </w:r>
          </w:p>
          <w:p w14:paraId="18A56E11" w14:textId="77777777" w:rsidR="00C8253B" w:rsidRDefault="00C8253B" w:rsidP="009D399F">
            <w:pPr>
              <w:pStyle w:val="ListParagraph"/>
              <w:numPr>
                <w:ilvl w:val="0"/>
                <w:numId w:val="1"/>
              </w:numPr>
              <w:rPr>
                <w:rFonts w:ascii="Calibri" w:hAnsi="Calibri" w:cs="Calibri"/>
                <w:b/>
                <w:szCs w:val="24"/>
              </w:rPr>
            </w:pPr>
            <w:r w:rsidRPr="00AB588F">
              <w:rPr>
                <w:rFonts w:ascii="Calibri" w:hAnsi="Calibri" w:cs="Calibri"/>
                <w:b/>
                <w:szCs w:val="24"/>
                <w:u w:val="single"/>
              </w:rPr>
              <w:t>Value and promote diversity, equality of opportunity and inclusion</w:t>
            </w:r>
            <w:r>
              <w:rPr>
                <w:rFonts w:ascii="Calibri" w:hAnsi="Calibri" w:cs="Calibri"/>
                <w:b/>
                <w:szCs w:val="24"/>
              </w:rPr>
              <w:t xml:space="preserve"> – I will continue to ensure all students are included and given equal opportunities regardless of their differences. </w:t>
            </w:r>
          </w:p>
          <w:p w14:paraId="1D7C3940" w14:textId="77777777" w:rsidR="00C8253B" w:rsidRDefault="00C8253B" w:rsidP="009D399F">
            <w:pPr>
              <w:pStyle w:val="ListParagraph"/>
              <w:numPr>
                <w:ilvl w:val="0"/>
                <w:numId w:val="1"/>
              </w:numPr>
              <w:rPr>
                <w:rFonts w:ascii="Calibri" w:hAnsi="Calibri" w:cs="Calibri"/>
                <w:b/>
                <w:szCs w:val="24"/>
              </w:rPr>
            </w:pPr>
            <w:r w:rsidRPr="00AB588F">
              <w:rPr>
                <w:rFonts w:ascii="Calibri" w:hAnsi="Calibri" w:cs="Calibri"/>
                <w:b/>
                <w:szCs w:val="24"/>
                <w:u w:val="single"/>
              </w:rPr>
              <w:t>Understand the importance of the Welsh culture and language as a bilingual nation</w:t>
            </w:r>
            <w:r>
              <w:rPr>
                <w:rFonts w:ascii="Calibri" w:hAnsi="Calibri" w:cs="Calibri"/>
                <w:b/>
                <w:szCs w:val="24"/>
              </w:rPr>
              <w:t xml:space="preserve"> – I could improve on this a lot more. As a non-Welsh speaker, I feel I could include some Welsh language in my lessons to include those who are. I am currently learning some Welsh through family members who are fluent Welsh speakers.</w:t>
            </w:r>
          </w:p>
          <w:p w14:paraId="41AD1322" w14:textId="7E3A6159" w:rsidR="00C8253B" w:rsidRDefault="00C8253B" w:rsidP="009D399F">
            <w:pPr>
              <w:pStyle w:val="ListParagraph"/>
              <w:numPr>
                <w:ilvl w:val="0"/>
                <w:numId w:val="1"/>
              </w:numPr>
              <w:rPr>
                <w:rFonts w:ascii="Calibri" w:hAnsi="Calibri" w:cs="Calibri"/>
                <w:b/>
                <w:szCs w:val="24"/>
              </w:rPr>
            </w:pPr>
            <w:r>
              <w:rPr>
                <w:rFonts w:ascii="Calibri" w:hAnsi="Calibri" w:cs="Calibri"/>
                <w:b/>
                <w:szCs w:val="24"/>
                <w:u w:val="single"/>
              </w:rPr>
              <w:t xml:space="preserve">Demonstrate dignity, courtesy, and respect towards others </w:t>
            </w:r>
            <w:r>
              <w:rPr>
                <w:rFonts w:ascii="Calibri" w:hAnsi="Calibri" w:cs="Calibri"/>
                <w:b/>
                <w:szCs w:val="24"/>
              </w:rPr>
              <w:t>– Although I feel I do this to the best of my ability, there is always room for improvement when it comes to this standard.</w:t>
            </w:r>
          </w:p>
          <w:p w14:paraId="27C3D2C0" w14:textId="77777777" w:rsidR="00C8253B" w:rsidRDefault="00C8253B" w:rsidP="009D399F">
            <w:pPr>
              <w:pStyle w:val="ListParagraph"/>
              <w:numPr>
                <w:ilvl w:val="0"/>
                <w:numId w:val="1"/>
              </w:numPr>
              <w:rPr>
                <w:rFonts w:ascii="Calibri" w:hAnsi="Calibri" w:cs="Calibri"/>
                <w:b/>
                <w:szCs w:val="24"/>
              </w:rPr>
            </w:pPr>
            <w:r>
              <w:rPr>
                <w:rFonts w:ascii="Calibri" w:hAnsi="Calibri" w:cs="Calibri"/>
                <w:b/>
                <w:szCs w:val="24"/>
                <w:u w:val="single"/>
              </w:rPr>
              <w:t xml:space="preserve">Maintain and update knowledge of my subjects and how best to teach and assess them </w:t>
            </w:r>
            <w:r>
              <w:rPr>
                <w:rFonts w:ascii="Calibri" w:hAnsi="Calibri" w:cs="Calibri"/>
                <w:b/>
                <w:szCs w:val="24"/>
              </w:rPr>
              <w:t>– This is what I have mentioned above with regards to commitment to my subjects.</w:t>
            </w:r>
          </w:p>
          <w:p w14:paraId="1E78C999" w14:textId="77777777" w:rsidR="00C8253B" w:rsidRDefault="00C8253B" w:rsidP="009D399F">
            <w:pPr>
              <w:pStyle w:val="ListParagraph"/>
              <w:numPr>
                <w:ilvl w:val="0"/>
                <w:numId w:val="1"/>
              </w:numPr>
              <w:rPr>
                <w:rFonts w:ascii="Calibri" w:hAnsi="Calibri" w:cs="Calibri"/>
                <w:b/>
                <w:szCs w:val="24"/>
              </w:rPr>
            </w:pPr>
            <w:r w:rsidRPr="00D13FDE">
              <w:rPr>
                <w:rFonts w:ascii="Calibri" w:hAnsi="Calibri" w:cs="Calibri"/>
                <w:b/>
                <w:szCs w:val="24"/>
                <w:u w:val="single"/>
              </w:rPr>
              <w:t>Know how to use evidence and research in my practice</w:t>
            </w:r>
            <w:r>
              <w:rPr>
                <w:rFonts w:ascii="Calibri" w:hAnsi="Calibri" w:cs="Calibri"/>
                <w:b/>
                <w:szCs w:val="24"/>
              </w:rPr>
              <w:t xml:space="preserve"> – I will continue to ensure that the most up to date and effective materials are used to influence my practice. As I am teaching someone else’s lessons, I need to show more initiative and to additional research and reading on these chosen subjects.</w:t>
            </w:r>
          </w:p>
          <w:p w14:paraId="1ADAAEC1" w14:textId="77777777" w:rsidR="00C8253B" w:rsidRPr="00AB588F" w:rsidRDefault="00C8253B" w:rsidP="009D399F">
            <w:pPr>
              <w:pStyle w:val="ListParagraph"/>
              <w:numPr>
                <w:ilvl w:val="0"/>
                <w:numId w:val="1"/>
              </w:numPr>
              <w:rPr>
                <w:rFonts w:ascii="Calibri" w:hAnsi="Calibri" w:cs="Calibri"/>
                <w:b/>
                <w:szCs w:val="24"/>
              </w:rPr>
            </w:pPr>
          </w:p>
        </w:tc>
        <w:tc>
          <w:tcPr>
            <w:tcW w:w="289" w:type="dxa"/>
            <w:tcBorders>
              <w:left w:val="nil"/>
            </w:tcBorders>
            <w:shd w:val="clear" w:color="auto" w:fill="auto"/>
          </w:tcPr>
          <w:p w14:paraId="526ED01E" w14:textId="77777777" w:rsidR="00C8253B" w:rsidRPr="00C71C2F" w:rsidRDefault="00C8253B" w:rsidP="009D399F">
            <w:pPr>
              <w:rPr>
                <w:rFonts w:ascii="Calibri" w:hAnsi="Calibri" w:cs="Calibri"/>
                <w:b/>
                <w:szCs w:val="24"/>
              </w:rPr>
            </w:pPr>
          </w:p>
          <w:p w14:paraId="0032FCF9" w14:textId="77777777" w:rsidR="00C8253B" w:rsidRPr="00C71C2F" w:rsidRDefault="00C8253B" w:rsidP="009D399F">
            <w:pPr>
              <w:rPr>
                <w:rFonts w:ascii="Calibri" w:hAnsi="Calibri" w:cs="Calibri"/>
                <w:b/>
                <w:szCs w:val="24"/>
              </w:rPr>
            </w:pPr>
          </w:p>
          <w:p w14:paraId="3F1F896A" w14:textId="77777777" w:rsidR="00C8253B" w:rsidRPr="00C71C2F" w:rsidRDefault="00C8253B" w:rsidP="009D399F">
            <w:pPr>
              <w:rPr>
                <w:rFonts w:ascii="Calibri" w:hAnsi="Calibri" w:cs="Calibri"/>
                <w:b/>
                <w:szCs w:val="24"/>
              </w:rPr>
            </w:pPr>
          </w:p>
          <w:p w14:paraId="37E780C0" w14:textId="77777777" w:rsidR="00C8253B" w:rsidRPr="00C71C2F" w:rsidRDefault="00C8253B" w:rsidP="009D399F">
            <w:pPr>
              <w:rPr>
                <w:rFonts w:ascii="Calibri" w:hAnsi="Calibri" w:cs="Calibri"/>
                <w:b/>
                <w:szCs w:val="24"/>
              </w:rPr>
            </w:pPr>
          </w:p>
          <w:p w14:paraId="4743146D" w14:textId="77777777" w:rsidR="00C8253B" w:rsidRPr="00C71C2F" w:rsidRDefault="00C8253B" w:rsidP="009D399F">
            <w:pPr>
              <w:rPr>
                <w:rFonts w:ascii="Calibri" w:hAnsi="Calibri" w:cs="Calibri"/>
                <w:b/>
                <w:szCs w:val="24"/>
              </w:rPr>
            </w:pPr>
          </w:p>
          <w:p w14:paraId="737368CB" w14:textId="77777777" w:rsidR="00C8253B" w:rsidRPr="00C71C2F" w:rsidRDefault="00C8253B" w:rsidP="009D399F">
            <w:pPr>
              <w:rPr>
                <w:rFonts w:ascii="Calibri" w:hAnsi="Calibri" w:cs="Calibri"/>
                <w:b/>
                <w:szCs w:val="24"/>
              </w:rPr>
            </w:pPr>
          </w:p>
          <w:p w14:paraId="2D8833BA" w14:textId="77777777" w:rsidR="00C8253B" w:rsidRPr="00C71C2F" w:rsidRDefault="00C8253B" w:rsidP="009D399F">
            <w:pPr>
              <w:rPr>
                <w:rFonts w:ascii="Calibri" w:hAnsi="Calibri" w:cs="Calibri"/>
                <w:b/>
                <w:szCs w:val="24"/>
              </w:rPr>
            </w:pPr>
          </w:p>
          <w:p w14:paraId="5D352356" w14:textId="77777777" w:rsidR="00C8253B" w:rsidRPr="00C71C2F" w:rsidRDefault="00C8253B" w:rsidP="009D399F">
            <w:pPr>
              <w:rPr>
                <w:rFonts w:ascii="Calibri" w:hAnsi="Calibri" w:cs="Calibri"/>
                <w:b/>
                <w:szCs w:val="24"/>
              </w:rPr>
            </w:pPr>
          </w:p>
          <w:p w14:paraId="5A997FFE" w14:textId="77777777" w:rsidR="00C8253B" w:rsidRPr="00C71C2F" w:rsidRDefault="00C8253B" w:rsidP="009D399F">
            <w:pPr>
              <w:rPr>
                <w:rFonts w:ascii="Calibri" w:hAnsi="Calibri" w:cs="Calibri"/>
                <w:b/>
                <w:szCs w:val="24"/>
              </w:rPr>
            </w:pPr>
          </w:p>
        </w:tc>
      </w:tr>
    </w:tbl>
    <w:p w14:paraId="456AF6FA" w14:textId="77777777" w:rsidR="00C8253B" w:rsidRDefault="00C8253B" w:rsidP="00C8253B"/>
    <w:p w14:paraId="6A3ABF66" w14:textId="77777777" w:rsidR="00C8253B" w:rsidRDefault="00C8253B" w:rsidP="0097042B"/>
    <w:p w14:paraId="43A6DAD2" w14:textId="77777777" w:rsidR="00C8253B" w:rsidRDefault="00C8253B" w:rsidP="0097042B"/>
    <w:p w14:paraId="0105BAC5" w14:textId="77777777" w:rsidR="00C8253B" w:rsidRDefault="00C8253B" w:rsidP="0097042B"/>
    <w:p w14:paraId="0933D320" w14:textId="77777777" w:rsidR="00C8253B" w:rsidRDefault="00C8253B" w:rsidP="0097042B"/>
    <w:p w14:paraId="7247AA6B" w14:textId="77777777" w:rsidR="00C8253B" w:rsidRDefault="00C8253B" w:rsidP="0097042B"/>
    <w:p w14:paraId="393A71CC" w14:textId="77777777" w:rsidR="00C8253B" w:rsidRDefault="00C8253B" w:rsidP="0097042B"/>
    <w:p w14:paraId="5B7D5D19" w14:textId="77777777" w:rsidR="00C8253B" w:rsidRDefault="00C8253B" w:rsidP="0097042B"/>
    <w:p w14:paraId="7E6AC220" w14:textId="77777777" w:rsidR="00C8253B" w:rsidRPr="00AA4407" w:rsidRDefault="00C8253B" w:rsidP="00C8253B">
      <w:pPr>
        <w:pStyle w:val="Heading2"/>
        <w:jc w:val="left"/>
        <w:rPr>
          <w:i w:val="0"/>
          <w:iCs w:val="0"/>
        </w:rPr>
      </w:pPr>
      <w:r w:rsidRPr="1B5D5813">
        <w:rPr>
          <w:i w:val="0"/>
          <w:iCs w:val="0"/>
        </w:rPr>
        <w:lastRenderedPageBreak/>
        <w:t xml:space="preserve">Teacher Observation Form </w:t>
      </w:r>
      <w:r>
        <w:rPr>
          <w:i w:val="0"/>
          <w:iCs w:val="0"/>
        </w:rPr>
        <w:t>2</w:t>
      </w:r>
    </w:p>
    <w:p w14:paraId="60A6399D" w14:textId="77777777" w:rsidR="00C8253B" w:rsidRPr="00C71C2F" w:rsidRDefault="00C8253B" w:rsidP="00C8253B">
      <w:pPr>
        <w:rPr>
          <w:rFonts w:ascii="Calibri" w:hAnsi="Calibri" w:cs="Calibri"/>
          <w:b/>
          <w:sz w:val="18"/>
          <w:szCs w:val="18"/>
        </w:rPr>
      </w:pPr>
    </w:p>
    <w:p w14:paraId="63FD1CC4" w14:textId="77777777" w:rsidR="00C8253B" w:rsidRPr="00D57B13" w:rsidRDefault="00C8253B" w:rsidP="00C8253B">
      <w:pPr>
        <w:jc w:val="center"/>
      </w:pPr>
      <w:r w:rsidRPr="00D57B13">
        <w:rPr>
          <w:noProof/>
          <w:lang w:eastAsia="en-GB"/>
        </w:rPr>
        <w:drawing>
          <wp:inline distT="0" distB="0" distL="0" distR="0" wp14:anchorId="72544836" wp14:editId="26632200">
            <wp:extent cx="1362075" cy="481330"/>
            <wp:effectExtent l="0" t="0" r="9525" b="0"/>
            <wp:docPr id="722191169" name="Picture 722191169"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91169" name="Picture 722191169" descr="A black and white sign with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0457827" w14:textId="77777777" w:rsidR="00C8253B" w:rsidRPr="00C71C2F" w:rsidRDefault="00C8253B" w:rsidP="00C8253B">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8"/>
        <w:gridCol w:w="1462"/>
      </w:tblGrid>
      <w:tr w:rsidR="00C8253B" w:rsidRPr="00C71C2F" w14:paraId="0FE11E00" w14:textId="77777777" w:rsidTr="009D399F">
        <w:trPr>
          <w:jc w:val="center"/>
        </w:trPr>
        <w:tc>
          <w:tcPr>
            <w:tcW w:w="10201" w:type="dxa"/>
            <w:shd w:val="clear" w:color="auto" w:fill="auto"/>
          </w:tcPr>
          <w:p w14:paraId="041F27B2" w14:textId="77777777" w:rsidR="00C8253B" w:rsidRPr="00C71C2F" w:rsidRDefault="00C8253B" w:rsidP="009D399F">
            <w:pPr>
              <w:rPr>
                <w:rFonts w:ascii="Calibri" w:hAnsi="Calibri" w:cs="Calibri"/>
                <w:b/>
                <w:szCs w:val="24"/>
              </w:rPr>
            </w:pPr>
            <w:r w:rsidRPr="00C71C2F">
              <w:rPr>
                <w:rFonts w:ascii="Calibri" w:hAnsi="Calibri" w:cs="Calibri"/>
                <w:b/>
                <w:szCs w:val="24"/>
              </w:rPr>
              <w:t>Teacher</w:t>
            </w:r>
          </w:p>
          <w:p w14:paraId="3A427BA2" w14:textId="77777777" w:rsidR="00C8253B" w:rsidRPr="00C71C2F" w:rsidRDefault="00C8253B" w:rsidP="009D399F">
            <w:pPr>
              <w:rPr>
                <w:rFonts w:ascii="Calibri" w:hAnsi="Calibri" w:cs="Calibri"/>
                <w:b/>
                <w:szCs w:val="24"/>
              </w:rPr>
            </w:pPr>
          </w:p>
        </w:tc>
        <w:tc>
          <w:tcPr>
            <w:tcW w:w="289" w:type="dxa"/>
            <w:shd w:val="clear" w:color="auto" w:fill="auto"/>
          </w:tcPr>
          <w:p w14:paraId="238DBEE5" w14:textId="77777777" w:rsidR="00C8253B" w:rsidRPr="00C71C2F" w:rsidRDefault="00C8253B" w:rsidP="009D399F">
            <w:pPr>
              <w:rPr>
                <w:rFonts w:ascii="Calibri" w:hAnsi="Calibri" w:cs="Calibri"/>
                <w:b/>
                <w:szCs w:val="24"/>
              </w:rPr>
            </w:pPr>
            <w:r>
              <w:rPr>
                <w:rFonts w:ascii="Calibri" w:hAnsi="Calibri" w:cs="Calibri"/>
                <w:b/>
                <w:szCs w:val="24"/>
              </w:rPr>
              <w:t>Johnathon Wyatt</w:t>
            </w:r>
          </w:p>
        </w:tc>
      </w:tr>
      <w:tr w:rsidR="00C8253B" w:rsidRPr="00C71C2F" w14:paraId="0351DE82" w14:textId="77777777" w:rsidTr="009D399F">
        <w:trPr>
          <w:jc w:val="center"/>
        </w:trPr>
        <w:tc>
          <w:tcPr>
            <w:tcW w:w="10201" w:type="dxa"/>
            <w:shd w:val="clear" w:color="auto" w:fill="auto"/>
          </w:tcPr>
          <w:p w14:paraId="4A48B26D" w14:textId="77777777" w:rsidR="00C8253B" w:rsidRPr="00C71C2F" w:rsidRDefault="00C8253B" w:rsidP="009D399F">
            <w:pPr>
              <w:rPr>
                <w:rFonts w:ascii="Calibri" w:hAnsi="Calibri" w:cs="Calibri"/>
                <w:b/>
                <w:szCs w:val="24"/>
              </w:rPr>
            </w:pPr>
            <w:r w:rsidRPr="00C71C2F">
              <w:rPr>
                <w:rFonts w:ascii="Calibri" w:hAnsi="Calibri" w:cs="Calibri"/>
                <w:b/>
                <w:szCs w:val="24"/>
              </w:rPr>
              <w:t>Date</w:t>
            </w:r>
          </w:p>
        </w:tc>
        <w:tc>
          <w:tcPr>
            <w:tcW w:w="289" w:type="dxa"/>
            <w:shd w:val="clear" w:color="auto" w:fill="auto"/>
          </w:tcPr>
          <w:p w14:paraId="61F1E3ED" w14:textId="77777777" w:rsidR="00C8253B" w:rsidRPr="00C71C2F" w:rsidRDefault="00C8253B" w:rsidP="009D399F">
            <w:pPr>
              <w:rPr>
                <w:rFonts w:ascii="Calibri" w:hAnsi="Calibri" w:cs="Calibri"/>
                <w:b/>
                <w:szCs w:val="24"/>
              </w:rPr>
            </w:pPr>
            <w:r>
              <w:rPr>
                <w:rFonts w:ascii="Calibri" w:hAnsi="Calibri" w:cs="Calibri"/>
                <w:b/>
                <w:szCs w:val="24"/>
              </w:rPr>
              <w:t>10/10/2023</w:t>
            </w:r>
          </w:p>
          <w:p w14:paraId="17C1DD42" w14:textId="77777777" w:rsidR="00C8253B" w:rsidRPr="00C71C2F" w:rsidRDefault="00C8253B" w:rsidP="009D399F">
            <w:pPr>
              <w:rPr>
                <w:rFonts w:ascii="Calibri" w:hAnsi="Calibri" w:cs="Calibri"/>
                <w:b/>
                <w:szCs w:val="24"/>
              </w:rPr>
            </w:pPr>
          </w:p>
        </w:tc>
      </w:tr>
      <w:tr w:rsidR="00C8253B" w:rsidRPr="00C71C2F" w14:paraId="4717D22E" w14:textId="77777777" w:rsidTr="009D399F">
        <w:trPr>
          <w:jc w:val="center"/>
        </w:trPr>
        <w:tc>
          <w:tcPr>
            <w:tcW w:w="10201" w:type="dxa"/>
            <w:shd w:val="clear" w:color="auto" w:fill="auto"/>
          </w:tcPr>
          <w:p w14:paraId="76D1D72C" w14:textId="77777777" w:rsidR="00C8253B" w:rsidRPr="00C71C2F" w:rsidRDefault="00C8253B" w:rsidP="009D399F">
            <w:pPr>
              <w:rPr>
                <w:rFonts w:ascii="Calibri" w:hAnsi="Calibri" w:cs="Calibri"/>
                <w:b/>
                <w:szCs w:val="24"/>
              </w:rPr>
            </w:pPr>
            <w:r w:rsidRPr="00C71C2F">
              <w:rPr>
                <w:rFonts w:ascii="Calibri" w:hAnsi="Calibri" w:cs="Calibri"/>
                <w:b/>
                <w:szCs w:val="24"/>
              </w:rPr>
              <w:t>Group</w:t>
            </w:r>
          </w:p>
        </w:tc>
        <w:tc>
          <w:tcPr>
            <w:tcW w:w="289" w:type="dxa"/>
            <w:shd w:val="clear" w:color="auto" w:fill="auto"/>
          </w:tcPr>
          <w:p w14:paraId="6B38AACB" w14:textId="77777777" w:rsidR="00C8253B" w:rsidRPr="00C71C2F" w:rsidRDefault="00C8253B" w:rsidP="009D399F">
            <w:pPr>
              <w:rPr>
                <w:rFonts w:ascii="Calibri" w:hAnsi="Calibri" w:cs="Calibri"/>
                <w:b/>
                <w:szCs w:val="24"/>
              </w:rPr>
            </w:pPr>
          </w:p>
          <w:p w14:paraId="77FD2F98" w14:textId="77777777" w:rsidR="00C8253B" w:rsidRPr="00C71C2F" w:rsidRDefault="00C8253B" w:rsidP="009D399F">
            <w:pPr>
              <w:rPr>
                <w:rFonts w:ascii="Calibri" w:hAnsi="Calibri" w:cs="Calibri"/>
                <w:b/>
                <w:szCs w:val="24"/>
              </w:rPr>
            </w:pPr>
            <w:r>
              <w:rPr>
                <w:rFonts w:ascii="Calibri" w:hAnsi="Calibri" w:cs="Calibri"/>
                <w:b/>
                <w:szCs w:val="24"/>
              </w:rPr>
              <w:t>Digital Health and Social Care</w:t>
            </w:r>
          </w:p>
        </w:tc>
      </w:tr>
      <w:tr w:rsidR="00C8253B" w:rsidRPr="00C71C2F" w14:paraId="115EDA90" w14:textId="77777777" w:rsidTr="009D399F">
        <w:trPr>
          <w:jc w:val="center"/>
        </w:trPr>
        <w:tc>
          <w:tcPr>
            <w:tcW w:w="10201" w:type="dxa"/>
            <w:tcBorders>
              <w:bottom w:val="single" w:sz="4" w:space="0" w:color="auto"/>
            </w:tcBorders>
            <w:shd w:val="clear" w:color="auto" w:fill="auto"/>
          </w:tcPr>
          <w:p w14:paraId="77E70134" w14:textId="77777777" w:rsidR="00C8253B" w:rsidRPr="00C71C2F" w:rsidRDefault="00C8253B" w:rsidP="009D399F">
            <w:pPr>
              <w:rPr>
                <w:rFonts w:ascii="Calibri" w:hAnsi="Calibri" w:cs="Calibri"/>
                <w:b/>
                <w:szCs w:val="24"/>
              </w:rPr>
            </w:pPr>
            <w:r w:rsidRPr="00C71C2F">
              <w:rPr>
                <w:rFonts w:ascii="Calibri" w:hAnsi="Calibri" w:cs="Calibri"/>
                <w:b/>
                <w:szCs w:val="24"/>
              </w:rPr>
              <w:t>Topic/Context</w:t>
            </w:r>
          </w:p>
        </w:tc>
        <w:tc>
          <w:tcPr>
            <w:tcW w:w="289" w:type="dxa"/>
            <w:tcBorders>
              <w:bottom w:val="single" w:sz="4" w:space="0" w:color="auto"/>
            </w:tcBorders>
            <w:shd w:val="clear" w:color="auto" w:fill="auto"/>
          </w:tcPr>
          <w:p w14:paraId="74262791" w14:textId="77777777" w:rsidR="00C8253B" w:rsidRPr="00C71C2F" w:rsidRDefault="00C8253B" w:rsidP="009D399F">
            <w:pPr>
              <w:rPr>
                <w:rFonts w:ascii="Calibri" w:hAnsi="Calibri" w:cs="Calibri"/>
                <w:b/>
                <w:szCs w:val="24"/>
              </w:rPr>
            </w:pPr>
          </w:p>
          <w:p w14:paraId="76C8D34B" w14:textId="77777777" w:rsidR="00C8253B" w:rsidRPr="00C71C2F" w:rsidRDefault="00C8253B" w:rsidP="009D399F">
            <w:pPr>
              <w:rPr>
                <w:rFonts w:ascii="Calibri" w:hAnsi="Calibri" w:cs="Calibri"/>
                <w:b/>
                <w:szCs w:val="24"/>
              </w:rPr>
            </w:pPr>
            <w:r>
              <w:rPr>
                <w:rFonts w:ascii="Calibri" w:hAnsi="Calibri" w:cs="Calibri"/>
                <w:b/>
                <w:szCs w:val="24"/>
              </w:rPr>
              <w:t>Developing Employability Skills</w:t>
            </w:r>
          </w:p>
        </w:tc>
      </w:tr>
      <w:tr w:rsidR="00C8253B" w:rsidRPr="00C71C2F" w14:paraId="5C801878" w14:textId="77777777" w:rsidTr="009D399F">
        <w:trPr>
          <w:jc w:val="center"/>
        </w:trPr>
        <w:tc>
          <w:tcPr>
            <w:tcW w:w="10490" w:type="dxa"/>
            <w:gridSpan w:val="2"/>
            <w:shd w:val="clear" w:color="auto" w:fill="auto"/>
          </w:tcPr>
          <w:p w14:paraId="7EF37297" w14:textId="77777777" w:rsidR="00C8253B" w:rsidRPr="00C71C2F" w:rsidRDefault="00C8253B" w:rsidP="009D399F">
            <w:pPr>
              <w:rPr>
                <w:rFonts w:ascii="Calibri" w:hAnsi="Calibri" w:cs="Calibri"/>
                <w:b/>
                <w:szCs w:val="24"/>
              </w:rPr>
            </w:pPr>
            <w:r w:rsidRPr="00C71C2F">
              <w:rPr>
                <w:rFonts w:ascii="Calibri" w:hAnsi="Calibri" w:cs="Calibri"/>
                <w:b/>
                <w:szCs w:val="24"/>
              </w:rPr>
              <w:t>Notes on the lesson:</w:t>
            </w:r>
          </w:p>
        </w:tc>
      </w:tr>
      <w:tr w:rsidR="00C8253B" w:rsidRPr="00C71C2F" w14:paraId="58BE7563" w14:textId="77777777" w:rsidTr="009D399F">
        <w:trPr>
          <w:jc w:val="center"/>
        </w:trPr>
        <w:tc>
          <w:tcPr>
            <w:tcW w:w="10201" w:type="dxa"/>
            <w:tcBorders>
              <w:bottom w:val="single" w:sz="4" w:space="0" w:color="auto"/>
              <w:right w:val="nil"/>
            </w:tcBorders>
            <w:shd w:val="clear" w:color="auto" w:fill="auto"/>
          </w:tcPr>
          <w:p w14:paraId="3937991F"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The lecturer introduced himself at the start of the lecture to all students. He did a recap on the last session and used the register to create an icebreaker, and when he called out the students’ names, they had to introduce themselves and say why they wanted to do the course.</w:t>
            </w:r>
          </w:p>
          <w:p w14:paraId="24FA18D3"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He used his own personal experiences whilst giving examples during the icebreaker, to relate to the students.</w:t>
            </w:r>
          </w:p>
          <w:p w14:paraId="299712F9"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 xml:space="preserve">The lecturer showed interest in the students to create a safe environment. </w:t>
            </w:r>
          </w:p>
          <w:p w14:paraId="23BF9667"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A student disrupted the classroom with IT issues, he calmly explained that she would have to get in contact with the IT department for any technical difficulties He also addressed the whole classroom stating that if there were any other queries during his lecture, that they needed to raise their hands.</w:t>
            </w:r>
          </w:p>
          <w:p w14:paraId="07F9ACE3"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The lecturer introduced myself during the lecture and encouraged me to participate during my observations for another perspective on topics raised.</w:t>
            </w:r>
          </w:p>
          <w:p w14:paraId="106A2E2D"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He thanks students for their contributions to encourage them to engage more.</w:t>
            </w:r>
          </w:p>
          <w:p w14:paraId="547A202E" w14:textId="63556380" w:rsidR="00C8253B" w:rsidRDefault="00C8253B" w:rsidP="00C8253B">
            <w:pPr>
              <w:pStyle w:val="ListParagraph"/>
              <w:numPr>
                <w:ilvl w:val="0"/>
                <w:numId w:val="2"/>
              </w:numPr>
              <w:rPr>
                <w:rFonts w:ascii="Calibri" w:hAnsi="Calibri" w:cs="Calibri"/>
                <w:b/>
                <w:szCs w:val="24"/>
              </w:rPr>
            </w:pPr>
            <w:r>
              <w:rPr>
                <w:rFonts w:ascii="Calibri" w:hAnsi="Calibri" w:cs="Calibri"/>
                <w:b/>
                <w:szCs w:val="24"/>
              </w:rPr>
              <w:t>Students answered questions often, even if their answers were wrong, they still engaged, and the lecturer thanked them anyway for their contribution.</w:t>
            </w:r>
          </w:p>
          <w:p w14:paraId="6C316883"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This classroom was the same as the first observation, however this teacher moved around the whole room, standing in the middle of the students. He explained that this is a preference and part of his teaching style.</w:t>
            </w:r>
          </w:p>
          <w:p w14:paraId="3E8367B2"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 xml:space="preserve">He explained the assignment well and stopped after every section to check all students understood and if they had any questions. </w:t>
            </w:r>
          </w:p>
          <w:p w14:paraId="522DE61D"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He answered all questions clearly.</w:t>
            </w:r>
          </w:p>
          <w:p w14:paraId="45E1C731"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lastRenderedPageBreak/>
              <w:t>His tone of voice was good, and the volume was loud enough to fill the large room so that everyone could hear.</w:t>
            </w:r>
          </w:p>
          <w:p w14:paraId="01A388C8"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 xml:space="preserve">The teacher asked students midway if they would like a break to grab a coffee/stretch their legs. He stated that they needed to be back at a curtain time and that he would start the lesson again at that time regardless of if they were back or not. </w:t>
            </w:r>
          </w:p>
          <w:p w14:paraId="79C31C4C"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Some students were not back at the specified time; however, he continued his lecture like he said he would. He was not thrown off by the late arrivals and continued as normal.</w:t>
            </w:r>
          </w:p>
          <w:p w14:paraId="4D217FED"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He used a PowerPoint presentation to deliver the lesson and he had no technical difficulties. He used chalk and talk, Q&amp;A and discussion for his teaching strategies.</w:t>
            </w:r>
          </w:p>
          <w:p w14:paraId="19359745"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No handouts were used. He showed the students where to find the resources for the taught lesson and the assignment brief.</w:t>
            </w:r>
          </w:p>
          <w:p w14:paraId="37F8E252" w14:textId="3FD2A370" w:rsidR="00C8253B" w:rsidRPr="00704ECB" w:rsidRDefault="00C8253B" w:rsidP="00C8253B">
            <w:pPr>
              <w:pStyle w:val="ListParagraph"/>
              <w:numPr>
                <w:ilvl w:val="0"/>
                <w:numId w:val="2"/>
              </w:numPr>
              <w:rPr>
                <w:rFonts w:ascii="Calibri" w:hAnsi="Calibri" w:cs="Calibri"/>
                <w:b/>
                <w:szCs w:val="24"/>
              </w:rPr>
            </w:pPr>
            <w:r w:rsidRPr="00704ECB">
              <w:rPr>
                <w:rFonts w:ascii="Calibri" w:hAnsi="Calibri" w:cs="Calibri"/>
                <w:b/>
                <w:szCs w:val="24"/>
              </w:rPr>
              <w:t>At the end of the lesson, he explained to me that his lesson had gone as he had planned and did not have to adapt his session.</w:t>
            </w:r>
          </w:p>
          <w:p w14:paraId="620F3CBA" w14:textId="77777777" w:rsidR="00C8253B" w:rsidRPr="00C71C2F" w:rsidRDefault="00C8253B" w:rsidP="009D399F">
            <w:pPr>
              <w:rPr>
                <w:rFonts w:ascii="Calibri" w:hAnsi="Calibri" w:cs="Calibri"/>
                <w:b/>
                <w:szCs w:val="24"/>
              </w:rPr>
            </w:pPr>
          </w:p>
          <w:p w14:paraId="7D999CB5" w14:textId="77777777" w:rsidR="00C8253B" w:rsidRPr="00C71C2F" w:rsidRDefault="00C8253B" w:rsidP="009D399F">
            <w:pPr>
              <w:rPr>
                <w:rFonts w:ascii="Calibri" w:hAnsi="Calibri" w:cs="Calibri"/>
                <w:b/>
                <w:szCs w:val="24"/>
              </w:rPr>
            </w:pPr>
          </w:p>
        </w:tc>
        <w:tc>
          <w:tcPr>
            <w:tcW w:w="289" w:type="dxa"/>
            <w:tcBorders>
              <w:left w:val="nil"/>
              <w:bottom w:val="single" w:sz="4" w:space="0" w:color="auto"/>
            </w:tcBorders>
            <w:shd w:val="clear" w:color="auto" w:fill="auto"/>
          </w:tcPr>
          <w:p w14:paraId="091DD69A" w14:textId="77777777" w:rsidR="00C8253B" w:rsidRPr="00C71C2F" w:rsidRDefault="00C8253B" w:rsidP="009D399F">
            <w:pPr>
              <w:rPr>
                <w:rFonts w:ascii="Calibri" w:hAnsi="Calibri" w:cs="Calibri"/>
                <w:b/>
                <w:szCs w:val="24"/>
              </w:rPr>
            </w:pPr>
          </w:p>
        </w:tc>
      </w:tr>
      <w:tr w:rsidR="00C8253B" w:rsidRPr="00C71C2F" w14:paraId="24A38612" w14:textId="77777777" w:rsidTr="009D399F">
        <w:trPr>
          <w:jc w:val="center"/>
        </w:trPr>
        <w:tc>
          <w:tcPr>
            <w:tcW w:w="10490" w:type="dxa"/>
            <w:gridSpan w:val="2"/>
            <w:shd w:val="clear" w:color="auto" w:fill="auto"/>
          </w:tcPr>
          <w:p w14:paraId="1DAA2D96" w14:textId="77777777" w:rsidR="00C8253B" w:rsidRPr="00C71C2F" w:rsidRDefault="00C8253B" w:rsidP="009D399F">
            <w:pPr>
              <w:rPr>
                <w:rFonts w:ascii="Calibri" w:hAnsi="Calibri" w:cs="Calibri"/>
                <w:b/>
                <w:szCs w:val="24"/>
              </w:rPr>
            </w:pPr>
            <w:r w:rsidRPr="00C71C2F">
              <w:rPr>
                <w:rFonts w:ascii="Calibri" w:hAnsi="Calibri" w:cs="Calibri"/>
                <w:b/>
                <w:szCs w:val="24"/>
              </w:rPr>
              <w:t>What I have learned:</w:t>
            </w:r>
          </w:p>
        </w:tc>
      </w:tr>
      <w:tr w:rsidR="00C8253B" w:rsidRPr="00C71C2F" w14:paraId="214DBF42" w14:textId="77777777" w:rsidTr="009D399F">
        <w:trPr>
          <w:jc w:val="center"/>
        </w:trPr>
        <w:tc>
          <w:tcPr>
            <w:tcW w:w="10201" w:type="dxa"/>
            <w:tcBorders>
              <w:bottom w:val="single" w:sz="4" w:space="0" w:color="auto"/>
              <w:right w:val="nil"/>
            </w:tcBorders>
            <w:shd w:val="clear" w:color="auto" w:fill="auto"/>
          </w:tcPr>
          <w:p w14:paraId="305B2B52" w14:textId="77777777" w:rsidR="00C8253B" w:rsidRPr="00C71C2F" w:rsidRDefault="00C8253B" w:rsidP="009D399F">
            <w:pPr>
              <w:rPr>
                <w:rFonts w:ascii="Calibri" w:hAnsi="Calibri" w:cs="Calibri"/>
                <w:b/>
                <w:szCs w:val="24"/>
              </w:rPr>
            </w:pPr>
          </w:p>
          <w:p w14:paraId="3499A6E8"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Icebreakers can be effective; the students were willing to engage, and it made for a calmer environment.</w:t>
            </w:r>
          </w:p>
          <w:p w14:paraId="05A4DC04"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You should have boundaries with the students. As the lecturer did, explaining that he is not IT, this would set a precedent that no students would disturb another lesson for the same issues.</w:t>
            </w:r>
          </w:p>
          <w:p w14:paraId="20992EBE"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I feel I would move around the classroom a lot more. You can engage more with different students and inspect if people are engaging or not.</w:t>
            </w:r>
          </w:p>
          <w:p w14:paraId="2FA2E5B9"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Always be mindful of entry level knowledge and check that the students have understood what you have said. It Is ok to go back on something you have already covered to ensure that everyone has understood.</w:t>
            </w:r>
          </w:p>
          <w:p w14:paraId="1753B49D"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Be clear and confident when speaking. If you have confidence in yourself, others will have confidence in you as well.</w:t>
            </w:r>
          </w:p>
          <w:p w14:paraId="0144ACAD"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Give students a break. Also set rules. If I ask them to be back at a curtain time as I will be restarting the lesson, stick to it.</w:t>
            </w:r>
          </w:p>
          <w:p w14:paraId="42A120D2" w14:textId="77777777" w:rsidR="00C8253B" w:rsidRDefault="00C8253B" w:rsidP="00C8253B">
            <w:pPr>
              <w:pStyle w:val="ListParagraph"/>
              <w:numPr>
                <w:ilvl w:val="0"/>
                <w:numId w:val="2"/>
              </w:numPr>
              <w:rPr>
                <w:rFonts w:ascii="Calibri" w:hAnsi="Calibri" w:cs="Calibri"/>
                <w:b/>
                <w:szCs w:val="24"/>
              </w:rPr>
            </w:pPr>
            <w:r>
              <w:rPr>
                <w:rFonts w:ascii="Calibri" w:hAnsi="Calibri" w:cs="Calibri"/>
                <w:b/>
                <w:szCs w:val="24"/>
              </w:rPr>
              <w:t xml:space="preserve">Don’t rely on technology although it is a useful tool. As with my first observation, the whiteboard was not functioning. </w:t>
            </w:r>
          </w:p>
          <w:p w14:paraId="3A74E611" w14:textId="7922BD1C" w:rsidR="00C8253B" w:rsidRDefault="00C8253B" w:rsidP="00C8253B">
            <w:pPr>
              <w:pStyle w:val="ListParagraph"/>
              <w:numPr>
                <w:ilvl w:val="0"/>
                <w:numId w:val="2"/>
              </w:numPr>
              <w:rPr>
                <w:rFonts w:ascii="Calibri" w:hAnsi="Calibri" w:cs="Calibri"/>
                <w:b/>
                <w:szCs w:val="24"/>
              </w:rPr>
            </w:pPr>
            <w:r>
              <w:rPr>
                <w:rFonts w:ascii="Calibri" w:hAnsi="Calibri" w:cs="Calibri"/>
                <w:b/>
                <w:szCs w:val="24"/>
              </w:rPr>
              <w:t>When given handouts, some students learn better with a physical copy. This would be inclusive of all students.</w:t>
            </w:r>
          </w:p>
          <w:p w14:paraId="31AAEDF2" w14:textId="77777777" w:rsidR="00C8253B" w:rsidRPr="00320C4A" w:rsidRDefault="00C8253B" w:rsidP="00C8253B">
            <w:pPr>
              <w:pStyle w:val="ListParagraph"/>
              <w:numPr>
                <w:ilvl w:val="0"/>
                <w:numId w:val="2"/>
              </w:numPr>
              <w:rPr>
                <w:rFonts w:ascii="Calibri" w:hAnsi="Calibri" w:cs="Calibri"/>
                <w:b/>
                <w:szCs w:val="24"/>
              </w:rPr>
            </w:pPr>
            <w:r w:rsidRPr="00320C4A">
              <w:rPr>
                <w:rFonts w:ascii="Calibri" w:hAnsi="Calibri" w:cs="Calibri"/>
                <w:b/>
                <w:szCs w:val="24"/>
              </w:rPr>
              <w:t xml:space="preserve">Although this lesson went well and to plan, not all lessons will. Be prepared for anything and provide effective lesson planning. Ensure that I refine the skills to adapt in these circumstances. </w:t>
            </w:r>
          </w:p>
          <w:p w14:paraId="0577399B" w14:textId="77777777" w:rsidR="00C8253B" w:rsidRPr="00C71C2F" w:rsidRDefault="00C8253B" w:rsidP="009D399F">
            <w:pPr>
              <w:rPr>
                <w:rFonts w:ascii="Calibri" w:hAnsi="Calibri" w:cs="Calibri"/>
                <w:b/>
                <w:szCs w:val="24"/>
              </w:rPr>
            </w:pPr>
          </w:p>
        </w:tc>
        <w:tc>
          <w:tcPr>
            <w:tcW w:w="289" w:type="dxa"/>
            <w:tcBorders>
              <w:left w:val="nil"/>
              <w:bottom w:val="single" w:sz="4" w:space="0" w:color="auto"/>
            </w:tcBorders>
            <w:shd w:val="clear" w:color="auto" w:fill="auto"/>
          </w:tcPr>
          <w:p w14:paraId="49E996DF" w14:textId="77777777" w:rsidR="00C8253B" w:rsidRPr="00C71C2F" w:rsidRDefault="00C8253B" w:rsidP="009D399F">
            <w:pPr>
              <w:rPr>
                <w:rFonts w:ascii="Calibri" w:hAnsi="Calibri" w:cs="Calibri"/>
                <w:b/>
                <w:szCs w:val="24"/>
              </w:rPr>
            </w:pPr>
          </w:p>
        </w:tc>
      </w:tr>
      <w:tr w:rsidR="00C8253B" w:rsidRPr="00C71C2F" w14:paraId="5A2FA149" w14:textId="77777777" w:rsidTr="009D399F">
        <w:trPr>
          <w:jc w:val="center"/>
        </w:trPr>
        <w:tc>
          <w:tcPr>
            <w:tcW w:w="10490" w:type="dxa"/>
            <w:gridSpan w:val="2"/>
            <w:shd w:val="clear" w:color="auto" w:fill="auto"/>
          </w:tcPr>
          <w:p w14:paraId="3EAEFD13" w14:textId="77777777" w:rsidR="00C8253B" w:rsidRPr="00C71C2F" w:rsidRDefault="00C8253B" w:rsidP="009D399F">
            <w:pPr>
              <w:rPr>
                <w:rFonts w:ascii="Calibri" w:hAnsi="Calibri" w:cs="Calibri"/>
                <w:b/>
                <w:bCs/>
              </w:rPr>
            </w:pPr>
            <w:r w:rsidRPr="1B5D5813">
              <w:rPr>
                <w:rFonts w:ascii="Calibri" w:hAnsi="Calibri" w:cs="Calibri"/>
                <w:b/>
                <w:bCs/>
              </w:rPr>
              <w:t>Targets to improve my own practice (mapped to professional standards):</w:t>
            </w:r>
          </w:p>
        </w:tc>
      </w:tr>
      <w:tr w:rsidR="00C8253B" w:rsidRPr="00C71C2F" w14:paraId="21AC8418" w14:textId="77777777" w:rsidTr="009D399F">
        <w:trPr>
          <w:jc w:val="center"/>
        </w:trPr>
        <w:tc>
          <w:tcPr>
            <w:tcW w:w="10201" w:type="dxa"/>
            <w:tcBorders>
              <w:right w:val="nil"/>
            </w:tcBorders>
            <w:shd w:val="clear" w:color="auto" w:fill="auto"/>
          </w:tcPr>
          <w:p w14:paraId="704B501F" w14:textId="77777777" w:rsidR="00C8253B" w:rsidRPr="00320C4A" w:rsidRDefault="00C8253B" w:rsidP="009D399F">
            <w:pPr>
              <w:rPr>
                <w:rFonts w:ascii="Calibri" w:hAnsi="Calibri" w:cs="Calibri"/>
                <w:b/>
                <w:szCs w:val="24"/>
              </w:rPr>
            </w:pPr>
            <w:r w:rsidRPr="00320C4A">
              <w:rPr>
                <w:rFonts w:ascii="Calibri" w:hAnsi="Calibri" w:cs="Calibri"/>
                <w:b/>
                <w:szCs w:val="24"/>
              </w:rPr>
              <w:lastRenderedPageBreak/>
              <w:t>-</w:t>
            </w:r>
            <w:r w:rsidRPr="00320C4A">
              <w:rPr>
                <w:rFonts w:ascii="Calibri" w:hAnsi="Calibri" w:cs="Calibri"/>
                <w:b/>
                <w:szCs w:val="24"/>
              </w:rPr>
              <w:tab/>
              <w:t>Demonstrate commitment to learners, their learning, safety and well-being – as I am teaching subjects slightly outside of my knowledge base, I will be committed to learning the material myself to ensure that the students are getting the best possible learning experience possible.</w:t>
            </w:r>
          </w:p>
          <w:p w14:paraId="144DB6F7" w14:textId="77777777" w:rsidR="00C8253B" w:rsidRPr="00320C4A" w:rsidRDefault="00C8253B" w:rsidP="009D399F">
            <w:pPr>
              <w:rPr>
                <w:rFonts w:ascii="Calibri" w:hAnsi="Calibri" w:cs="Calibri"/>
                <w:b/>
                <w:szCs w:val="24"/>
              </w:rPr>
            </w:pPr>
            <w:r w:rsidRPr="00320C4A">
              <w:rPr>
                <w:rFonts w:ascii="Calibri" w:hAnsi="Calibri" w:cs="Calibri"/>
                <w:b/>
                <w:szCs w:val="24"/>
              </w:rPr>
              <w:t>-</w:t>
            </w:r>
            <w:r w:rsidRPr="00320C4A">
              <w:rPr>
                <w:rFonts w:ascii="Calibri" w:hAnsi="Calibri" w:cs="Calibri"/>
                <w:b/>
                <w:szCs w:val="24"/>
              </w:rPr>
              <w:tab/>
              <w:t xml:space="preserve">Value and promote diversity, equality of opportunity and inclusion – I will continue to ensure all students are included and given equal opportunities regardless of their differences. </w:t>
            </w:r>
          </w:p>
          <w:p w14:paraId="0470E565" w14:textId="77777777" w:rsidR="00C8253B" w:rsidRPr="00320C4A" w:rsidRDefault="00C8253B" w:rsidP="009D399F">
            <w:pPr>
              <w:rPr>
                <w:rFonts w:ascii="Calibri" w:hAnsi="Calibri" w:cs="Calibri"/>
                <w:b/>
                <w:szCs w:val="24"/>
              </w:rPr>
            </w:pPr>
            <w:r w:rsidRPr="00320C4A">
              <w:rPr>
                <w:rFonts w:ascii="Calibri" w:hAnsi="Calibri" w:cs="Calibri"/>
                <w:b/>
                <w:szCs w:val="24"/>
              </w:rPr>
              <w:t>-</w:t>
            </w:r>
            <w:r w:rsidRPr="00320C4A">
              <w:rPr>
                <w:rFonts w:ascii="Calibri" w:hAnsi="Calibri" w:cs="Calibri"/>
                <w:b/>
                <w:szCs w:val="24"/>
              </w:rPr>
              <w:tab/>
              <w:t>Understand the importance of the Welsh culture and language as a bilingual nation – I could improve on this a lot more. As a non-Welsh speaker, I feel I could include some Welsh language in my lessons to include those who are. I am currently learning some Welsh through family members who are fluent Welsh speakers.</w:t>
            </w:r>
          </w:p>
          <w:p w14:paraId="7A1D07FD" w14:textId="77777777" w:rsidR="00C8253B" w:rsidRPr="00320C4A" w:rsidRDefault="00C8253B" w:rsidP="009D399F">
            <w:pPr>
              <w:rPr>
                <w:rFonts w:ascii="Calibri" w:hAnsi="Calibri" w:cs="Calibri"/>
                <w:b/>
                <w:szCs w:val="24"/>
              </w:rPr>
            </w:pPr>
            <w:r w:rsidRPr="00320C4A">
              <w:rPr>
                <w:rFonts w:ascii="Calibri" w:hAnsi="Calibri" w:cs="Calibri"/>
                <w:b/>
                <w:szCs w:val="24"/>
              </w:rPr>
              <w:t>-</w:t>
            </w:r>
            <w:r w:rsidRPr="00320C4A">
              <w:rPr>
                <w:rFonts w:ascii="Calibri" w:hAnsi="Calibri" w:cs="Calibri"/>
                <w:b/>
                <w:szCs w:val="24"/>
              </w:rPr>
              <w:tab/>
              <w:t>Demonstrate dignity, courtesy and respect towards others – Although I feel I do this to the best of my ability, there is always room for improvement when it comes to this standard.</w:t>
            </w:r>
          </w:p>
          <w:p w14:paraId="46C86CDF" w14:textId="77777777" w:rsidR="00C8253B" w:rsidRPr="00320C4A" w:rsidRDefault="00C8253B" w:rsidP="009D399F">
            <w:pPr>
              <w:rPr>
                <w:rFonts w:ascii="Calibri" w:hAnsi="Calibri" w:cs="Calibri"/>
                <w:b/>
                <w:szCs w:val="24"/>
              </w:rPr>
            </w:pPr>
            <w:r w:rsidRPr="00320C4A">
              <w:rPr>
                <w:rFonts w:ascii="Calibri" w:hAnsi="Calibri" w:cs="Calibri"/>
                <w:b/>
                <w:szCs w:val="24"/>
              </w:rPr>
              <w:t>-</w:t>
            </w:r>
            <w:r w:rsidRPr="00320C4A">
              <w:rPr>
                <w:rFonts w:ascii="Calibri" w:hAnsi="Calibri" w:cs="Calibri"/>
                <w:b/>
                <w:szCs w:val="24"/>
              </w:rPr>
              <w:tab/>
              <w:t>Maintain and update knowledge of my subjects and how best to teach and assess them – This is what I have mentioned above with regards to commitment to my subjects.</w:t>
            </w:r>
          </w:p>
          <w:p w14:paraId="12057983" w14:textId="77777777" w:rsidR="00C8253B" w:rsidRPr="00C71C2F" w:rsidRDefault="00C8253B" w:rsidP="009D399F">
            <w:pPr>
              <w:rPr>
                <w:rFonts w:ascii="Calibri" w:hAnsi="Calibri" w:cs="Calibri"/>
                <w:b/>
                <w:szCs w:val="24"/>
              </w:rPr>
            </w:pPr>
            <w:r w:rsidRPr="00320C4A">
              <w:rPr>
                <w:rFonts w:ascii="Calibri" w:hAnsi="Calibri" w:cs="Calibri"/>
                <w:b/>
                <w:szCs w:val="24"/>
              </w:rPr>
              <w:t>-</w:t>
            </w:r>
            <w:r w:rsidRPr="00320C4A">
              <w:rPr>
                <w:rFonts w:ascii="Calibri" w:hAnsi="Calibri" w:cs="Calibri"/>
                <w:b/>
                <w:szCs w:val="24"/>
              </w:rPr>
              <w:tab/>
              <w:t>Know how to use evidence and research in my practice – I will continue to ensure that the most up to date and effective materials are used to influence my practice. As I am teaching someone else’s lessons, I need to show more initiative and to additional research and reading on these chosen subjects.</w:t>
            </w:r>
          </w:p>
        </w:tc>
        <w:tc>
          <w:tcPr>
            <w:tcW w:w="289" w:type="dxa"/>
            <w:tcBorders>
              <w:left w:val="nil"/>
            </w:tcBorders>
            <w:shd w:val="clear" w:color="auto" w:fill="auto"/>
          </w:tcPr>
          <w:p w14:paraId="7713498A" w14:textId="77777777" w:rsidR="00C8253B" w:rsidRPr="00C71C2F" w:rsidRDefault="00C8253B" w:rsidP="009D399F">
            <w:pPr>
              <w:rPr>
                <w:rFonts w:ascii="Calibri" w:hAnsi="Calibri" w:cs="Calibri"/>
                <w:b/>
                <w:szCs w:val="24"/>
              </w:rPr>
            </w:pPr>
          </w:p>
          <w:p w14:paraId="39F920C1" w14:textId="77777777" w:rsidR="00C8253B" w:rsidRPr="00C71C2F" w:rsidRDefault="00C8253B" w:rsidP="009D399F">
            <w:pPr>
              <w:rPr>
                <w:rFonts w:ascii="Calibri" w:hAnsi="Calibri" w:cs="Calibri"/>
                <w:b/>
                <w:szCs w:val="24"/>
              </w:rPr>
            </w:pPr>
          </w:p>
          <w:p w14:paraId="256A5C10" w14:textId="77777777" w:rsidR="00C8253B" w:rsidRPr="00C71C2F" w:rsidRDefault="00C8253B" w:rsidP="009D399F">
            <w:pPr>
              <w:rPr>
                <w:rFonts w:ascii="Calibri" w:hAnsi="Calibri" w:cs="Calibri"/>
                <w:b/>
                <w:szCs w:val="24"/>
              </w:rPr>
            </w:pPr>
          </w:p>
          <w:p w14:paraId="7C5AA461" w14:textId="77777777" w:rsidR="00C8253B" w:rsidRPr="00C71C2F" w:rsidRDefault="00C8253B" w:rsidP="009D399F">
            <w:pPr>
              <w:rPr>
                <w:rFonts w:ascii="Calibri" w:hAnsi="Calibri" w:cs="Calibri"/>
                <w:b/>
                <w:szCs w:val="24"/>
              </w:rPr>
            </w:pPr>
          </w:p>
          <w:p w14:paraId="3C6123E3" w14:textId="77777777" w:rsidR="00C8253B" w:rsidRPr="00C71C2F" w:rsidRDefault="00C8253B" w:rsidP="009D399F">
            <w:pPr>
              <w:rPr>
                <w:rFonts w:ascii="Calibri" w:hAnsi="Calibri" w:cs="Calibri"/>
                <w:b/>
                <w:szCs w:val="24"/>
              </w:rPr>
            </w:pPr>
          </w:p>
          <w:p w14:paraId="75AA7EAC" w14:textId="77777777" w:rsidR="00C8253B" w:rsidRPr="00C71C2F" w:rsidRDefault="00C8253B" w:rsidP="009D399F">
            <w:pPr>
              <w:rPr>
                <w:rFonts w:ascii="Calibri" w:hAnsi="Calibri" w:cs="Calibri"/>
                <w:b/>
                <w:szCs w:val="24"/>
              </w:rPr>
            </w:pPr>
          </w:p>
          <w:p w14:paraId="28CA8A11" w14:textId="77777777" w:rsidR="00C8253B" w:rsidRPr="00C71C2F" w:rsidRDefault="00C8253B" w:rsidP="009D399F">
            <w:pPr>
              <w:rPr>
                <w:rFonts w:ascii="Calibri" w:hAnsi="Calibri" w:cs="Calibri"/>
                <w:b/>
                <w:szCs w:val="24"/>
              </w:rPr>
            </w:pPr>
          </w:p>
          <w:p w14:paraId="7D1F7222" w14:textId="77777777" w:rsidR="00C8253B" w:rsidRPr="00C71C2F" w:rsidRDefault="00C8253B" w:rsidP="009D399F">
            <w:pPr>
              <w:rPr>
                <w:rFonts w:ascii="Calibri" w:hAnsi="Calibri" w:cs="Calibri"/>
                <w:b/>
                <w:szCs w:val="24"/>
              </w:rPr>
            </w:pPr>
          </w:p>
          <w:p w14:paraId="3A6A78E4" w14:textId="77777777" w:rsidR="00C8253B" w:rsidRPr="00C71C2F" w:rsidRDefault="00C8253B" w:rsidP="009D399F">
            <w:pPr>
              <w:rPr>
                <w:rFonts w:ascii="Calibri" w:hAnsi="Calibri" w:cs="Calibri"/>
                <w:b/>
                <w:szCs w:val="24"/>
              </w:rPr>
            </w:pPr>
          </w:p>
        </w:tc>
      </w:tr>
    </w:tbl>
    <w:p w14:paraId="310BBC4C" w14:textId="77777777" w:rsidR="00C8253B" w:rsidRPr="00DD4B65" w:rsidRDefault="00C8253B" w:rsidP="0097042B"/>
    <w:sectPr w:rsidR="00C8253B" w:rsidRPr="00DD4B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944FA"/>
    <w:multiLevelType w:val="hybridMultilevel"/>
    <w:tmpl w:val="4E4873F2"/>
    <w:lvl w:ilvl="0" w:tplc="BCE0576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81CD9"/>
    <w:multiLevelType w:val="hybridMultilevel"/>
    <w:tmpl w:val="F3084438"/>
    <w:lvl w:ilvl="0" w:tplc="3CBA162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1859432">
    <w:abstractNumId w:val="0"/>
  </w:num>
  <w:num w:numId="2" w16cid:durableId="688529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B65"/>
    <w:rsid w:val="00063059"/>
    <w:rsid w:val="000D1B35"/>
    <w:rsid w:val="001076FD"/>
    <w:rsid w:val="00123D1A"/>
    <w:rsid w:val="001420A9"/>
    <w:rsid w:val="002528AB"/>
    <w:rsid w:val="00347A64"/>
    <w:rsid w:val="00380347"/>
    <w:rsid w:val="004038FA"/>
    <w:rsid w:val="00457C56"/>
    <w:rsid w:val="004A42FA"/>
    <w:rsid w:val="005006E7"/>
    <w:rsid w:val="0056452B"/>
    <w:rsid w:val="00591AC5"/>
    <w:rsid w:val="00600151"/>
    <w:rsid w:val="00635E4C"/>
    <w:rsid w:val="006472ED"/>
    <w:rsid w:val="0068346E"/>
    <w:rsid w:val="006F35D2"/>
    <w:rsid w:val="00710F3C"/>
    <w:rsid w:val="007216F9"/>
    <w:rsid w:val="008221BB"/>
    <w:rsid w:val="0097042B"/>
    <w:rsid w:val="009D2F19"/>
    <w:rsid w:val="00A224C6"/>
    <w:rsid w:val="00A60883"/>
    <w:rsid w:val="00A85EDF"/>
    <w:rsid w:val="00B220C0"/>
    <w:rsid w:val="00B961A0"/>
    <w:rsid w:val="00C8253B"/>
    <w:rsid w:val="00C87320"/>
    <w:rsid w:val="00CB74ED"/>
    <w:rsid w:val="00CE6AAA"/>
    <w:rsid w:val="00D0143A"/>
    <w:rsid w:val="00D71445"/>
    <w:rsid w:val="00D93BBE"/>
    <w:rsid w:val="00DD2082"/>
    <w:rsid w:val="00DD4B65"/>
    <w:rsid w:val="00EB5BD4"/>
    <w:rsid w:val="00F146A4"/>
    <w:rsid w:val="00F35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71987"/>
  <w15:chartTrackingRefBased/>
  <w15:docId w15:val="{C5327528-A5D6-4E78-8F87-D1056700C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C8253B"/>
    <w:pPr>
      <w:keepNext/>
      <w:spacing w:after="0" w:line="240" w:lineRule="auto"/>
      <w:jc w:val="center"/>
      <w:outlineLvl w:val="1"/>
    </w:pPr>
    <w:rPr>
      <w:rFonts w:ascii="Calibri" w:eastAsia="Times New Roman" w:hAnsi="Calibri" w:cs="Times New Roman"/>
      <w:b/>
      <w:bCs/>
      <w:i/>
      <w:iCs/>
      <w:kern w:val="0"/>
      <w:sz w:val="28"/>
      <w:szCs w:val="28"/>
      <w:lang w:val="en-US" w:eastAsia="x-no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name">
    <w:name w:val="authorname"/>
    <w:basedOn w:val="DefaultParagraphFont"/>
    <w:rsid w:val="004A42FA"/>
  </w:style>
  <w:style w:type="character" w:customStyle="1" w:styleId="separator">
    <w:name w:val="separator"/>
    <w:basedOn w:val="DefaultParagraphFont"/>
    <w:rsid w:val="004A42FA"/>
  </w:style>
  <w:style w:type="character" w:customStyle="1" w:styleId="Date1">
    <w:name w:val="Date1"/>
    <w:basedOn w:val="DefaultParagraphFont"/>
    <w:rsid w:val="004A42FA"/>
  </w:style>
  <w:style w:type="character" w:customStyle="1" w:styleId="arttitle">
    <w:name w:val="art_title"/>
    <w:basedOn w:val="DefaultParagraphFont"/>
    <w:rsid w:val="004A42FA"/>
  </w:style>
  <w:style w:type="character" w:customStyle="1" w:styleId="serialtitle">
    <w:name w:val="serial_title"/>
    <w:basedOn w:val="DefaultParagraphFont"/>
    <w:rsid w:val="004A42FA"/>
  </w:style>
  <w:style w:type="character" w:customStyle="1" w:styleId="volumeissue">
    <w:name w:val="volume_issue"/>
    <w:basedOn w:val="DefaultParagraphFont"/>
    <w:rsid w:val="004A42FA"/>
  </w:style>
  <w:style w:type="character" w:customStyle="1" w:styleId="pagerange">
    <w:name w:val="page_range"/>
    <w:basedOn w:val="DefaultParagraphFont"/>
    <w:rsid w:val="004A42FA"/>
  </w:style>
  <w:style w:type="character" w:customStyle="1" w:styleId="Heading2Char">
    <w:name w:val="Heading 2 Char"/>
    <w:basedOn w:val="DefaultParagraphFont"/>
    <w:link w:val="Heading2"/>
    <w:rsid w:val="00C8253B"/>
    <w:rPr>
      <w:rFonts w:ascii="Calibri" w:eastAsia="Times New Roman" w:hAnsi="Calibri" w:cs="Times New Roman"/>
      <w:b/>
      <w:bCs/>
      <w:i/>
      <w:iCs/>
      <w:kern w:val="0"/>
      <w:sz w:val="28"/>
      <w:szCs w:val="28"/>
      <w:lang w:val="en-US" w:eastAsia="x-none"/>
      <w14:ligatures w14:val="none"/>
    </w:rPr>
  </w:style>
  <w:style w:type="paragraph" w:styleId="ListParagraph">
    <w:name w:val="List Paragraph"/>
    <w:basedOn w:val="Normal"/>
    <w:uiPriority w:val="34"/>
    <w:qFormat/>
    <w:rsid w:val="00C8253B"/>
    <w:pPr>
      <w:spacing w:after="0" w:line="240" w:lineRule="auto"/>
      <w:ind w:left="720"/>
      <w:contextualSpacing/>
    </w:pPr>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63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4802</Words>
  <Characters>27373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Howard</dc:creator>
  <cp:keywords/>
  <dc:description/>
  <cp:lastModifiedBy>Jack Howard</cp:lastModifiedBy>
  <cp:revision>7</cp:revision>
  <dcterms:created xsi:type="dcterms:W3CDTF">2023-11-14T08:50:00Z</dcterms:created>
  <dcterms:modified xsi:type="dcterms:W3CDTF">2023-11-14T09:10:00Z</dcterms:modified>
</cp:coreProperties>
</file>