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6898A7" w14:textId="395BF2ED" w:rsidR="001B1257" w:rsidRDefault="00F01B3B" w:rsidP="005421A3">
      <w:pPr>
        <w:ind w:firstLine="720"/>
      </w:pPr>
      <w:r>
        <w:t xml:space="preserve">In this essay, we will be discussing how researchers have focused on the genetic or morphological changes to animals as evidence for the domestication process. But these aren’t the only </w:t>
      </w:r>
      <w:r w:rsidR="003E7B3C">
        <w:t xml:space="preserve">types of </w:t>
      </w:r>
      <w:r>
        <w:t>reliable evidence available. Other evidences such as archaeological evidence</w:t>
      </w:r>
      <w:r w:rsidR="001F394E">
        <w:t xml:space="preserve"> and </w:t>
      </w:r>
      <w:r w:rsidR="000B4CC2">
        <w:t xml:space="preserve">the invention of </w:t>
      </w:r>
      <w:r w:rsidR="004F55E9">
        <w:t>breeds</w:t>
      </w:r>
      <w:r>
        <w:t xml:space="preserve"> are just as reliable. However, it is worth mentioning that with </w:t>
      </w:r>
      <w:proofErr w:type="gramStart"/>
      <w:r>
        <w:t>the</w:t>
      </w:r>
      <w:r w:rsidR="003E7B3C">
        <w:t xml:space="preserve"> majority of</w:t>
      </w:r>
      <w:proofErr w:type="gramEnd"/>
      <w:r>
        <w:t xml:space="preserve"> alternate evidences, it can be at times hard to pinpoint when in the domestication process they may have occurred. This could be why researchers use genetic and morphological changes as their primary evidence</w:t>
      </w:r>
      <w:r w:rsidR="003E7B3C">
        <w:t xml:space="preserve">, </w:t>
      </w:r>
      <w:r>
        <w:t>s with these</w:t>
      </w:r>
      <w:r w:rsidR="003E7B3C">
        <w:t xml:space="preserve"> types of evidence</w:t>
      </w:r>
      <w:r>
        <w:t xml:space="preserve"> it is easier </w:t>
      </w:r>
      <w:r w:rsidR="003E7B3C">
        <w:t xml:space="preserve">for the researcher </w:t>
      </w:r>
      <w:r>
        <w:t xml:space="preserve">to pinpoint when they occurred. </w:t>
      </w:r>
    </w:p>
    <w:p w14:paraId="2893422D" w14:textId="078FBF4C" w:rsidR="00413B01" w:rsidRDefault="00413B01" w:rsidP="005421A3">
      <w:pPr>
        <w:ind w:firstLine="720"/>
      </w:pPr>
      <w:proofErr w:type="gramStart"/>
      <w:r>
        <w:t>In order to</w:t>
      </w:r>
      <w:proofErr w:type="gramEnd"/>
      <w:r>
        <w:t xml:space="preserve"> analyse the different types of evidence we must first discuss the process which it is supporting. When talking about</w:t>
      </w:r>
      <w:r w:rsidR="00807CD1">
        <w:t xml:space="preserve"> domesticated animals it “begins with ownership”</w:t>
      </w:r>
      <w:r w:rsidR="00A12179">
        <w:rPr>
          <w:rStyle w:val="FootnoteReference"/>
        </w:rPr>
        <w:footnoteReference w:id="1"/>
      </w:r>
      <w:r w:rsidR="00800FBC">
        <w:t xml:space="preserve"> </w:t>
      </w:r>
      <w:r w:rsidR="00807CD1">
        <w:t>and the benefits of being able to use animals as primary and secondary resources. An acceptable definition is “one that has been bred in captivity for purposes of economic profit to a human community that maintains complete mastery over its breeding, organization of territory, and supply.”</w:t>
      </w:r>
      <w:r w:rsidR="00A12179">
        <w:rPr>
          <w:rStyle w:val="FootnoteReference"/>
        </w:rPr>
        <w:footnoteReference w:id="2"/>
      </w:r>
      <w:r w:rsidR="00A12179">
        <w:t xml:space="preserve"> </w:t>
      </w:r>
      <w:r w:rsidR="00807CD1">
        <w:t>Another way to define domestication is that “the relationship between human and animal is transformed from one of mutual trust in which the environment and its resources are shared to total human control and domination.”</w:t>
      </w:r>
      <w:r w:rsidR="00A12179">
        <w:rPr>
          <w:rStyle w:val="FootnoteReference"/>
        </w:rPr>
        <w:footnoteReference w:id="3"/>
      </w:r>
      <w:r w:rsidR="00A12179">
        <w:t xml:space="preserve"> </w:t>
      </w:r>
      <w:r w:rsidR="00807CD1">
        <w:t xml:space="preserve">From this we can see how the use of ownership and the benefits of being able to use animals as primary and secondary resources </w:t>
      </w:r>
      <w:r w:rsidR="003E7B3C">
        <w:t xml:space="preserve">kick </w:t>
      </w:r>
      <w:r w:rsidR="00807CD1">
        <w:t xml:space="preserve">started the domestication process. The domestication process can be split into the biological and cultural approach. “The biological process of domestication may </w:t>
      </w:r>
      <w:proofErr w:type="gramStart"/>
      <w:r w:rsidR="00807CD1">
        <w:t>be seen as</w:t>
      </w:r>
      <w:proofErr w:type="gramEnd"/>
      <w:r w:rsidR="00807CD1">
        <w:t xml:space="preserve"> a form of evolution in which a breeding group of animals has been separated from its wild conspecifics by taming.”</w:t>
      </w:r>
      <w:r w:rsidR="004331CA">
        <w:rPr>
          <w:rStyle w:val="FootnoteReference"/>
        </w:rPr>
        <w:footnoteReference w:id="4"/>
      </w:r>
      <w:r w:rsidR="00807CD1">
        <w:t xml:space="preserve"> This means that when humans separate a founder group from their wild counterparts, the genetics from “reproductive isolation”</w:t>
      </w:r>
      <w:r w:rsidR="004331CA">
        <w:rPr>
          <w:rStyle w:val="FootnoteReference"/>
        </w:rPr>
        <w:footnoteReference w:id="5"/>
      </w:r>
      <w:r w:rsidR="00807CD1">
        <w:t xml:space="preserve"> allows “the genetic reorganisation of peripherally isolated populations does permit evolutionary changes”</w:t>
      </w:r>
      <w:r w:rsidR="004331CA">
        <w:rPr>
          <w:rStyle w:val="FootnoteReference"/>
        </w:rPr>
        <w:footnoteReference w:id="6"/>
      </w:r>
      <w:r w:rsidR="00807CD1">
        <w:t>. The use of genetic evidence,</w:t>
      </w:r>
      <w:r w:rsidR="003E7B3C">
        <w:t xml:space="preserve"> morphological changes and variations of breeds</w:t>
      </w:r>
      <w:r w:rsidR="00B16230">
        <w:t xml:space="preserve"> can be used as supporting evidence. As we will see the bodily changes to the domesticated animals. Done, perhaps, to make them more appealing for sale, our pleasure (to make them look ‘cuter’ to our standards) or to ensure adequate amounts of resources from the animals. The other side of domestication is the cultural process, where during the Neolithic Revolution (as we went from hunter-gatherers to </w:t>
      </w:r>
      <w:r w:rsidR="00B57B61">
        <w:t xml:space="preserve">being settled and becoming </w:t>
      </w:r>
      <w:r w:rsidR="00B16230">
        <w:t xml:space="preserve">farmers) our culture changed and </w:t>
      </w:r>
      <w:proofErr w:type="gramStart"/>
      <w:r w:rsidR="00B16230">
        <w:t>in order to</w:t>
      </w:r>
      <w:proofErr w:type="gramEnd"/>
      <w:r w:rsidR="00B16230">
        <w:t xml:space="preserve"> sustain this change we domesticated certain animals. “animals have to be incorporated into the social structure of a human community and become objects of ownership, inheritance purchase, and exchange.”</w:t>
      </w:r>
      <w:r w:rsidR="004331CA">
        <w:rPr>
          <w:rStyle w:val="FootnoteReference"/>
        </w:rPr>
        <w:footnoteReference w:id="7"/>
      </w:r>
      <w:r w:rsidR="00B16230">
        <w:t xml:space="preserve"> It is from this process where</w:t>
      </w:r>
      <w:r w:rsidR="00B57B61">
        <w:t xml:space="preserve"> </w:t>
      </w:r>
      <w:r w:rsidR="00B16230">
        <w:t xml:space="preserve">archaeological evidence </w:t>
      </w:r>
      <w:r w:rsidR="00B57B61">
        <w:t>is, and the intention of selective breeding becomes</w:t>
      </w:r>
      <w:r w:rsidR="00B16230">
        <w:t xml:space="preserve"> key. </w:t>
      </w:r>
    </w:p>
    <w:p w14:paraId="0D31635D" w14:textId="524FA94A" w:rsidR="005421A3" w:rsidRDefault="009060BA" w:rsidP="005421A3">
      <w:pPr>
        <w:ind w:firstLine="720"/>
      </w:pPr>
      <w:r>
        <w:t>“Domestic animals owe their morphology and behaviour to selective breeding controlled by people.”</w:t>
      </w:r>
      <w:r w:rsidR="004331CA">
        <w:rPr>
          <w:rStyle w:val="FootnoteReference"/>
        </w:rPr>
        <w:footnoteReference w:id="8"/>
      </w:r>
      <w:r>
        <w:t xml:space="preserve"> Morphology is “the study of the form of things”</w:t>
      </w:r>
      <w:r w:rsidR="004331CA">
        <w:rPr>
          <w:rStyle w:val="FootnoteReference"/>
        </w:rPr>
        <w:footnoteReference w:id="9"/>
      </w:r>
      <w:r>
        <w:t xml:space="preserve"> so it makes sense that researchers would </w:t>
      </w:r>
      <w:r>
        <w:lastRenderedPageBreak/>
        <w:t xml:space="preserve">focus in on this type of evidence to support the domestication process. </w:t>
      </w:r>
      <w:r w:rsidR="00B57B61">
        <w:t xml:space="preserve">Genetic evidence is investigating the DNA of the animals in question. This is one of the more accurate ways to date domestication because if you can track a specific chromosome backwards then you can (ideally) trace it to its origins. </w:t>
      </w:r>
      <w:r>
        <w:t xml:space="preserve">As you can’t talk about the change in environment and lifestyle of the domesticate without </w:t>
      </w:r>
      <w:r w:rsidR="00B57B61">
        <w:t>mentioning</w:t>
      </w:r>
      <w:r>
        <w:t xml:space="preserve"> the physical changes to the animal. Physical changes such as “length and width … a snout that is narrow or broad”</w:t>
      </w:r>
      <w:r w:rsidR="004331CA">
        <w:rPr>
          <w:rStyle w:val="FootnoteReference"/>
        </w:rPr>
        <w:footnoteReference w:id="10"/>
      </w:r>
      <w:r>
        <w:t xml:space="preserve"> or “a change in the cross-sectional shape of the horns.”</w:t>
      </w:r>
      <w:r w:rsidR="004331CA">
        <w:rPr>
          <w:rStyle w:val="FootnoteReference"/>
        </w:rPr>
        <w:footnoteReference w:id="11"/>
      </w:r>
      <w:r>
        <w:t xml:space="preserve"> </w:t>
      </w:r>
      <w:r w:rsidR="00B57B61">
        <w:t>Also,</w:t>
      </w:r>
      <w:r>
        <w:t xml:space="preserve"> once founder group members successfully breed with one another then their physical characteristics will become common among the offspring, who will then go onto breed with the other offspring and will pass down the common physical appearance from the gene pool. For example, “Early Bronze Age goats with horn cores that twisted and had concave medial surfaces predominated (</w:t>
      </w:r>
      <w:proofErr w:type="spellStart"/>
      <w:r>
        <w:t>Clutton</w:t>
      </w:r>
      <w:proofErr w:type="spellEnd"/>
      <w:r>
        <w:t>-Brock (981: 61)”</w:t>
      </w:r>
      <w:r w:rsidR="004331CA">
        <w:rPr>
          <w:rStyle w:val="FootnoteReference"/>
        </w:rPr>
        <w:footnoteReference w:id="12"/>
      </w:r>
      <w:r>
        <w:t xml:space="preserve">. </w:t>
      </w:r>
      <w:r w:rsidR="00B57B61">
        <w:t>These differ from goats in other areas at the same time because they bred within the founder group and made the twisted horn cores, rare to their specific group. So,</w:t>
      </w:r>
      <w:r>
        <w:t xml:space="preserve"> researchers would want to use morphological changes as evidence for the domestication process because it enables the researchers to track down when domestication </w:t>
      </w:r>
      <w:r w:rsidR="00BB329A">
        <w:t xml:space="preserve">physically become apparent in domesticated animals. Something archaeological evidence </w:t>
      </w:r>
      <w:r w:rsidR="00B57B61">
        <w:t>cannot</w:t>
      </w:r>
      <w:r w:rsidR="00BB329A">
        <w:t xml:space="preserve"> do </w:t>
      </w:r>
      <w:r w:rsidR="00B57B61">
        <w:t>this as</w:t>
      </w:r>
      <w:r w:rsidR="00BB329A">
        <w:t xml:space="preserve"> easily. “Coat </w:t>
      </w:r>
      <w:proofErr w:type="spellStart"/>
      <w:r w:rsidR="00BB329A">
        <w:t>color</w:t>
      </w:r>
      <w:proofErr w:type="spellEnd"/>
      <w:r w:rsidR="00BB329A">
        <w:t xml:space="preserve"> is rarely documented in archaeological remains, though it has broad implications for the process of domestication.”</w:t>
      </w:r>
      <w:r w:rsidR="004331CA">
        <w:rPr>
          <w:rStyle w:val="FootnoteReference"/>
        </w:rPr>
        <w:footnoteReference w:id="13"/>
      </w:r>
    </w:p>
    <w:p w14:paraId="7623E8E5" w14:textId="53353EAC" w:rsidR="00E77D0F" w:rsidRDefault="00E77D0F" w:rsidP="005421A3">
      <w:pPr>
        <w:ind w:firstLine="720"/>
      </w:pPr>
      <w:r>
        <w:t xml:space="preserve">Archaeological evidence is just as reliable as genetic evidence and morphological changes when discussing the domestication process. </w:t>
      </w:r>
      <w:r w:rsidR="00B57B61">
        <w:t xml:space="preserve">And sometimes even uses morphological changes </w:t>
      </w:r>
      <w:proofErr w:type="gramStart"/>
      <w:r w:rsidR="00B57B61">
        <w:t>as a way to</w:t>
      </w:r>
      <w:proofErr w:type="gramEnd"/>
      <w:r w:rsidR="00B57B61">
        <w:t xml:space="preserve"> back up the occurrence of the domestication process. </w:t>
      </w:r>
      <w:r>
        <w:t xml:space="preserve">And can be used for both the biological and cultural approaches. In fact, it is usually because of archaeology that has uncovered animal remains and it is then that DNA sequencing and investigations into morphological changes are possible. This evidence mainly uses the </w:t>
      </w:r>
      <w:proofErr w:type="spellStart"/>
      <w:r>
        <w:t>archaeofaunal</w:t>
      </w:r>
      <w:proofErr w:type="spellEnd"/>
      <w:r>
        <w:t xml:space="preserve"> record. In </w:t>
      </w:r>
      <w:r>
        <w:rPr>
          <w:i/>
        </w:rPr>
        <w:t>The Archaeology of Animals – Simon J.M. Davis</w:t>
      </w:r>
      <w:r>
        <w:t xml:space="preserve">, he lays out six headings in which zoo-archaeologists use to group skeletal remains of possible domesticated animals. “They are: </w:t>
      </w:r>
    </w:p>
    <w:p w14:paraId="42A74D48" w14:textId="20031FAF" w:rsidR="00E77D0F" w:rsidRDefault="00E77D0F" w:rsidP="00E77D0F">
      <w:pPr>
        <w:pStyle w:val="ListParagraph"/>
        <w:numPr>
          <w:ilvl w:val="0"/>
          <w:numId w:val="1"/>
        </w:numPr>
      </w:pPr>
      <w:r>
        <w:rPr>
          <w:u w:val="single"/>
        </w:rPr>
        <w:t>Presence of a foreign species”</w:t>
      </w:r>
      <w:r w:rsidR="004331CA">
        <w:rPr>
          <w:rStyle w:val="FootnoteReference"/>
          <w:u w:val="single"/>
        </w:rPr>
        <w:footnoteReference w:id="14"/>
      </w:r>
    </w:p>
    <w:p w14:paraId="5D8359AC" w14:textId="2F2C73A5" w:rsidR="00E77D0F" w:rsidRDefault="00E77D0F" w:rsidP="00E77D0F">
      <w:r>
        <w:t>When archaeologists find bone and teeth fragments and analyse them it can tell them a wealth of information. From this they can determine what animal it was,</w:t>
      </w:r>
      <w:r w:rsidR="00B57B61">
        <w:t xml:space="preserve"> the species and consequently</w:t>
      </w:r>
      <w:r>
        <w:t xml:space="preserve"> the breed, etc. A general “picture is beginning to emerge of the gradual diffusion of livestock husbandry out of the Near East and Mediterranean basin into Europe and Africa.”</w:t>
      </w:r>
      <w:r w:rsidR="004331CA">
        <w:rPr>
          <w:rStyle w:val="FootnoteReference"/>
        </w:rPr>
        <w:footnoteReference w:id="15"/>
      </w:r>
      <w:r>
        <w:t xml:space="preserve"> So archaeological evidence is reliable because “the sudden arrival of a new species is often a sure sign that it was introduced as domestic stock by humans.”</w:t>
      </w:r>
      <w:r w:rsidR="004331CA">
        <w:rPr>
          <w:rStyle w:val="FootnoteReference"/>
        </w:rPr>
        <w:footnoteReference w:id="16"/>
      </w:r>
      <w:r>
        <w:t xml:space="preserve"> When archaeologists find evidence of animals that</w:t>
      </w:r>
      <w:r w:rsidR="004E0D92">
        <w:t xml:space="preserve"> are not indicative to that country a possible</w:t>
      </w:r>
      <w:r w:rsidR="006C1EA9">
        <w:t xml:space="preserve"> explanation is that they have been introduced by humans “Jean-Denis </w:t>
      </w:r>
      <w:proofErr w:type="spellStart"/>
      <w:r w:rsidR="006C1EA9">
        <w:t>Vigne</w:t>
      </w:r>
      <w:proofErr w:type="spellEnd"/>
      <w:r w:rsidR="006C1EA9">
        <w:t xml:space="preserve"> (1984) found sheep bones dated to 6570 by in layer 18 of </w:t>
      </w:r>
      <w:proofErr w:type="spellStart"/>
      <w:r w:rsidR="006C1EA9">
        <w:t>Araguina-Sennola</w:t>
      </w:r>
      <w:proofErr w:type="spellEnd"/>
      <w:r w:rsidR="006C1EA9">
        <w:t xml:space="preserve"> in </w:t>
      </w:r>
      <w:proofErr w:type="spellStart"/>
      <w:r w:rsidR="006C1EA9">
        <w:t>Corisca</w:t>
      </w:r>
      <w:proofErr w:type="spellEnd"/>
      <w:r w:rsidR="006C1EA9">
        <w:t xml:space="preserve"> – an island where no sheep had existed in earlier times.”</w:t>
      </w:r>
      <w:r w:rsidR="004331CA">
        <w:rPr>
          <w:rStyle w:val="FootnoteReference"/>
        </w:rPr>
        <w:footnoteReference w:id="17"/>
      </w:r>
    </w:p>
    <w:p w14:paraId="26AFC020" w14:textId="5D9CBCA3" w:rsidR="006C1EA9" w:rsidRPr="006C1EA9" w:rsidRDefault="006C1EA9" w:rsidP="006C1EA9">
      <w:pPr>
        <w:pStyle w:val="ListParagraph"/>
        <w:numPr>
          <w:ilvl w:val="0"/>
          <w:numId w:val="1"/>
        </w:numPr>
      </w:pPr>
      <w:r>
        <w:rPr>
          <w:u w:val="single"/>
        </w:rPr>
        <w:t>“Morphological changes”</w:t>
      </w:r>
      <w:r w:rsidR="004331CA">
        <w:rPr>
          <w:rStyle w:val="FootnoteReference"/>
          <w:u w:val="single"/>
        </w:rPr>
        <w:footnoteReference w:id="18"/>
      </w:r>
    </w:p>
    <w:p w14:paraId="40426DA9" w14:textId="41E80E24" w:rsidR="006C1EA9" w:rsidRPr="006C1EA9" w:rsidRDefault="00A04682" w:rsidP="006C1EA9">
      <w:r>
        <w:lastRenderedPageBreak/>
        <w:t xml:space="preserve">Studying the morphological changes </w:t>
      </w:r>
      <w:r w:rsidR="00A00604">
        <w:t xml:space="preserve">of animals is useful for the use as evidence because it enables researchers to distinguish between wild and domesticated animals. They can do this by looking at animals through chronology. “Today, many (but not all) of our domesticated animals differ markedly from their wild ancestors in </w:t>
      </w:r>
      <w:proofErr w:type="gramStart"/>
      <w:r w:rsidR="00A00604">
        <w:t>a number of</w:t>
      </w:r>
      <w:proofErr w:type="gramEnd"/>
      <w:r w:rsidR="00A00604">
        <w:t xml:space="preserve"> ways, for example, general body proportions, horn shapes, colouring, hair and fleece, and body size. Some of these characters are reflected in the skeleton.”</w:t>
      </w:r>
      <w:r w:rsidR="004331CA">
        <w:rPr>
          <w:rStyle w:val="FootnoteReference"/>
        </w:rPr>
        <w:footnoteReference w:id="19"/>
      </w:r>
      <w:r w:rsidR="004331CA">
        <w:t xml:space="preserve"> </w:t>
      </w:r>
      <w:r w:rsidR="00A00604">
        <w:t>However, this evidence doesn’t come without its problems as, “Differentiating ‘domestic’ from ‘wild’ in the later periods (when we can usually be sure, from other sources)”</w:t>
      </w:r>
      <w:r w:rsidR="004331CA">
        <w:rPr>
          <w:rStyle w:val="FootnoteReference"/>
        </w:rPr>
        <w:footnoteReference w:id="20"/>
      </w:r>
      <w:r w:rsidR="00B433C8">
        <w:t xml:space="preserve"> can become harder. </w:t>
      </w:r>
    </w:p>
    <w:p w14:paraId="614AC321" w14:textId="0536BA98" w:rsidR="006C1EA9" w:rsidRPr="005503C8" w:rsidRDefault="006C1EA9" w:rsidP="006C1EA9">
      <w:pPr>
        <w:pStyle w:val="ListParagraph"/>
        <w:numPr>
          <w:ilvl w:val="0"/>
          <w:numId w:val="1"/>
        </w:numPr>
      </w:pPr>
      <w:r>
        <w:rPr>
          <w:u w:val="single"/>
        </w:rPr>
        <w:t>“Size differences”</w:t>
      </w:r>
      <w:r w:rsidR="004331CA">
        <w:rPr>
          <w:rStyle w:val="FootnoteReference"/>
          <w:u w:val="single"/>
        </w:rPr>
        <w:footnoteReference w:id="21"/>
      </w:r>
    </w:p>
    <w:p w14:paraId="498757FE" w14:textId="1593CF3C" w:rsidR="005503C8" w:rsidRPr="006C1EA9" w:rsidRDefault="005503C8" w:rsidP="005503C8">
      <w:r>
        <w:t xml:space="preserve">A comparison of size differences is a reason why archaeological evidence is reliable. This is because domesticated animals tend to be smaller in size compared to their wild counterparts. </w:t>
      </w:r>
      <w:proofErr w:type="gramStart"/>
      <w:r w:rsidR="00B433C8">
        <w:t>As a result of</w:t>
      </w:r>
      <w:proofErr w:type="gramEnd"/>
      <w:r w:rsidR="00B433C8">
        <w:t xml:space="preserve"> the way they were raised. </w:t>
      </w:r>
      <w:r>
        <w:t>A reason for this may be that smaller animals are easier to maintain</w:t>
      </w:r>
      <w:r w:rsidR="00B433C8">
        <w:t>, so instead of humans struggling with overly aggressive and large animals they can breed these features out of the gene pool</w:t>
      </w:r>
      <w:r>
        <w:t xml:space="preserve">. “For animals like cattle and pigs, Joachim </w:t>
      </w:r>
      <w:proofErr w:type="spellStart"/>
      <w:r>
        <w:t>Boessneck</w:t>
      </w:r>
      <w:proofErr w:type="spellEnd"/>
      <w:r>
        <w:t xml:space="preserve"> (1978) has suggested, diminution was due to early peoples’ preference for large numbers of small and probably therefore more easily managed animals, over a few large intractable ones.”</w:t>
      </w:r>
      <w:r w:rsidR="004331CA">
        <w:rPr>
          <w:rStyle w:val="FootnoteReference"/>
        </w:rPr>
        <w:footnoteReference w:id="22"/>
      </w:r>
      <w:r>
        <w:t xml:space="preserve"> </w:t>
      </w:r>
      <w:r w:rsidR="00B433C8">
        <w:t>So,</w:t>
      </w:r>
      <w:r>
        <w:t xml:space="preserve"> the comparison of size of </w:t>
      </w:r>
      <w:proofErr w:type="spellStart"/>
      <w:r>
        <w:t>archaeofauna</w:t>
      </w:r>
      <w:proofErr w:type="spellEnd"/>
      <w:r>
        <w:t xml:space="preserve"> matter is reliable evidence because it is a physical representation of the domestication process. “But here too, size-change may have </w:t>
      </w:r>
      <w:proofErr w:type="gramStart"/>
      <w:r>
        <w:t>lagged behind</w:t>
      </w:r>
      <w:proofErr w:type="gramEnd"/>
      <w:r>
        <w:t xml:space="preserve"> initial domestication.”</w:t>
      </w:r>
      <w:r w:rsidR="004331CA">
        <w:rPr>
          <w:rStyle w:val="FootnoteReference"/>
        </w:rPr>
        <w:footnoteReference w:id="23"/>
      </w:r>
      <w:r>
        <w:t xml:space="preserve"> Despite this “Whatever may be the reasons for changes in size associated with domestication, the size criterion is possibly the most widely used means of separating domestic animals from their wild relatives in </w:t>
      </w:r>
      <w:proofErr w:type="spellStart"/>
      <w:r>
        <w:t>archaeofaunal</w:t>
      </w:r>
      <w:proofErr w:type="spellEnd"/>
      <w:r>
        <w:t xml:space="preserve"> remains.”</w:t>
      </w:r>
      <w:r w:rsidR="004331CA">
        <w:rPr>
          <w:rStyle w:val="FootnoteReference"/>
        </w:rPr>
        <w:footnoteReference w:id="24"/>
      </w:r>
    </w:p>
    <w:p w14:paraId="3D7E98AA" w14:textId="360FFA0E" w:rsidR="006C1EA9" w:rsidRPr="005503C8" w:rsidRDefault="006C1EA9" w:rsidP="006C1EA9">
      <w:pPr>
        <w:pStyle w:val="ListParagraph"/>
        <w:numPr>
          <w:ilvl w:val="0"/>
          <w:numId w:val="1"/>
        </w:numPr>
      </w:pPr>
      <w:r>
        <w:rPr>
          <w:u w:val="single"/>
        </w:rPr>
        <w:t>“Species frequency change within a succession of faunas”</w:t>
      </w:r>
      <w:r w:rsidR="004331CA">
        <w:rPr>
          <w:rStyle w:val="FootnoteReference"/>
          <w:u w:val="single"/>
        </w:rPr>
        <w:footnoteReference w:id="25"/>
      </w:r>
    </w:p>
    <w:p w14:paraId="5CA4A66B" w14:textId="60CC7E9D" w:rsidR="005503C8" w:rsidRPr="006C1EA9" w:rsidRDefault="005503C8" w:rsidP="005503C8">
      <w:r>
        <w:t xml:space="preserve">This is a reliable evidence </w:t>
      </w:r>
      <w:r w:rsidR="00B433C8">
        <w:t>if</w:t>
      </w:r>
      <w:r>
        <w:t xml:space="preserve"> it is done within “a limited geographical area </w:t>
      </w:r>
      <w:proofErr w:type="gramStart"/>
      <w:r>
        <w:t>in order to</w:t>
      </w:r>
      <w:proofErr w:type="gramEnd"/>
      <w:r>
        <w:t xml:space="preserve"> eliminate the possibility of geographical variation.”</w:t>
      </w:r>
      <w:r w:rsidR="004331CA">
        <w:rPr>
          <w:rStyle w:val="FootnoteReference"/>
        </w:rPr>
        <w:footnoteReference w:id="26"/>
      </w:r>
      <w:r>
        <w:t xml:space="preserve"> This evidence tracks a </w:t>
      </w:r>
      <w:r w:rsidR="007F7E83">
        <w:t xml:space="preserve">change in the number of species located within a certain area. It is useful for the domestication process because researchers can track (at least by bones and teeth left behind) the movements of animals who used to move in cyclical patterns, and whom once they were domesticated stayed in one place like their owners. </w:t>
      </w:r>
      <w:r w:rsidR="00B433C8">
        <w:t xml:space="preserve">Although it is difficult to estimate an exact number of animals. </w:t>
      </w:r>
      <w:r w:rsidR="007F7E83">
        <w:t>“A shift from an earlier spectrum of species which includes many animals not known to have ever been domesticated to a later spectrum which includes ‘</w:t>
      </w:r>
      <w:proofErr w:type="spellStart"/>
      <w:r w:rsidR="007F7E83">
        <w:t>prodomesticates</w:t>
      </w:r>
      <w:proofErr w:type="spellEnd"/>
      <w:r w:rsidR="007F7E83">
        <w:t>’ should reflect an economic shift from hunting to husbandry.”</w:t>
      </w:r>
      <w:r w:rsidR="004331CA">
        <w:rPr>
          <w:rStyle w:val="FootnoteReference"/>
        </w:rPr>
        <w:footnoteReference w:id="27"/>
      </w:r>
    </w:p>
    <w:p w14:paraId="216E136B" w14:textId="3020C48F" w:rsidR="006C1EA9" w:rsidRPr="007F7E83" w:rsidRDefault="006C1EA9" w:rsidP="006C1EA9">
      <w:pPr>
        <w:pStyle w:val="ListParagraph"/>
        <w:numPr>
          <w:ilvl w:val="0"/>
          <w:numId w:val="1"/>
        </w:numPr>
      </w:pPr>
      <w:r>
        <w:rPr>
          <w:u w:val="single"/>
        </w:rPr>
        <w:t>“Cultural factors”</w:t>
      </w:r>
      <w:r w:rsidR="004331CA">
        <w:rPr>
          <w:rStyle w:val="FootnoteReference"/>
          <w:u w:val="single"/>
        </w:rPr>
        <w:footnoteReference w:id="28"/>
      </w:r>
    </w:p>
    <w:p w14:paraId="0F79E509" w14:textId="55933749" w:rsidR="00883506" w:rsidRPr="006C1EA9" w:rsidRDefault="007F7E83" w:rsidP="007F7E83">
      <w:r>
        <w:t xml:space="preserve">Cultural signs are important as archaeological evidence because “There are a number of rare finds which show </w:t>
      </w:r>
      <w:proofErr w:type="gramStart"/>
      <w:r>
        <w:t>some kind of close</w:t>
      </w:r>
      <w:proofErr w:type="gramEnd"/>
      <w:r>
        <w:t xml:space="preserve"> relationship between man and animal.”</w:t>
      </w:r>
      <w:r w:rsidR="004331CA">
        <w:rPr>
          <w:rStyle w:val="FootnoteReference"/>
        </w:rPr>
        <w:footnoteReference w:id="29"/>
      </w:r>
      <w:r>
        <w:t xml:space="preserve"> These are burials where animals have been buried alongside humans. For </w:t>
      </w:r>
      <w:r w:rsidR="00883506">
        <w:t>example,</w:t>
      </w:r>
      <w:r>
        <w:t xml:space="preserve"> in a tomb at Ein </w:t>
      </w:r>
      <w:proofErr w:type="spellStart"/>
      <w:r>
        <w:t>Mallaha</w:t>
      </w:r>
      <w:proofErr w:type="spellEnd"/>
      <w:r>
        <w:t>, northern Israel</w:t>
      </w:r>
      <w:r w:rsidR="00883506">
        <w:t xml:space="preserve">, a </w:t>
      </w:r>
      <w:proofErr w:type="gramStart"/>
      <w:r w:rsidR="00883506">
        <w:t>3-5 month old</w:t>
      </w:r>
      <w:proofErr w:type="gramEnd"/>
      <w:r w:rsidR="00883506">
        <w:t xml:space="preserve"> puppy was found underneath the skeleton hand of an elderly human. “Clearly there </w:t>
      </w:r>
      <w:r w:rsidR="00883506">
        <w:lastRenderedPageBreak/>
        <w:t>was some close association between the old woman and animal – an affectional rather than gastronomic relationship.”</w:t>
      </w:r>
      <w:r w:rsidR="004331CA">
        <w:rPr>
          <w:rStyle w:val="FootnoteReference"/>
        </w:rPr>
        <w:footnoteReference w:id="30"/>
      </w:r>
      <w:r w:rsidR="00883506">
        <w:t xml:space="preserve"> Another find was the corrosion of bones which indicate the domestication of the dog. This is because “Dogs will swallow bones which are less than about 2.5 cm long. Those that survive the action of stomach acid and digestive juices are recognizably corroded.”</w:t>
      </w:r>
      <w:r w:rsidR="004331CA">
        <w:rPr>
          <w:rStyle w:val="FootnoteReference"/>
        </w:rPr>
        <w:footnoteReference w:id="31"/>
      </w:r>
      <w:r w:rsidR="00883506">
        <w:t xml:space="preserve"> Bones from the “Natufian faunal remains from </w:t>
      </w:r>
      <w:proofErr w:type="spellStart"/>
      <w:r w:rsidR="00883506">
        <w:t>Hatoula</w:t>
      </w:r>
      <w:proofErr w:type="spellEnd"/>
      <w:r w:rsidR="00883506">
        <w:t xml:space="preserve"> … the Mousterian-Natufian </w:t>
      </w:r>
      <w:proofErr w:type="spellStart"/>
      <w:r w:rsidR="00883506">
        <w:t>archaeofaunal</w:t>
      </w:r>
      <w:proofErr w:type="spellEnd"/>
      <w:r w:rsidR="00883506">
        <w:t xml:space="preserve"> material from </w:t>
      </w:r>
      <w:proofErr w:type="spellStart"/>
      <w:r w:rsidR="00883506">
        <w:t>Hayonim</w:t>
      </w:r>
      <w:proofErr w:type="spellEnd"/>
      <w:r w:rsidR="00883506">
        <w:t>”</w:t>
      </w:r>
      <w:r w:rsidR="004331CA">
        <w:rPr>
          <w:rStyle w:val="FootnoteReference"/>
        </w:rPr>
        <w:footnoteReference w:id="32"/>
      </w:r>
      <w:r w:rsidR="00883506">
        <w:t xml:space="preserve"> where similarly corroded. The timeline for this evidence is between 8-10,000 BC which coincides with the “domestication of the dog in the Natufian”</w:t>
      </w:r>
      <w:r w:rsidR="004331CA">
        <w:rPr>
          <w:rStyle w:val="FootnoteReference"/>
        </w:rPr>
        <w:footnoteReference w:id="33"/>
      </w:r>
      <w:r w:rsidR="00883506">
        <w:t xml:space="preserve">. The final find is the teeth of domesticated animals. “It was studied by Juliet </w:t>
      </w:r>
      <w:proofErr w:type="spellStart"/>
      <w:r w:rsidR="00883506">
        <w:t>Clutton</w:t>
      </w:r>
      <w:proofErr w:type="spellEnd"/>
      <w:r w:rsidR="00883506">
        <w:t xml:space="preserve">-Brock (1974), who reports oblique wear on the lower first premolar tooth (P2) – the probable result of wearing a bit … therefore provides evidence for riding and hence domestication of the horse sometime before 1375 </w:t>
      </w:r>
      <w:proofErr w:type="spellStart"/>
      <w:r w:rsidR="00883506">
        <w:t>bc</w:t>
      </w:r>
      <w:proofErr w:type="spellEnd"/>
      <w:r w:rsidR="00883506">
        <w:t>.”</w:t>
      </w:r>
      <w:r w:rsidR="004331CA">
        <w:rPr>
          <w:rStyle w:val="FootnoteReference"/>
        </w:rPr>
        <w:footnoteReference w:id="34"/>
      </w:r>
      <w:r w:rsidR="00883506">
        <w:t xml:space="preserve"> The wear and tear of a bit is not naturally found among non-domesticated animals. </w:t>
      </w:r>
      <w:r w:rsidR="00B433C8">
        <w:t>C</w:t>
      </w:r>
      <w:r w:rsidR="00883506">
        <w:t xml:space="preserve">ultural signs </w:t>
      </w:r>
      <w:r w:rsidR="00B433C8">
        <w:t>are</w:t>
      </w:r>
      <w:r w:rsidR="00883506">
        <w:t xml:space="preserve"> a reliable alternative evidence because it presents evidence of the physical relationship between the human and the domesticated animal. </w:t>
      </w:r>
      <w:r w:rsidR="00B433C8">
        <w:t xml:space="preserve">This is quite unique because it shows the acts that happened in </w:t>
      </w:r>
      <w:r w:rsidR="00B64A51">
        <w:t>their</w:t>
      </w:r>
      <w:r w:rsidR="00B433C8">
        <w:t xml:space="preserve"> </w:t>
      </w:r>
      <w:r w:rsidR="00B64A51">
        <w:t>present but</w:t>
      </w:r>
      <w:r w:rsidR="00B433C8">
        <w:t xml:space="preserve"> has survived to our present. </w:t>
      </w:r>
    </w:p>
    <w:p w14:paraId="61211C04" w14:textId="17CA2FE5" w:rsidR="006C1EA9" w:rsidRPr="00883506" w:rsidRDefault="006C1EA9" w:rsidP="006C1EA9">
      <w:pPr>
        <w:pStyle w:val="ListParagraph"/>
        <w:numPr>
          <w:ilvl w:val="0"/>
          <w:numId w:val="1"/>
        </w:numPr>
      </w:pPr>
      <w:r>
        <w:rPr>
          <w:u w:val="single"/>
        </w:rPr>
        <w:t>“Sex and age-related culling”</w:t>
      </w:r>
      <w:r w:rsidR="004331CA">
        <w:rPr>
          <w:rStyle w:val="FootnoteReference"/>
          <w:u w:val="single"/>
        </w:rPr>
        <w:footnoteReference w:id="35"/>
      </w:r>
    </w:p>
    <w:p w14:paraId="7F7FEAC0" w14:textId="36E115EB" w:rsidR="00883506" w:rsidRDefault="007F7605" w:rsidP="00883506">
      <w:r>
        <w:t>“The mortality pattern of a herd of domesticated animals is mainly dictated by their human owners.”</w:t>
      </w:r>
      <w:r w:rsidR="004331CA">
        <w:rPr>
          <w:rStyle w:val="FootnoteReference"/>
        </w:rPr>
        <w:footnoteReference w:id="36"/>
      </w:r>
      <w:r>
        <w:t xml:space="preserve"> This kind of evidence needs a large sample </w:t>
      </w:r>
      <w:proofErr w:type="gramStart"/>
      <w:r>
        <w:t>in order to</w:t>
      </w:r>
      <w:proofErr w:type="gramEnd"/>
      <w:r>
        <w:t xml:space="preserve"> be accurate and reliable. Once an animal has been domesticated it generally means that there is less </w:t>
      </w:r>
      <w:r w:rsidR="00B433C8">
        <w:t xml:space="preserve">of a </w:t>
      </w:r>
      <w:r>
        <w:t>“predator pressure”</w:t>
      </w:r>
      <w:r w:rsidR="004331CA">
        <w:rPr>
          <w:rStyle w:val="FootnoteReference"/>
        </w:rPr>
        <w:footnoteReference w:id="37"/>
      </w:r>
      <w:r>
        <w:t xml:space="preserve"> put on the herds</w:t>
      </w:r>
      <w:r w:rsidR="00B433C8">
        <w:t xml:space="preserve"> to survive without interference from humans.</w:t>
      </w:r>
      <w:r>
        <w:t xml:space="preserve"> </w:t>
      </w:r>
      <w:r w:rsidR="00B433C8">
        <w:t>T</w:t>
      </w:r>
      <w:r>
        <w:t xml:space="preserve">his means that species’ </w:t>
      </w:r>
      <w:r w:rsidR="00B64A51">
        <w:t>offspring</w:t>
      </w:r>
      <w:r>
        <w:t xml:space="preserve"> have more of a chance of growing to adulthood</w:t>
      </w:r>
      <w:r w:rsidR="00B433C8">
        <w:t xml:space="preserve"> a</w:t>
      </w:r>
      <w:r w:rsidR="00B71FA2">
        <w:t xml:space="preserve">nd can result in a </w:t>
      </w:r>
      <w:r w:rsidR="00B73013">
        <w:t>population boom.</w:t>
      </w:r>
      <w:r>
        <w:t xml:space="preserve"> If the human would </w:t>
      </w:r>
      <w:r w:rsidR="00B64A51">
        <w:t>permit</w:t>
      </w:r>
      <w:r>
        <w:t xml:space="preserve"> it too. </w:t>
      </w:r>
      <w:r w:rsidR="00B64A51">
        <w:t>A r</w:t>
      </w:r>
      <w:r w:rsidR="007C6AFB">
        <w:t xml:space="preserve">eason why humans may cull their domesticated </w:t>
      </w:r>
      <w:r w:rsidR="002C70DE">
        <w:t>animal is because of how old they are. “A maximum return (of carcass weight) on feed is obtained by slaughtering shortly before an animal reaches maturity.”</w:t>
      </w:r>
      <w:r w:rsidR="004331CA">
        <w:rPr>
          <w:rStyle w:val="FootnoteReference"/>
        </w:rPr>
        <w:footnoteReference w:id="38"/>
      </w:r>
      <w:r w:rsidR="002C70DE">
        <w:t xml:space="preserve"> </w:t>
      </w:r>
      <w:r w:rsidR="00B64A51">
        <w:t>Humans</w:t>
      </w:r>
      <w:r w:rsidR="002C70DE">
        <w:t xml:space="preserve"> </w:t>
      </w:r>
      <w:r w:rsidR="00B64A51">
        <w:t>slaughter</w:t>
      </w:r>
      <w:r w:rsidR="002C70DE">
        <w:t xml:space="preserve"> the</w:t>
      </w:r>
      <w:r w:rsidR="00B64A51">
        <w:t xml:space="preserve"> domesticate</w:t>
      </w:r>
      <w:r w:rsidR="002C70DE">
        <w:t xml:space="preserve"> just before adulthood because an animal stops growing after a certain age and so are no longer economically valuable. Another way humans control the life span of domesticated animals is through there sex. Mainly women are kept alive after maturity, and a few males, this is to ensure the species carries on. This is evidence of the domestication process because if the domesticate was left to itself</w:t>
      </w:r>
      <w:r w:rsidR="00B64A51">
        <w:t>, without being domesticated,</w:t>
      </w:r>
      <w:r w:rsidR="002C70DE">
        <w:t xml:space="preserve"> we would find animal remains which indicate that they died of old age or disease. “[Kent Flannery</w:t>
      </w:r>
      <w:r w:rsidR="00B64A51">
        <w:t xml:space="preserve"> </w:t>
      </w:r>
      <w:r w:rsidR="002C70DE">
        <w:t>(1969)] examined the age profile of the goats. Even in the earliest of these assemblages only two-thirds reached on age of one year, and less than a third reached 3.5 years. This kind of age profile indicates, according to Flannery, that the goats were domesticated rather than wild and hunted.”</w:t>
      </w:r>
      <w:r w:rsidR="004331CA">
        <w:rPr>
          <w:rStyle w:val="FootnoteReference"/>
        </w:rPr>
        <w:footnoteReference w:id="39"/>
      </w:r>
      <w:r w:rsidR="00E42243">
        <w:t xml:space="preserve"> </w:t>
      </w:r>
    </w:p>
    <w:p w14:paraId="3878C36D" w14:textId="1A402C0C" w:rsidR="009116E3" w:rsidRDefault="00E42243" w:rsidP="00B04D48">
      <w:pPr>
        <w:ind w:firstLine="720"/>
      </w:pPr>
      <w:r>
        <w:t>Another way to prove the domestication process is through selective breeding and “the development of breeds.”</w:t>
      </w:r>
      <w:r w:rsidR="004331CA">
        <w:rPr>
          <w:rStyle w:val="FootnoteReference"/>
        </w:rPr>
        <w:footnoteReference w:id="40"/>
      </w:r>
      <w:r>
        <w:t xml:space="preserve"> It is worth acknowledging here that selective breeding </w:t>
      </w:r>
      <w:proofErr w:type="gramStart"/>
      <w:r>
        <w:t>can be seen as</w:t>
      </w:r>
      <w:proofErr w:type="gramEnd"/>
      <w:r>
        <w:t xml:space="preserve"> genetic evidence, as humans have manipulated the DNA of the creatures in order to create an enhanced being. But for this essay I am using selective breeding as evidence of humans making the firm decision to force ownership on animals. “The dog … with its domestication predating the rise of </w:t>
      </w:r>
      <w:r>
        <w:lastRenderedPageBreak/>
        <w:t>agriculture by at least three thousand years.”</w:t>
      </w:r>
      <w:r w:rsidR="004331CA">
        <w:rPr>
          <w:rStyle w:val="FootnoteReference"/>
        </w:rPr>
        <w:footnoteReference w:id="41"/>
      </w:r>
      <w:r>
        <w:t xml:space="preserve"> The purpose of domestication </w:t>
      </w:r>
      <w:r w:rsidR="00B04D48">
        <w:t>for</w:t>
      </w:r>
      <w:r>
        <w:t xml:space="preserve"> dogs and cats as pets seems to be one of companionship rather than the</w:t>
      </w:r>
      <w:r w:rsidR="00B04D48">
        <w:t xml:space="preserve"> domesticate</w:t>
      </w:r>
      <w:r>
        <w:t xml:space="preserve"> being</w:t>
      </w:r>
      <w:r w:rsidR="00B04D48">
        <w:t xml:space="preserve"> used as a</w:t>
      </w:r>
      <w:r>
        <w:t xml:space="preserve"> resource to eat. This is perhaps why they were the “most likely explanation for this enduring success is that, right from the outset, wolves and wildcats possessed particular qualities which made them especially suitable and desirable as animal companions.”</w:t>
      </w:r>
      <w:r w:rsidR="004331CA">
        <w:rPr>
          <w:rStyle w:val="FootnoteReference"/>
        </w:rPr>
        <w:footnoteReference w:id="42"/>
      </w:r>
      <w:r>
        <w:t xml:space="preserve"> And “as the forerunner of animal domestication”</w:t>
      </w:r>
      <w:r w:rsidR="004331CA">
        <w:rPr>
          <w:rStyle w:val="FootnoteReference"/>
        </w:rPr>
        <w:footnoteReference w:id="43"/>
      </w:r>
      <w:r>
        <w:t xml:space="preserve"> this is perhaps why humans ventured into domesticating other species of animals. Both with success and failure. </w:t>
      </w:r>
      <w:r w:rsidR="009116E3">
        <w:t xml:space="preserve">Perhaps the most varied breeds of animals </w:t>
      </w:r>
      <w:r w:rsidR="00B04D48">
        <w:t>are</w:t>
      </w:r>
      <w:r w:rsidR="009116E3">
        <w:t xml:space="preserve"> the dog, “there are more than 400 breeds of domestic dog.”</w:t>
      </w:r>
      <w:r w:rsidR="004331CA">
        <w:rPr>
          <w:rStyle w:val="FootnoteReference"/>
        </w:rPr>
        <w:footnoteReference w:id="44"/>
      </w:r>
      <w:r w:rsidR="009116E3">
        <w:t xml:space="preserve"> Dogs appeared because of “an environment where wolf and humans were competing for the same food it is not difficult to surmise how an alliance could be formed between them.”</w:t>
      </w:r>
      <w:r w:rsidR="004331CA">
        <w:rPr>
          <w:rStyle w:val="FootnoteReference"/>
        </w:rPr>
        <w:footnoteReference w:id="45"/>
      </w:r>
      <w:r w:rsidR="009116E3">
        <w:t xml:space="preserve"> And </w:t>
      </w:r>
      <w:r w:rsidR="00B04D48">
        <w:t>so,</w:t>
      </w:r>
      <w:r w:rsidR="009116E3">
        <w:t xml:space="preserve"> this alliance has continued to this day. The development of breeds is a reliable alternate decision for evidence because it highlights the concept of “ownership”</w:t>
      </w:r>
      <w:r w:rsidR="004331CA">
        <w:rPr>
          <w:rStyle w:val="FootnoteReference"/>
        </w:rPr>
        <w:footnoteReference w:id="46"/>
      </w:r>
      <w:r w:rsidR="009116E3">
        <w:t xml:space="preserve"> a concept not easily proved through genetics. </w:t>
      </w:r>
      <w:r w:rsidR="00B04D48">
        <w:t>So selective breeding and the purpose of creating “development of breeds”</w:t>
      </w:r>
      <w:r w:rsidR="004331CA">
        <w:rPr>
          <w:rStyle w:val="FootnoteReference"/>
        </w:rPr>
        <w:footnoteReference w:id="47"/>
      </w:r>
      <w:r w:rsidR="00B04D48">
        <w:t xml:space="preserve"> is a reliable type of evidence which could be used by researchers. This is because through the conscious decision to diversify a species they have used their ownership over dogs and cats to “</w:t>
      </w:r>
      <w:r w:rsidR="00B04D48" w:rsidRPr="00B04D48">
        <w:t>maintains complete mastery over its breeding</w:t>
      </w:r>
      <w:r w:rsidR="00B04D48">
        <w:t>”</w:t>
      </w:r>
      <w:r w:rsidR="004331CA">
        <w:rPr>
          <w:rStyle w:val="FootnoteReference"/>
        </w:rPr>
        <w:footnoteReference w:id="48"/>
      </w:r>
      <w:r w:rsidR="00B04D48">
        <w:t xml:space="preserve"> something that most likely did spark the idea for domesticating other animals. And this can be seen in the animals domesticated. The animals are generally passive and quickly become assumed with their new environment, enabling the genetic and morphological changes to </w:t>
      </w:r>
      <w:proofErr w:type="gramStart"/>
      <w:r w:rsidR="00B04D48">
        <w:t>actually occur</w:t>
      </w:r>
      <w:proofErr w:type="gramEnd"/>
      <w:r w:rsidR="00B04D48">
        <w:t xml:space="preserve"> within the domesticates.</w:t>
      </w:r>
    </w:p>
    <w:p w14:paraId="297D4B0E" w14:textId="557FF6C3" w:rsidR="00700342" w:rsidRDefault="00700342" w:rsidP="00883506">
      <w:r>
        <w:t xml:space="preserve">In conclusion, </w:t>
      </w:r>
      <w:r w:rsidR="003C36CA">
        <w:t xml:space="preserve">genetic and morphology changes is primarily used as evidence for researchers discussing the domestic process. But archaeological evidence and the variations in breeds is also just as reliable. However, if used together I believe that researchers would be able to fully explain not only the domestication process, but the chronology and intentions behind it, giving a broader view to the topic. </w:t>
      </w:r>
    </w:p>
    <w:p w14:paraId="76B737DA" w14:textId="77777777" w:rsidR="00E83DEC" w:rsidRDefault="00E83DEC" w:rsidP="00E83DEC"/>
    <w:p w14:paraId="45EED8C4" w14:textId="77777777" w:rsidR="00E83DEC" w:rsidRDefault="00E83DEC" w:rsidP="00E83DEC"/>
    <w:p w14:paraId="23004E80" w14:textId="77777777" w:rsidR="00E83DEC" w:rsidRDefault="00E83DEC" w:rsidP="00E83DEC"/>
    <w:p w14:paraId="18E63926" w14:textId="77777777" w:rsidR="00E83DEC" w:rsidRDefault="00E83DEC" w:rsidP="00E83DEC"/>
    <w:p w14:paraId="39E0B3B4" w14:textId="77777777" w:rsidR="00E83DEC" w:rsidRDefault="00E83DEC" w:rsidP="00E83DEC"/>
    <w:p w14:paraId="461C47F7" w14:textId="77777777" w:rsidR="00E83DEC" w:rsidRDefault="00E83DEC" w:rsidP="00E83DEC"/>
    <w:p w14:paraId="4936B481" w14:textId="77777777" w:rsidR="00E83DEC" w:rsidRDefault="00E83DEC" w:rsidP="00E83DEC"/>
    <w:p w14:paraId="668CA02F" w14:textId="77777777" w:rsidR="00E83DEC" w:rsidRDefault="00E83DEC" w:rsidP="00E83DEC"/>
    <w:p w14:paraId="1D18C7AE" w14:textId="77777777" w:rsidR="00E83DEC" w:rsidRDefault="00E83DEC" w:rsidP="00E83DEC"/>
    <w:p w14:paraId="59087BB1" w14:textId="77777777" w:rsidR="00E83DEC" w:rsidRDefault="00E83DEC" w:rsidP="00E83DEC"/>
    <w:p w14:paraId="4000AAC9" w14:textId="77777777" w:rsidR="00E83DEC" w:rsidRDefault="00E83DEC" w:rsidP="00E83DEC"/>
    <w:p w14:paraId="6DC125AE" w14:textId="77777777" w:rsidR="00E83DEC" w:rsidRDefault="00E83DEC" w:rsidP="00E83DEC"/>
    <w:p w14:paraId="79E4A2F5" w14:textId="74A4B503" w:rsidR="00E83DEC" w:rsidRDefault="00E83DEC" w:rsidP="00E83DEC">
      <w:r>
        <w:t>Bibliography</w:t>
      </w:r>
    </w:p>
    <w:p w14:paraId="534C8EA8" w14:textId="77777777" w:rsidR="00E83DEC" w:rsidRDefault="00E83DEC" w:rsidP="00E83DEC">
      <w:proofErr w:type="spellStart"/>
      <w:r>
        <w:t>Albarella</w:t>
      </w:r>
      <w:proofErr w:type="spellEnd"/>
      <w:r>
        <w:t xml:space="preserve">, U. and </w:t>
      </w:r>
      <w:proofErr w:type="spellStart"/>
      <w:r>
        <w:t>Trentacoste</w:t>
      </w:r>
      <w:proofErr w:type="spellEnd"/>
      <w:r>
        <w:t xml:space="preserve">, A. (2011). </w:t>
      </w:r>
      <w:proofErr w:type="spellStart"/>
      <w:r>
        <w:t>Ethnozooarchaeology</w:t>
      </w:r>
      <w:proofErr w:type="spellEnd"/>
      <w:r>
        <w:t>. Oxford: Oxbow Books.</w:t>
      </w:r>
    </w:p>
    <w:p w14:paraId="3B09B466" w14:textId="77777777" w:rsidR="00E83DEC" w:rsidRDefault="00E83DEC" w:rsidP="00E83DEC"/>
    <w:p w14:paraId="7E5A8012" w14:textId="77777777" w:rsidR="00E83DEC" w:rsidRDefault="00E83DEC" w:rsidP="00E83DEC">
      <w:proofErr w:type="spellStart"/>
      <w:r>
        <w:t>Budiansky</w:t>
      </w:r>
      <w:proofErr w:type="spellEnd"/>
      <w:r>
        <w:t>, S. (1999). The Covenant of the wild. New Haven: Yale University Press.</w:t>
      </w:r>
    </w:p>
    <w:p w14:paraId="70F03CA1" w14:textId="77777777" w:rsidR="00E83DEC" w:rsidRDefault="00E83DEC" w:rsidP="00E83DEC"/>
    <w:p w14:paraId="4B52E3B3" w14:textId="77777777" w:rsidR="00E83DEC" w:rsidRDefault="00E83DEC" w:rsidP="00E83DEC">
      <w:r>
        <w:t>Cassidy, R. and Mullin, M. (2007). Where the wild things are now. Oxford: Berg.</w:t>
      </w:r>
    </w:p>
    <w:p w14:paraId="45F62391" w14:textId="77777777" w:rsidR="00E83DEC" w:rsidRDefault="00E83DEC" w:rsidP="00E83DEC"/>
    <w:p w14:paraId="0EBF4DD7" w14:textId="77777777" w:rsidR="00E83DEC" w:rsidRDefault="00E83DEC" w:rsidP="00E83DEC">
      <w:proofErr w:type="spellStart"/>
      <w:r>
        <w:t>Clutton</w:t>
      </w:r>
      <w:proofErr w:type="spellEnd"/>
      <w:r>
        <w:t>-Brock, J. (1990). The Walking larder. London: Unwin Hyman.</w:t>
      </w:r>
    </w:p>
    <w:p w14:paraId="5C19F49D" w14:textId="77777777" w:rsidR="00E83DEC" w:rsidRDefault="00E83DEC" w:rsidP="00E83DEC"/>
    <w:p w14:paraId="6ACA1E1F" w14:textId="77777777" w:rsidR="00E83DEC" w:rsidRDefault="00E83DEC" w:rsidP="00E83DEC">
      <w:proofErr w:type="spellStart"/>
      <w:r>
        <w:t>Clutton</w:t>
      </w:r>
      <w:proofErr w:type="spellEnd"/>
      <w:r>
        <w:t>-Brock, J. (1999). A natural history of domesticated mammals. 2nd ed. Cambridge: Cambridge University Press.</w:t>
      </w:r>
    </w:p>
    <w:p w14:paraId="66F28B76" w14:textId="77777777" w:rsidR="00E83DEC" w:rsidRDefault="00E83DEC" w:rsidP="00E83DEC"/>
    <w:p w14:paraId="01DD25FB" w14:textId="77777777" w:rsidR="00E83DEC" w:rsidRDefault="00E83DEC" w:rsidP="00E83DEC">
      <w:r>
        <w:t>Davis, S. (1987). The archaeology of animals. USA &amp; Canada: Yale University Press.</w:t>
      </w:r>
    </w:p>
    <w:p w14:paraId="1C06C82E" w14:textId="77777777" w:rsidR="00E83DEC" w:rsidRDefault="00E83DEC" w:rsidP="00E83DEC"/>
    <w:p w14:paraId="4B3A56D1" w14:textId="77777777" w:rsidR="00E83DEC" w:rsidRDefault="00E83DEC" w:rsidP="00E83DEC">
      <w:proofErr w:type="spellStart"/>
      <w:r>
        <w:t>Noske</w:t>
      </w:r>
      <w:proofErr w:type="spellEnd"/>
      <w:r>
        <w:t xml:space="preserve">, B. (1997). Beyond boundaries. </w:t>
      </w:r>
      <w:proofErr w:type="spellStart"/>
      <w:r>
        <w:t>Montréal</w:t>
      </w:r>
      <w:proofErr w:type="spellEnd"/>
      <w:r>
        <w:t>: Black Rose Books.</w:t>
      </w:r>
    </w:p>
    <w:p w14:paraId="1821730F" w14:textId="77777777" w:rsidR="00E83DEC" w:rsidRDefault="00E83DEC" w:rsidP="00E83DEC"/>
    <w:p w14:paraId="5647C5D6" w14:textId="77777777" w:rsidR="00E83DEC" w:rsidRDefault="00E83DEC" w:rsidP="00E83DEC">
      <w:r>
        <w:t>Reitz, E. and Wing, E. (2007). Zooarchaeology. Cambridge: Cambridge Univ. Press.</w:t>
      </w:r>
    </w:p>
    <w:p w14:paraId="1A7D9636" w14:textId="77777777" w:rsidR="00E83DEC" w:rsidRDefault="00E83DEC" w:rsidP="00E83DEC"/>
    <w:p w14:paraId="292A7926" w14:textId="5EF84592" w:rsidR="00E83DEC" w:rsidRPr="00E77D0F" w:rsidRDefault="00E83DEC" w:rsidP="00E83DEC">
      <w:proofErr w:type="spellStart"/>
      <w:r>
        <w:t>Serpell</w:t>
      </w:r>
      <w:proofErr w:type="spellEnd"/>
      <w:r>
        <w:t>, J. (2003). In the company of animals. Cambridge: Cambridge University Press.</w:t>
      </w:r>
    </w:p>
    <w:sectPr w:rsidR="00E83DEC" w:rsidRPr="00E77D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4166D5" w14:textId="77777777" w:rsidR="00800FBC" w:rsidRDefault="00800FBC" w:rsidP="00800FBC">
      <w:pPr>
        <w:spacing w:after="0" w:line="240" w:lineRule="auto"/>
      </w:pPr>
      <w:r>
        <w:separator/>
      </w:r>
    </w:p>
  </w:endnote>
  <w:endnote w:type="continuationSeparator" w:id="0">
    <w:p w14:paraId="095E5618" w14:textId="77777777" w:rsidR="00800FBC" w:rsidRDefault="00800FBC" w:rsidP="00800F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528BB8" w14:textId="77777777" w:rsidR="00800FBC" w:rsidRDefault="00800FBC" w:rsidP="00800FBC">
      <w:pPr>
        <w:spacing w:after="0" w:line="240" w:lineRule="auto"/>
      </w:pPr>
      <w:r>
        <w:separator/>
      </w:r>
    </w:p>
  </w:footnote>
  <w:footnote w:type="continuationSeparator" w:id="0">
    <w:p w14:paraId="3838E196" w14:textId="77777777" w:rsidR="00800FBC" w:rsidRDefault="00800FBC" w:rsidP="00800FBC">
      <w:pPr>
        <w:spacing w:after="0" w:line="240" w:lineRule="auto"/>
      </w:pPr>
      <w:r>
        <w:continuationSeparator/>
      </w:r>
    </w:p>
  </w:footnote>
  <w:footnote w:id="1">
    <w:p w14:paraId="3F752F76" w14:textId="185EE4FD" w:rsidR="00A12179" w:rsidRDefault="00A12179">
      <w:pPr>
        <w:pStyle w:val="FootnoteText"/>
      </w:pPr>
      <w:r>
        <w:rPr>
          <w:rStyle w:val="FootnoteReference"/>
        </w:rPr>
        <w:footnoteRef/>
      </w:r>
      <w:r>
        <w:t xml:space="preserve"> </w:t>
      </w:r>
      <w:proofErr w:type="spellStart"/>
      <w:r w:rsidR="004331CA" w:rsidRPr="004331CA">
        <w:t>Clutton</w:t>
      </w:r>
      <w:proofErr w:type="spellEnd"/>
      <w:r w:rsidR="004331CA" w:rsidRPr="004331CA">
        <w:t xml:space="preserve">-Brock, J. (1999). A natural history of domesticated mammals. 2nd ed. Cambridge: Cambridge University Press.  </w:t>
      </w:r>
    </w:p>
  </w:footnote>
  <w:footnote w:id="2">
    <w:p w14:paraId="057E3301" w14:textId="2A05004D" w:rsidR="00A12179" w:rsidRDefault="00A12179">
      <w:pPr>
        <w:pStyle w:val="FootnoteText"/>
      </w:pPr>
      <w:r>
        <w:rPr>
          <w:rStyle w:val="FootnoteReference"/>
        </w:rPr>
        <w:footnoteRef/>
      </w:r>
      <w:r>
        <w:t xml:space="preserve"> </w:t>
      </w:r>
      <w:proofErr w:type="spellStart"/>
      <w:r w:rsidR="004331CA" w:rsidRPr="004331CA">
        <w:t>Clutton</w:t>
      </w:r>
      <w:proofErr w:type="spellEnd"/>
      <w:r w:rsidR="004331CA" w:rsidRPr="004331CA">
        <w:t>-Brock, J. (1990). The Walking larder. London: Unwin Hyman.</w:t>
      </w:r>
    </w:p>
  </w:footnote>
  <w:footnote w:id="3">
    <w:p w14:paraId="7FF40468" w14:textId="324D4A75" w:rsidR="00A12179" w:rsidRDefault="00A12179">
      <w:pPr>
        <w:pStyle w:val="FootnoteText"/>
      </w:pPr>
      <w:r>
        <w:rPr>
          <w:rStyle w:val="FootnoteReference"/>
        </w:rPr>
        <w:footnoteRef/>
      </w:r>
      <w:r>
        <w:t xml:space="preserve"> </w:t>
      </w:r>
      <w:proofErr w:type="spellStart"/>
      <w:r w:rsidR="004331CA" w:rsidRPr="004331CA">
        <w:t>Clutton</w:t>
      </w:r>
      <w:proofErr w:type="spellEnd"/>
      <w:r w:rsidR="004331CA" w:rsidRPr="004331CA">
        <w:t>-Brock, J. (1999). A natural history of domesticated mammals. 2nd ed. Cambridge: Cambridge University Press.</w:t>
      </w:r>
    </w:p>
  </w:footnote>
  <w:footnote w:id="4">
    <w:p w14:paraId="31B59C5D" w14:textId="37D3BD09" w:rsidR="004331CA" w:rsidRDefault="004331CA">
      <w:pPr>
        <w:pStyle w:val="FootnoteText"/>
      </w:pPr>
      <w:r>
        <w:rPr>
          <w:rStyle w:val="FootnoteReference"/>
        </w:rPr>
        <w:footnoteRef/>
      </w:r>
      <w:r>
        <w:t xml:space="preserve"> </w:t>
      </w:r>
      <w:proofErr w:type="spellStart"/>
      <w:r w:rsidRPr="004331CA">
        <w:t>Clutton</w:t>
      </w:r>
      <w:proofErr w:type="spellEnd"/>
      <w:r w:rsidRPr="004331CA">
        <w:t>-Brock, J. (1990). The Walking larder. London: Unwin Hyman.</w:t>
      </w:r>
    </w:p>
  </w:footnote>
  <w:footnote w:id="5">
    <w:p w14:paraId="0B75FEF0" w14:textId="11B508F4" w:rsidR="004331CA" w:rsidRDefault="004331CA">
      <w:pPr>
        <w:pStyle w:val="FootnoteText"/>
      </w:pPr>
      <w:r>
        <w:rPr>
          <w:rStyle w:val="FootnoteReference"/>
        </w:rPr>
        <w:footnoteRef/>
      </w:r>
      <w:r>
        <w:t xml:space="preserve"> </w:t>
      </w:r>
      <w:proofErr w:type="spellStart"/>
      <w:r w:rsidRPr="004331CA">
        <w:t>Clutton</w:t>
      </w:r>
      <w:proofErr w:type="spellEnd"/>
      <w:r w:rsidRPr="004331CA">
        <w:t>-Brock, J. (1990). The Walking larder. London: Unwin Hyman.</w:t>
      </w:r>
    </w:p>
  </w:footnote>
  <w:footnote w:id="6">
    <w:p w14:paraId="7EEBCCB9" w14:textId="682FF60F" w:rsidR="004331CA" w:rsidRDefault="004331CA">
      <w:pPr>
        <w:pStyle w:val="FootnoteText"/>
      </w:pPr>
      <w:r>
        <w:rPr>
          <w:rStyle w:val="FootnoteReference"/>
        </w:rPr>
        <w:footnoteRef/>
      </w:r>
      <w:r>
        <w:t xml:space="preserve"> </w:t>
      </w:r>
      <w:proofErr w:type="spellStart"/>
      <w:r w:rsidR="00FE5617" w:rsidRPr="00FE5617">
        <w:t>Clutton</w:t>
      </w:r>
      <w:proofErr w:type="spellEnd"/>
      <w:r w:rsidR="00FE5617" w:rsidRPr="00FE5617">
        <w:t>-Brock, J. (1999). A natural history of domesticated mammals. 2nd ed. Cambridge: Cambridge University Press.</w:t>
      </w:r>
    </w:p>
  </w:footnote>
  <w:footnote w:id="7">
    <w:p w14:paraId="30AA80FB" w14:textId="6C44094B" w:rsidR="004331CA" w:rsidRDefault="004331CA">
      <w:pPr>
        <w:pStyle w:val="FootnoteText"/>
      </w:pPr>
      <w:r>
        <w:rPr>
          <w:rStyle w:val="FootnoteReference"/>
        </w:rPr>
        <w:footnoteRef/>
      </w:r>
      <w:r>
        <w:t xml:space="preserve"> </w:t>
      </w:r>
      <w:proofErr w:type="spellStart"/>
      <w:r w:rsidR="00FE5617" w:rsidRPr="00FE5617">
        <w:t>Clutton</w:t>
      </w:r>
      <w:proofErr w:type="spellEnd"/>
      <w:r w:rsidR="00FE5617" w:rsidRPr="00FE5617">
        <w:t>-Brock, J. (1999). A natural history of domesticated mammals. 2nd ed. Cambridge: Cambridge University Press.</w:t>
      </w:r>
    </w:p>
  </w:footnote>
  <w:footnote w:id="8">
    <w:p w14:paraId="322E3A9C" w14:textId="3FEAA5C1" w:rsidR="004331CA" w:rsidRDefault="004331CA">
      <w:pPr>
        <w:pStyle w:val="FootnoteText"/>
      </w:pPr>
      <w:r>
        <w:rPr>
          <w:rStyle w:val="FootnoteReference"/>
        </w:rPr>
        <w:footnoteRef/>
      </w:r>
      <w:r>
        <w:t xml:space="preserve"> </w:t>
      </w:r>
      <w:hyperlink r:id="rId1" w:history="1">
        <w:r w:rsidR="00FE5617" w:rsidRPr="00F840B9">
          <w:rPr>
            <w:rStyle w:val="Hyperlink"/>
          </w:rPr>
          <w:t>https://www.google.co.uk/search?q=morphology+&amp;aqs=chrome.1.69i57j35i39j0l4.3372j1j7&amp;sourceid=chrome&amp;ie=UTF-8</w:t>
        </w:r>
      </w:hyperlink>
      <w:r w:rsidR="00FE5617">
        <w:t xml:space="preserve"> </w:t>
      </w:r>
    </w:p>
  </w:footnote>
  <w:footnote w:id="9">
    <w:p w14:paraId="3D4CB1A9" w14:textId="7083AA04" w:rsidR="004331CA" w:rsidRDefault="004331CA">
      <w:pPr>
        <w:pStyle w:val="FootnoteText"/>
      </w:pPr>
      <w:r>
        <w:rPr>
          <w:rStyle w:val="FootnoteReference"/>
        </w:rPr>
        <w:footnoteRef/>
      </w:r>
      <w:r>
        <w:t xml:space="preserve"> </w:t>
      </w:r>
      <w:r w:rsidR="00FE5617" w:rsidRPr="00FE5617">
        <w:t>Reitz, E. and Wing, E. (2007). Zooarchaeology. Cambridge: Cambridge Univ. Press.</w:t>
      </w:r>
    </w:p>
  </w:footnote>
  <w:footnote w:id="10">
    <w:p w14:paraId="547706F5" w14:textId="5468BD3B" w:rsidR="004331CA" w:rsidRDefault="004331CA">
      <w:pPr>
        <w:pStyle w:val="FootnoteText"/>
      </w:pPr>
      <w:r>
        <w:rPr>
          <w:rStyle w:val="FootnoteReference"/>
        </w:rPr>
        <w:footnoteRef/>
      </w:r>
      <w:r>
        <w:t xml:space="preserve"> </w:t>
      </w:r>
      <w:r w:rsidR="00DF543C" w:rsidRPr="00DF543C">
        <w:t>Reitz, E. and Wing, E. (2007). Zooarchaeology. Cambridge: Cambridge Univ. Press.</w:t>
      </w:r>
    </w:p>
  </w:footnote>
  <w:footnote w:id="11">
    <w:p w14:paraId="25FAE4D4" w14:textId="073EBFC1" w:rsidR="004331CA" w:rsidRDefault="004331CA">
      <w:pPr>
        <w:pStyle w:val="FootnoteText"/>
      </w:pPr>
      <w:r>
        <w:rPr>
          <w:rStyle w:val="FootnoteReference"/>
        </w:rPr>
        <w:footnoteRef/>
      </w:r>
      <w:r>
        <w:t xml:space="preserve"> </w:t>
      </w:r>
      <w:r w:rsidR="00DF543C" w:rsidRPr="00DF543C">
        <w:t>Reitz, E. and Wing, E. (2007). Zooarchaeology. Cambridge: Cambridge Univ. Press.</w:t>
      </w:r>
    </w:p>
  </w:footnote>
  <w:footnote w:id="12">
    <w:p w14:paraId="6B09EAEE" w14:textId="5A5F207C" w:rsidR="004331CA" w:rsidRDefault="004331CA">
      <w:pPr>
        <w:pStyle w:val="FootnoteText"/>
      </w:pPr>
      <w:r>
        <w:rPr>
          <w:rStyle w:val="FootnoteReference"/>
        </w:rPr>
        <w:footnoteRef/>
      </w:r>
      <w:r>
        <w:t xml:space="preserve"> </w:t>
      </w:r>
      <w:r w:rsidR="00DF543C" w:rsidRPr="00DF543C">
        <w:t>Reitz, E. and Wing, E. (2007). Zooarchaeology. Cambridge: Cambridge Univ. Press.</w:t>
      </w:r>
    </w:p>
  </w:footnote>
  <w:footnote w:id="13">
    <w:p w14:paraId="551E5C9D" w14:textId="4664CA94" w:rsidR="004331CA" w:rsidRDefault="004331CA">
      <w:pPr>
        <w:pStyle w:val="FootnoteText"/>
      </w:pPr>
      <w:r>
        <w:rPr>
          <w:rStyle w:val="FootnoteReference"/>
        </w:rPr>
        <w:footnoteRef/>
      </w:r>
      <w:r>
        <w:t xml:space="preserve"> </w:t>
      </w:r>
      <w:r w:rsidR="00DF543C" w:rsidRPr="00DF543C">
        <w:t>Reitz, E. and Wing, E. (2007). Zooarchaeology. Cambridge: Cambridge Univ. Press.</w:t>
      </w:r>
    </w:p>
  </w:footnote>
  <w:footnote w:id="14">
    <w:p w14:paraId="32E338AB" w14:textId="4D019FD6"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15">
    <w:p w14:paraId="4E8483BF" w14:textId="3609452B"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16">
    <w:p w14:paraId="58B72F59" w14:textId="265B5849"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17">
    <w:p w14:paraId="575D58FB" w14:textId="23D1BC75"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18">
    <w:p w14:paraId="60FDB31F" w14:textId="46857D48"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19">
    <w:p w14:paraId="045556ED" w14:textId="1D7CE6C9"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20">
    <w:p w14:paraId="7E736121" w14:textId="7F7B97E7"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21">
    <w:p w14:paraId="1FA11085" w14:textId="6DC875B3"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22">
    <w:p w14:paraId="30363D74" w14:textId="2BAD98CB"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23">
    <w:p w14:paraId="0AD01E42" w14:textId="4ADB2473"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24">
    <w:p w14:paraId="6281DBCE" w14:textId="5DE4E762"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25">
    <w:p w14:paraId="1DF8C527" w14:textId="15644E4A"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26">
    <w:p w14:paraId="0FAAF54C" w14:textId="76E3A3C4"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27">
    <w:p w14:paraId="202246DF" w14:textId="64563A8C"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28">
    <w:p w14:paraId="74216622" w14:textId="570BA9C8"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29">
    <w:p w14:paraId="296BECDD" w14:textId="2D2D60AC"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30">
    <w:p w14:paraId="30FB630C" w14:textId="2A1B9B2C"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31">
    <w:p w14:paraId="2C85DA2F" w14:textId="61B55878"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32">
    <w:p w14:paraId="0625AF85" w14:textId="598A36AB"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33">
    <w:p w14:paraId="456B6B3C" w14:textId="603B7A69"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34">
    <w:p w14:paraId="0BBCBD0C" w14:textId="5D96C886"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35">
    <w:p w14:paraId="429C10D9" w14:textId="205D6408"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36">
    <w:p w14:paraId="47029F77" w14:textId="1A78E205"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37">
    <w:p w14:paraId="64006595" w14:textId="0A7CF372"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38">
    <w:p w14:paraId="59DC36A0" w14:textId="1BCE95AC"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39">
    <w:p w14:paraId="74129942" w14:textId="26299695" w:rsidR="004331CA" w:rsidRDefault="004331CA">
      <w:pPr>
        <w:pStyle w:val="FootnoteText"/>
      </w:pPr>
      <w:r>
        <w:rPr>
          <w:rStyle w:val="FootnoteReference"/>
        </w:rPr>
        <w:footnoteRef/>
      </w:r>
      <w:r>
        <w:t xml:space="preserve"> </w:t>
      </w:r>
      <w:r w:rsidR="00DF543C" w:rsidRPr="00DF543C">
        <w:t>Davis, S. (1987). The archaeology of animals. USA &amp; Canada: Yale University Press.</w:t>
      </w:r>
    </w:p>
  </w:footnote>
  <w:footnote w:id="40">
    <w:p w14:paraId="2A19CACD" w14:textId="0074BFF4" w:rsidR="004331CA" w:rsidRDefault="004331CA">
      <w:pPr>
        <w:pStyle w:val="FootnoteText"/>
      </w:pPr>
      <w:r>
        <w:rPr>
          <w:rStyle w:val="FootnoteReference"/>
        </w:rPr>
        <w:footnoteRef/>
      </w:r>
      <w:r>
        <w:t xml:space="preserve"> </w:t>
      </w:r>
      <w:proofErr w:type="spellStart"/>
      <w:r w:rsidR="00DF543C" w:rsidRPr="00DF543C">
        <w:t>Clutton</w:t>
      </w:r>
      <w:proofErr w:type="spellEnd"/>
      <w:r w:rsidR="00DF543C" w:rsidRPr="00DF543C">
        <w:t>-Brock, J. (1990). The Walking larder. London: Unwin Hyman.</w:t>
      </w:r>
    </w:p>
  </w:footnote>
  <w:footnote w:id="41">
    <w:p w14:paraId="7D2E3DDC" w14:textId="074F2977" w:rsidR="004331CA" w:rsidRDefault="004331CA">
      <w:pPr>
        <w:pStyle w:val="FootnoteText"/>
      </w:pPr>
      <w:r>
        <w:rPr>
          <w:rStyle w:val="FootnoteReference"/>
        </w:rPr>
        <w:footnoteRef/>
      </w:r>
      <w:r>
        <w:t xml:space="preserve"> </w:t>
      </w:r>
      <w:proofErr w:type="spellStart"/>
      <w:r w:rsidR="00196764" w:rsidRPr="00196764">
        <w:t>Budiansky</w:t>
      </w:r>
      <w:proofErr w:type="spellEnd"/>
      <w:r w:rsidR="00196764" w:rsidRPr="00196764">
        <w:t>, S. (1999). The Covenant of the wild. New Haven: Yale University Press.</w:t>
      </w:r>
    </w:p>
  </w:footnote>
  <w:footnote w:id="42">
    <w:p w14:paraId="2363B614" w14:textId="1EF4144D" w:rsidR="004331CA" w:rsidRDefault="004331CA">
      <w:pPr>
        <w:pStyle w:val="FootnoteText"/>
      </w:pPr>
      <w:r>
        <w:rPr>
          <w:rStyle w:val="FootnoteReference"/>
        </w:rPr>
        <w:footnoteRef/>
      </w:r>
      <w:r>
        <w:t xml:space="preserve"> </w:t>
      </w:r>
      <w:proofErr w:type="spellStart"/>
      <w:r w:rsidR="00196764" w:rsidRPr="00196764">
        <w:t>Serpell</w:t>
      </w:r>
      <w:proofErr w:type="spellEnd"/>
      <w:r w:rsidR="00196764" w:rsidRPr="00196764">
        <w:t>, J. (2003). In the company of animals. Cambridge: Cambridge University Press.</w:t>
      </w:r>
    </w:p>
  </w:footnote>
  <w:footnote w:id="43">
    <w:p w14:paraId="3DEB38EF" w14:textId="40EDF173" w:rsidR="004331CA" w:rsidRDefault="004331CA">
      <w:pPr>
        <w:pStyle w:val="FootnoteText"/>
      </w:pPr>
      <w:r>
        <w:rPr>
          <w:rStyle w:val="FootnoteReference"/>
        </w:rPr>
        <w:footnoteRef/>
      </w:r>
      <w:r>
        <w:t xml:space="preserve"> </w:t>
      </w:r>
      <w:proofErr w:type="spellStart"/>
      <w:r w:rsidR="00196764" w:rsidRPr="00196764">
        <w:t>Serpell</w:t>
      </w:r>
      <w:proofErr w:type="spellEnd"/>
      <w:r w:rsidR="00196764" w:rsidRPr="00196764">
        <w:t>, J. (2003). In the company of animals. Cambridge: Cambridge University Press.</w:t>
      </w:r>
    </w:p>
  </w:footnote>
  <w:footnote w:id="44">
    <w:p w14:paraId="58FFE2AC" w14:textId="74828C1F" w:rsidR="004331CA" w:rsidRDefault="004331CA">
      <w:pPr>
        <w:pStyle w:val="FootnoteText"/>
      </w:pPr>
      <w:r>
        <w:rPr>
          <w:rStyle w:val="FootnoteReference"/>
        </w:rPr>
        <w:footnoteRef/>
      </w:r>
      <w:r>
        <w:t xml:space="preserve"> </w:t>
      </w:r>
      <w:proofErr w:type="spellStart"/>
      <w:r w:rsidR="00196764" w:rsidRPr="00196764">
        <w:t>Clutton</w:t>
      </w:r>
      <w:proofErr w:type="spellEnd"/>
      <w:r w:rsidR="00196764" w:rsidRPr="00196764">
        <w:t>-Brock, J. (1999). A natural history of domesticated mammals. 2nd ed. Cambridge: Cambridge University Press.</w:t>
      </w:r>
    </w:p>
  </w:footnote>
  <w:footnote w:id="45">
    <w:p w14:paraId="45908475" w14:textId="1A4B5766" w:rsidR="004331CA" w:rsidRDefault="004331CA">
      <w:pPr>
        <w:pStyle w:val="FootnoteText"/>
      </w:pPr>
      <w:r>
        <w:rPr>
          <w:rStyle w:val="FootnoteReference"/>
        </w:rPr>
        <w:footnoteRef/>
      </w:r>
      <w:r>
        <w:t xml:space="preserve"> </w:t>
      </w:r>
      <w:proofErr w:type="spellStart"/>
      <w:r w:rsidR="00196764" w:rsidRPr="00196764">
        <w:t>Clutton</w:t>
      </w:r>
      <w:proofErr w:type="spellEnd"/>
      <w:r w:rsidR="00196764" w:rsidRPr="00196764">
        <w:t>-Brock, J. (1999). A natural history of domesticated mammals. 2nd ed. Cambridge: Cambridge University Press.</w:t>
      </w:r>
    </w:p>
  </w:footnote>
  <w:footnote w:id="46">
    <w:p w14:paraId="5E4C8E1E" w14:textId="4D5AE0FC" w:rsidR="004331CA" w:rsidRDefault="004331CA">
      <w:pPr>
        <w:pStyle w:val="FootnoteText"/>
      </w:pPr>
      <w:r>
        <w:rPr>
          <w:rStyle w:val="FootnoteReference"/>
        </w:rPr>
        <w:footnoteRef/>
      </w:r>
      <w:r>
        <w:t xml:space="preserve"> </w:t>
      </w:r>
      <w:proofErr w:type="spellStart"/>
      <w:r w:rsidR="00196764" w:rsidRPr="00196764">
        <w:t>Clutton</w:t>
      </w:r>
      <w:proofErr w:type="spellEnd"/>
      <w:r w:rsidR="00196764" w:rsidRPr="00196764">
        <w:t>-Brock, J. (1999). A natural history of domesticated mammals. 2nd ed. Cambridge: Cambridge University Press.</w:t>
      </w:r>
    </w:p>
  </w:footnote>
  <w:footnote w:id="47">
    <w:p w14:paraId="123925B3" w14:textId="59E246BB" w:rsidR="004331CA" w:rsidRDefault="004331CA">
      <w:pPr>
        <w:pStyle w:val="FootnoteText"/>
      </w:pPr>
      <w:r>
        <w:rPr>
          <w:rStyle w:val="FootnoteReference"/>
        </w:rPr>
        <w:footnoteRef/>
      </w:r>
      <w:r>
        <w:t xml:space="preserve"> </w:t>
      </w:r>
      <w:proofErr w:type="spellStart"/>
      <w:r w:rsidR="00196764" w:rsidRPr="00196764">
        <w:t>Clutton</w:t>
      </w:r>
      <w:proofErr w:type="spellEnd"/>
      <w:r w:rsidR="00196764" w:rsidRPr="00196764">
        <w:t>-Brock, J. (1990). The Walking larder. London: Unwin Hyman.</w:t>
      </w:r>
    </w:p>
  </w:footnote>
  <w:footnote w:id="48">
    <w:p w14:paraId="2AE69876" w14:textId="311542DC" w:rsidR="004331CA" w:rsidRDefault="004331CA">
      <w:pPr>
        <w:pStyle w:val="FootnoteText"/>
      </w:pPr>
      <w:r>
        <w:rPr>
          <w:rStyle w:val="FootnoteReference"/>
        </w:rPr>
        <w:footnoteRef/>
      </w:r>
      <w:r>
        <w:t xml:space="preserve"> </w:t>
      </w:r>
      <w:proofErr w:type="spellStart"/>
      <w:r w:rsidR="004777DA" w:rsidRPr="004777DA">
        <w:t>Clutton</w:t>
      </w:r>
      <w:proofErr w:type="spellEnd"/>
      <w:r w:rsidR="004777DA" w:rsidRPr="004777DA">
        <w:t xml:space="preserve">-Brock, J. (1990). The Walking larder. </w:t>
      </w:r>
      <w:r w:rsidR="004777DA" w:rsidRPr="004777DA">
        <w:t>London: Unwin Hyman.</w:t>
      </w:r>
      <w:bookmarkStart w:id="0" w:name="_GoBack"/>
      <w:bookmarkEnd w:id="0"/>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F25744"/>
    <w:multiLevelType w:val="hybridMultilevel"/>
    <w:tmpl w:val="C270E174"/>
    <w:lvl w:ilvl="0" w:tplc="C952D3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B3B"/>
    <w:rsid w:val="000B4CC2"/>
    <w:rsid w:val="00100ABB"/>
    <w:rsid w:val="00196764"/>
    <w:rsid w:val="001B1257"/>
    <w:rsid w:val="001F394E"/>
    <w:rsid w:val="00271839"/>
    <w:rsid w:val="002C70DE"/>
    <w:rsid w:val="003C36CA"/>
    <w:rsid w:val="003E7B3C"/>
    <w:rsid w:val="00413B01"/>
    <w:rsid w:val="004331CA"/>
    <w:rsid w:val="004777DA"/>
    <w:rsid w:val="004E0D92"/>
    <w:rsid w:val="004F55E9"/>
    <w:rsid w:val="005421A3"/>
    <w:rsid w:val="005503C8"/>
    <w:rsid w:val="006C1EA9"/>
    <w:rsid w:val="00700342"/>
    <w:rsid w:val="007C6AFB"/>
    <w:rsid w:val="007F7605"/>
    <w:rsid w:val="007F7E83"/>
    <w:rsid w:val="00800FBC"/>
    <w:rsid w:val="00807CD1"/>
    <w:rsid w:val="00883506"/>
    <w:rsid w:val="009060BA"/>
    <w:rsid w:val="009116E3"/>
    <w:rsid w:val="00A00604"/>
    <w:rsid w:val="00A04682"/>
    <w:rsid w:val="00A12179"/>
    <w:rsid w:val="00B04D48"/>
    <w:rsid w:val="00B16230"/>
    <w:rsid w:val="00B433C8"/>
    <w:rsid w:val="00B57B61"/>
    <w:rsid w:val="00B64A51"/>
    <w:rsid w:val="00B71FA2"/>
    <w:rsid w:val="00B73013"/>
    <w:rsid w:val="00BB329A"/>
    <w:rsid w:val="00DF543C"/>
    <w:rsid w:val="00E42243"/>
    <w:rsid w:val="00E77D0F"/>
    <w:rsid w:val="00E83DEC"/>
    <w:rsid w:val="00F01B3B"/>
    <w:rsid w:val="00FE56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8D30A"/>
  <w15:chartTrackingRefBased/>
  <w15:docId w15:val="{C95C7D82-399A-475D-A130-5D60F7E92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7D0F"/>
    <w:pPr>
      <w:ind w:left="720"/>
      <w:contextualSpacing/>
    </w:pPr>
  </w:style>
  <w:style w:type="paragraph" w:styleId="FootnoteText">
    <w:name w:val="footnote text"/>
    <w:basedOn w:val="Normal"/>
    <w:link w:val="FootnoteTextChar"/>
    <w:uiPriority w:val="99"/>
    <w:semiHidden/>
    <w:unhideWhenUsed/>
    <w:rsid w:val="00800FB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00FBC"/>
    <w:rPr>
      <w:sz w:val="20"/>
      <w:szCs w:val="20"/>
    </w:rPr>
  </w:style>
  <w:style w:type="character" w:styleId="FootnoteReference">
    <w:name w:val="footnote reference"/>
    <w:basedOn w:val="DefaultParagraphFont"/>
    <w:uiPriority w:val="99"/>
    <w:semiHidden/>
    <w:unhideWhenUsed/>
    <w:rsid w:val="00800FBC"/>
    <w:rPr>
      <w:vertAlign w:val="superscript"/>
    </w:rPr>
  </w:style>
  <w:style w:type="character" w:styleId="Hyperlink">
    <w:name w:val="Hyperlink"/>
    <w:basedOn w:val="DefaultParagraphFont"/>
    <w:uiPriority w:val="99"/>
    <w:unhideWhenUsed/>
    <w:rsid w:val="00FE5617"/>
    <w:rPr>
      <w:color w:val="0563C1" w:themeColor="hyperlink"/>
      <w:u w:val="single"/>
    </w:rPr>
  </w:style>
  <w:style w:type="character" w:styleId="UnresolvedMention">
    <w:name w:val="Unresolved Mention"/>
    <w:basedOn w:val="DefaultParagraphFont"/>
    <w:uiPriority w:val="99"/>
    <w:semiHidden/>
    <w:unhideWhenUsed/>
    <w:rsid w:val="00FE561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google.co.uk/search?q=morphology+&amp;aqs=chrome.1.69i57j35i39j0l4.3372j1j7&amp;sourceid=chrome&amp;ie=UTF-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1D0799-CDDF-490A-ABD3-2287FD104B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797</TotalTime>
  <Pages>6</Pages>
  <Words>2328</Words>
  <Characters>13272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Allen (1601189)</dc:creator>
  <cp:keywords/>
  <dc:description/>
  <cp:lastModifiedBy>Isobel Allen (1601189)</cp:lastModifiedBy>
  <cp:revision>12</cp:revision>
  <dcterms:created xsi:type="dcterms:W3CDTF">2018-04-20T12:00:00Z</dcterms:created>
  <dcterms:modified xsi:type="dcterms:W3CDTF">2018-04-24T22:31:00Z</dcterms:modified>
</cp:coreProperties>
</file>