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987"/>
        <w:gridCol w:w="7195"/>
      </w:tblGrid>
      <w:tr>
        <w:trPr>
          <w:trHeight w:val="1" w:hRule="atLeast"/>
          <w:jc w:val="left"/>
        </w:trPr>
        <w:tc>
          <w:tcPr>
            <w:tcW w:w="3987"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Student Name: Martin Toth</w:t>
            </w:r>
          </w:p>
          <w:p>
            <w:pPr>
              <w:spacing w:before="0" w:after="0" w:line="240"/>
              <w:ind w:right="0" w:left="0" w:firstLine="0"/>
              <w:jc w:val="left"/>
              <w:rPr>
                <w:rFonts w:ascii="Tahoma" w:hAnsi="Tahoma" w:cs="Tahoma" w:eastAsia="Tahoma"/>
                <w:b/>
                <w:color w:val="auto"/>
                <w:spacing w:val="0"/>
                <w:position w:val="0"/>
                <w:sz w:val="20"/>
                <w:shd w:fill="auto" w:val="clear"/>
              </w:rPr>
            </w:pPr>
          </w:p>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Student Number: 2025412</w:t>
            </w:r>
          </w:p>
          <w:p>
            <w:pPr>
              <w:spacing w:before="0" w:after="0" w:line="240"/>
              <w:ind w:right="0" w:left="0" w:firstLine="0"/>
              <w:jc w:val="left"/>
              <w:rPr>
                <w:color w:val="auto"/>
                <w:spacing w:val="0"/>
                <w:position w:val="0"/>
              </w:rPr>
            </w:pPr>
          </w:p>
        </w:tc>
        <w:tc>
          <w:tcPr>
            <w:tcW w:w="7195"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240"/>
              <w:ind w:right="0" w:left="0" w:firstLine="0"/>
              <w:jc w:val="left"/>
              <w:rPr>
                <w:rFonts w:ascii="Tahoma" w:hAnsi="Tahoma" w:cs="Tahoma" w:eastAsia="Tahoma"/>
                <w:b/>
                <w:color w:val="auto"/>
                <w:spacing w:val="0"/>
                <w:position w:val="0"/>
                <w:sz w:val="20"/>
                <w:shd w:fill="auto" w:val="clear"/>
              </w:rPr>
            </w:pPr>
            <w:r>
              <w:rPr>
                <w:rFonts w:ascii="Tahoma" w:hAnsi="Tahoma" w:cs="Tahoma" w:eastAsia="Tahoma"/>
                <w:b/>
                <w:color w:val="auto"/>
                <w:spacing w:val="0"/>
                <w:position w:val="0"/>
                <w:sz w:val="20"/>
                <w:shd w:fill="auto" w:val="clear"/>
              </w:rPr>
              <w:t xml:space="preserve">Module: Hotel Placement - Food &amp; Beverage Operations (BMIH4002)</w:t>
            </w:r>
          </w:p>
          <w:p>
            <w:pPr>
              <w:spacing w:before="0" w:after="0" w:line="240"/>
              <w:ind w:right="0" w:left="0" w:firstLine="0"/>
              <w:jc w:val="left"/>
              <w:rPr>
                <w:rFonts w:ascii="Tahoma" w:hAnsi="Tahoma" w:cs="Tahoma" w:eastAsia="Tahoma"/>
                <w:b/>
                <w:color w:val="auto"/>
                <w:spacing w:val="0"/>
                <w:position w:val="0"/>
                <w:sz w:val="20"/>
                <w:shd w:fill="auto" w:val="clear"/>
              </w:rPr>
            </w:pPr>
          </w:p>
          <w:p>
            <w:pPr>
              <w:spacing w:before="0" w:after="0" w:line="240"/>
              <w:ind w:right="0" w:left="0" w:firstLine="0"/>
              <w:jc w:val="left"/>
              <w:rPr>
                <w:color w:val="auto"/>
                <w:spacing w:val="0"/>
                <w:position w:val="0"/>
              </w:rPr>
            </w:pPr>
            <w:r>
              <w:rPr>
                <w:rFonts w:ascii="Tahoma" w:hAnsi="Tahoma" w:cs="Tahoma" w:eastAsia="Tahoma"/>
                <w:b/>
                <w:color w:val="auto"/>
                <w:spacing w:val="0"/>
                <w:position w:val="0"/>
                <w:sz w:val="20"/>
                <w:shd w:fill="auto" w:val="clear"/>
              </w:rPr>
              <w:t xml:space="preserve">Lecturer: Laurence Blake</w:t>
            </w:r>
          </w:p>
        </w:tc>
      </w:tr>
    </w:tbl>
    <w:p>
      <w:pPr>
        <w:spacing w:before="0" w:after="0" w:line="240"/>
        <w:ind w:right="0" w:left="0" w:firstLine="0"/>
        <w:jc w:val="left"/>
        <w:rPr>
          <w:rFonts w:ascii="Tahoma" w:hAnsi="Tahoma" w:cs="Tahoma" w:eastAsia="Tahoma"/>
          <w:color w:val="auto"/>
          <w:spacing w:val="0"/>
          <w:position w:val="0"/>
          <w:sz w:val="20"/>
          <w:shd w:fill="auto" w:val="clear"/>
        </w:rPr>
      </w:pPr>
    </w:p>
    <w:tbl>
      <w:tblPr/>
      <w:tblGrid>
        <w:gridCol w:w="3983"/>
        <w:gridCol w:w="7199"/>
      </w:tblGrid>
      <w:tr>
        <w:trPr>
          <w:trHeight w:val="690" w:hRule="auto"/>
          <w:jc w:val="left"/>
        </w:trPr>
        <w:tc>
          <w:tcPr>
            <w:tcW w:w="39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rPr>
            </w:pPr>
            <w:r>
              <w:rPr>
                <w:rFonts w:ascii="Tahoma" w:hAnsi="Tahoma" w:cs="Tahoma" w:eastAsia="Tahoma"/>
                <w:b/>
                <w:color w:val="auto"/>
                <w:spacing w:val="0"/>
                <w:position w:val="0"/>
                <w:sz w:val="20"/>
                <w:shd w:fill="auto" w:val="clear"/>
              </w:rPr>
              <w:t xml:space="preserve">Topic of choice: Allergies and Intolerances and the importance within the industry</w:t>
            </w:r>
          </w:p>
        </w:tc>
        <w:tc>
          <w:tcPr>
            <w:tcW w:w="7199"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Tahoma" w:hAnsi="Tahoma" w:cs="Tahoma" w:eastAsia="Tahoma"/>
                <w:b/>
                <w:color w:val="auto"/>
                <w:spacing w:val="0"/>
                <w:position w:val="0"/>
                <w:sz w:val="20"/>
                <w:shd w:fill="auto" w:val="clear"/>
              </w:rPr>
            </w:pPr>
          </w:p>
          <w:p>
            <w:pPr>
              <w:spacing w:before="0" w:after="0" w:line="240"/>
              <w:ind w:right="0" w:left="0" w:firstLine="0"/>
              <w:jc w:val="center"/>
              <w:rPr>
                <w:color w:val="auto"/>
                <w:spacing w:val="0"/>
                <w:position w:val="0"/>
              </w:rPr>
            </w:pPr>
            <w:r>
              <w:rPr>
                <w:rFonts w:ascii="Tahoma" w:hAnsi="Tahoma" w:cs="Tahoma" w:eastAsia="Tahoma"/>
                <w:b/>
                <w:color w:val="auto"/>
                <w:spacing w:val="0"/>
                <w:position w:val="0"/>
                <w:sz w:val="20"/>
                <w:shd w:fill="auto" w:val="clear"/>
              </w:rPr>
              <w:t xml:space="preserve">Date Completed: 5/02/2022</w:t>
            </w:r>
          </w:p>
        </w:tc>
      </w:tr>
      <w:tr>
        <w:trPr>
          <w:trHeight w:val="2494" w:hRule="auto"/>
          <w:jc w:val="left"/>
        </w:trPr>
        <w:tc>
          <w:tcPr>
            <w:tcW w:w="11182"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My chosen topic is Allergies and Intolerances and the importance within the industry. According to Better Health Channel (2017) Food intolerance and food allergy are commonly confused since the symptoms of food intolerance can be nearly identical. Food intolerance has nothing to do with the immune system and does not cause acute allergic responses. It is also imperceptible in routine tests. It is a chemical reaction that some people experience after eating or drinking certain foods and it is not an immunological response. Allergies are the result of the immune system's reaction to a protein.</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significant variations between the two. When we eat some food that we are intolerant, it might make us feel awful. If we have a serious food allergy though, our body's reaction to this meal might be fatal. A food allergy, unlike a food intolerance, can cause a serious or even life-threatening reaction even if only a little quantity of the food is consumed, touched or breathed. (AAAAI,2020)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Allergies in general are on the rise across the world and unfortunately, increased people are struggling with this since childhood. The most prevalent allergies in children are peanut or milk allergies. In luckier cases, most youngsters grow out of it before they enter school. It can also turn into intolerance which can be well treated with increased attention. In my opinion, the best thing what we can do is to visit a doctor or dietitian. With their help, we can create a consciously structured, personalised diet which eliminates specific allergens.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read by Food Standards Agency (2021) food establishments in the UK are obligated by law to notify us if they use any of the 14 allergens as an ingredient in the food and beverages they provide. They are in responsible of allergen labelling and giving information to those, who have food sensitivities. This list has been recognised by food regulation as the most severe and prevalent allergies. If we have an allergy to something that is not listed in the 14 allergens, always check the label or question the staff about our individual food allergen.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 October 1, 2021, Natasha's Law becomes effective. On PPDS, all food establishments will be required to display complete ingredient lists as well as clear allergy labelling. Food prepared, prepacked, offered or sold to consumers on the same premises is referred to as PPDS. By placing potentially life-saving allergy information on the product, the new labelling will serve to safeguard customers. ( BSACI,2021)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lessons we have learnt, allergen cross-contamination can result in accidents when an allergen enters the product by mistake during the manufacturing process. This can happen when numerous food products are handled on the same site. Cross-contamination is hazardous because it can easily result in food poisoning or illness caused by consuming harmful bacteria or salmonella. (Studholme,2018) I consider, proper storage of ingredients, good preparation and perfect cleaning of kitchen equipment, we can reduce the risk.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read by Carbonelle (2019) food is supplied to clients in a variety of settings at hotels and resorts: restaurant areas, room service, and snack dispensers are several examples of places where visitors may purchase food, implying that there are numerous circumstances in which consumers may be exposed to an allergy danger. Cooking does not eliminate allergens., so it is crucial to avoid providing a client anything that may make them sick. I think, it can bring a bad reputation to the business, create negative online reviews or it can even result in a loss of profit.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professional hotelier or restaurant operator must know and understand how to advertise to these sensitivities in a safe and secure manner. It is their responsibility to provide consumers with accurate information. Proper training is essential to operate successfully. Staff must be completely trained on the new requirements as well as how to answer questions regarding food allergies in the meals provided. Workers should have accessibility and also be informed of where to get food content information. (Skinner,2015)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Corriere (2015) if allergy information is only given verbally, we must post a sign telling customers that it is available from staff. We must proceed with caution if the information is only delivered verbally, as its accuracy is crucial. If they are confused or do not have the answers, the potential consumer will select another place. Of course, it is a lot of pressure on the stuff but with enough practice and knowledge this cannot happen.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Summarising what has been described, this is a sensitive and important topic. As it is significant problem in society and showing increasing numbers, we must pay close attention to it. In my opinion, the hospitality sector plays vital role in making it well-oiled and problem-free. Adherence to regulations and rules, following hygiene protocols and proper training of employees allow the avoidance of allergic or intolerant reactions. In the daily lives of the people involved, a consciously organised diet can minimise the risk and ensure a stress-free life.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rFonts w:ascii="Tahoma" w:hAnsi="Tahoma" w:cs="Tahoma" w:eastAsia="Tahoma"/>
                <w:color w:val="auto"/>
                <w:spacing w:val="0"/>
                <w:position w:val="0"/>
                <w:sz w:val="20"/>
                <w:shd w:fill="auto" w:val="clear"/>
              </w:rPr>
            </w:pPr>
          </w:p>
          <w:p>
            <w:pPr>
              <w:spacing w:before="0" w:after="0" w:line="240"/>
              <w:ind w:right="0" w:left="0" w:firstLine="0"/>
              <w:jc w:val="both"/>
              <w:rPr>
                <w:color w:val="auto"/>
                <w:spacing w:val="0"/>
                <w:position w:val="0"/>
              </w:rPr>
            </w:pPr>
          </w:p>
        </w:tc>
      </w:tr>
    </w:tbl>
    <w:p>
      <w:pPr>
        <w:spacing w:before="0" w:after="0" w:line="240"/>
        <w:ind w:right="0" w:left="0" w:firstLine="0"/>
        <w:jc w:val="left"/>
        <w:rPr>
          <w:rFonts w:ascii="Tahoma" w:hAnsi="Tahoma" w:cs="Tahoma" w:eastAsia="Tahoma"/>
          <w:b/>
          <w:color w:val="auto"/>
          <w:spacing w:val="0"/>
          <w:position w:val="0"/>
          <w:sz w:val="24"/>
          <w:shd w:fill="auto" w:val="clear"/>
        </w:rPr>
      </w:pPr>
    </w:p>
    <w:tbl>
      <w:tblPr/>
      <w:tblGrid>
        <w:gridCol w:w="10910"/>
        <w:gridCol w:w="257"/>
        <w:gridCol w:w="3727"/>
      </w:tblGrid>
      <w:tr>
        <w:trPr>
          <w:trHeight w:val="1" w:hRule="atLeast"/>
          <w:jc w:val="left"/>
        </w:trPr>
        <w:tc>
          <w:tcPr>
            <w:tcW w:w="10910"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rPr>
            </w:pPr>
            <w:r>
              <w:rPr>
                <w:rFonts w:ascii="Tahoma" w:hAnsi="Tahoma" w:cs="Tahoma" w:eastAsia="Tahoma"/>
                <w:b/>
                <w:color w:val="auto"/>
                <w:spacing w:val="0"/>
                <w:position w:val="0"/>
                <w:sz w:val="20"/>
                <w:shd w:fill="auto" w:val="clear"/>
              </w:rPr>
              <w:t xml:space="preserve">REFERENCE LIST</w:t>
            </w:r>
          </w:p>
        </w:tc>
        <w:tc>
          <w:tcPr>
            <w:tcW w:w="3984" w:type="dxa"/>
            <w:gridSpan w:val="2"/>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center"/>
              <w:rPr>
                <w:rFonts w:ascii="Tahoma" w:hAnsi="Tahoma" w:cs="Tahoma" w:eastAsia="Tahoma"/>
                <w:b/>
                <w:color w:val="auto"/>
                <w:spacing w:val="0"/>
                <w:position w:val="0"/>
                <w:sz w:val="20"/>
                <w:shd w:fill="auto" w:val="clear"/>
              </w:rPr>
            </w:pPr>
          </w:p>
          <w:p>
            <w:pPr>
              <w:spacing w:before="0" w:after="0" w:line="240"/>
              <w:ind w:right="0" w:left="0" w:firstLine="0"/>
              <w:jc w:val="center"/>
              <w:rPr>
                <w:color w:val="auto"/>
                <w:spacing w:val="0"/>
                <w:position w:val="0"/>
              </w:rPr>
            </w:pPr>
          </w:p>
        </w:tc>
      </w:tr>
      <w:tr>
        <w:trPr>
          <w:trHeight w:val="2494" w:hRule="auto"/>
          <w:jc w:val="left"/>
        </w:trPr>
        <w:tc>
          <w:tcPr>
            <w:tcW w:w="11167"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AAAAI (2020) </w:t>
            </w:r>
            <w:r>
              <w:rPr>
                <w:rFonts w:ascii="Arial" w:hAnsi="Arial" w:cs="Arial" w:eastAsia="Arial"/>
                <w:i/>
                <w:color w:val="auto"/>
                <w:spacing w:val="0"/>
                <w:position w:val="0"/>
                <w:sz w:val="24"/>
                <w:shd w:fill="auto" w:val="clear"/>
              </w:rPr>
              <w:t xml:space="preserve">Food Intolerance Versus Food Allergy </w:t>
            </w:r>
            <w:r>
              <w:rPr>
                <w:rFonts w:ascii="Arial" w:hAnsi="Arial" w:cs="Arial" w:eastAsia="Arial"/>
                <w:color w:val="auto"/>
                <w:spacing w:val="0"/>
                <w:position w:val="0"/>
                <w:sz w:val="24"/>
                <w:shd w:fill="auto" w:val="clear"/>
              </w:rPr>
              <w:t xml:space="preserve">[online].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https://www.aaaai.org/tools-for-the-public/conditions-library/allergies/food-intolerance</w:t>
              </w:r>
            </w:hyperlink>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23 January 2022).</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Better Health Channel (2017) </w:t>
            </w:r>
            <w:r>
              <w:rPr>
                <w:rFonts w:ascii="Arial" w:hAnsi="Arial" w:cs="Arial" w:eastAsia="Arial"/>
                <w:i/>
                <w:color w:val="auto"/>
                <w:spacing w:val="0"/>
                <w:position w:val="0"/>
                <w:sz w:val="24"/>
                <w:shd w:fill="auto" w:val="clear"/>
              </w:rPr>
              <w:t xml:space="preserve">Food allergy and intolerance </w:t>
            </w:r>
            <w:r>
              <w:rPr>
                <w:rFonts w:ascii="Arial" w:hAnsi="Arial" w:cs="Arial" w:eastAsia="Arial"/>
                <w:color w:val="auto"/>
                <w:spacing w:val="0"/>
                <w:position w:val="0"/>
                <w:sz w:val="24"/>
                <w:shd w:fill="auto" w:val="clear"/>
              </w:rPr>
              <w:t xml:space="preserve">[online].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https://www.betterhealth.vic.gov.au/health/conditionsandtreatments/food-allergy-and-intolerance</w:t>
              </w:r>
            </w:hyperlink>
            <w:r>
              <w:rPr>
                <w:rFonts w:ascii="Arial" w:hAnsi="Arial" w:cs="Arial" w:eastAsia="Arial"/>
                <w:color w:val="auto"/>
                <w:spacing w:val="0"/>
                <w:position w:val="0"/>
                <w:sz w:val="24"/>
                <w:shd w:fill="auto" w:val="clear"/>
              </w:rPr>
              <w:t xml:space="preserve">  (Accessed: 22 January 2022)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BSACI (2021) </w:t>
            </w:r>
            <w:r>
              <w:rPr>
                <w:rFonts w:ascii="Arial" w:hAnsi="Arial" w:cs="Arial" w:eastAsia="Arial"/>
                <w:i/>
                <w:color w:val="auto"/>
                <w:spacing w:val="0"/>
                <w:position w:val="0"/>
                <w:sz w:val="24"/>
                <w:shd w:fill="auto" w:val="clear"/>
              </w:rPr>
              <w:t xml:space="preserve">Natasha’s Law comes into effect on 1st October 2021 </w:t>
            </w:r>
            <w:r>
              <w:rPr>
                <w:rFonts w:ascii="Arial" w:hAnsi="Arial" w:cs="Arial" w:eastAsia="Arial"/>
                <w:color w:val="auto"/>
                <w:spacing w:val="0"/>
                <w:position w:val="0"/>
                <w:sz w:val="24"/>
                <w:shd w:fill="auto" w:val="clear"/>
              </w:rPr>
              <w:t xml:space="preserve">[online].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https://www.bsaci.org/natashas-law-comes-into-effect-on-1st-october-2021/</w:t>
              </w:r>
            </w:hyperlink>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24 January 2022).</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Carbonnelle, N. (2019) </w:t>
            </w:r>
            <w:r>
              <w:rPr>
                <w:rFonts w:ascii="Arial" w:hAnsi="Arial" w:cs="Arial" w:eastAsia="Arial"/>
                <w:i/>
                <w:color w:val="auto"/>
                <w:spacing w:val="0"/>
                <w:position w:val="0"/>
                <w:sz w:val="24"/>
                <w:shd w:fill="auto" w:val="clear"/>
              </w:rPr>
              <w:t xml:space="preserve">Food allergens labelling requirements in hospitality services </w:t>
            </w:r>
            <w:r>
              <w:rPr>
                <w:rFonts w:ascii="Arial" w:hAnsi="Arial" w:cs="Arial" w:eastAsia="Arial"/>
                <w:color w:val="auto"/>
                <w:spacing w:val="0"/>
                <w:position w:val="0"/>
                <w:sz w:val="24"/>
                <w:shd w:fill="auto" w:val="clear"/>
              </w:rPr>
              <w:t xml:space="preserve">[online].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https://www.twobirds.com/en/news/articles/2019/global/food-allergens-labelling-requirements-in-hospitality-services</w:t>
              </w:r>
            </w:hyperlink>
            <w:r>
              <w:rPr>
                <w:rFonts w:ascii="Arial" w:hAnsi="Arial" w:cs="Arial" w:eastAsia="Arial"/>
                <w:color w:val="auto"/>
                <w:spacing w:val="0"/>
                <w:position w:val="0"/>
                <w:sz w:val="24"/>
                <w:shd w:fill="auto" w:val="clear"/>
              </w:rPr>
              <w:t xml:space="preserve"> (Accessed: 26 January 2022).</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Corriere, K. (2015) </w:t>
            </w:r>
            <w:r>
              <w:rPr>
                <w:rFonts w:ascii="Arial" w:hAnsi="Arial" w:cs="Arial" w:eastAsia="Arial"/>
                <w:i/>
                <w:color w:val="auto"/>
                <w:spacing w:val="0"/>
                <w:position w:val="0"/>
                <w:sz w:val="24"/>
                <w:shd w:fill="auto" w:val="clear"/>
              </w:rPr>
              <w:t xml:space="preserve">Successful food allergy strategies for hotels and restaurants </w:t>
            </w:r>
            <w:r>
              <w:rPr>
                <w:rFonts w:ascii="Arial" w:hAnsi="Arial" w:cs="Arial" w:eastAsia="Arial"/>
                <w:color w:val="auto"/>
                <w:spacing w:val="0"/>
                <w:position w:val="0"/>
                <w:sz w:val="24"/>
                <w:shd w:fill="auto" w:val="clear"/>
              </w:rPr>
              <w:t xml:space="preserve">[online].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http://exclusive.multibriefs.com/content/successful-food-allergy-strategies-for-hotels-and-restaurants/travel-hospitality-event-management</w:t>
              </w:r>
            </w:hyperlink>
            <w:r>
              <w:rPr>
                <w:rFonts w:ascii="Arial" w:hAnsi="Arial" w:cs="Arial" w:eastAsia="Arial"/>
                <w:color w:val="auto"/>
                <w:spacing w:val="0"/>
                <w:position w:val="0"/>
                <w:sz w:val="24"/>
                <w:shd w:fill="auto" w:val="clear"/>
              </w:rPr>
              <w:t xml:space="preserve"> (Accessed: 28 January 2022).</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Food Standards Agency (2021) </w:t>
            </w:r>
            <w:r>
              <w:rPr>
                <w:rFonts w:ascii="Arial" w:hAnsi="Arial" w:cs="Arial" w:eastAsia="Arial"/>
                <w:i/>
                <w:color w:val="auto"/>
                <w:spacing w:val="0"/>
                <w:position w:val="0"/>
                <w:sz w:val="24"/>
                <w:shd w:fill="auto" w:val="clear"/>
              </w:rPr>
              <w:t xml:space="preserve">Food allergy and intolerance </w:t>
            </w:r>
            <w:r>
              <w:rPr>
                <w:rFonts w:ascii="Arial" w:hAnsi="Arial" w:cs="Arial" w:eastAsia="Arial"/>
                <w:color w:val="auto"/>
                <w:spacing w:val="0"/>
                <w:position w:val="0"/>
                <w:sz w:val="24"/>
                <w:shd w:fill="auto" w:val="clear"/>
              </w:rPr>
              <w:t xml:space="preserve">[online].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Available at: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https://www.food.gov.uk/safety-hygiene/food-allergy-and-intolerance</w:t>
              </w:r>
            </w:hyperlink>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24 January 2022).</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Skinner, L. (2017) </w:t>
            </w:r>
            <w:r>
              <w:rPr>
                <w:rFonts w:ascii="Arial" w:hAnsi="Arial" w:cs="Arial" w:eastAsia="Arial"/>
                <w:i/>
                <w:color w:val="auto"/>
                <w:spacing w:val="0"/>
                <w:position w:val="0"/>
                <w:sz w:val="24"/>
                <w:shd w:fill="auto" w:val="clear"/>
              </w:rPr>
              <w:t xml:space="preserve">Allergen regulations still a cause of concern for hotel and hospitality managers </w:t>
            </w:r>
            <w:r>
              <w:rPr>
                <w:rFonts w:ascii="Arial" w:hAnsi="Arial" w:cs="Arial" w:eastAsia="Arial"/>
                <w:color w:val="auto"/>
                <w:spacing w:val="0"/>
                <w:position w:val="0"/>
                <w:sz w:val="24"/>
                <w:shd w:fill="auto" w:val="clear"/>
              </w:rPr>
              <w:t xml:space="preserve">[online].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https://www.hospitalitylaw.co.uk/allergen-regulations-cause-for-concern/</w:t>
              </w:r>
            </w:hyperlink>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27 January 2022).</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Studholme, M. (2018) </w:t>
            </w:r>
            <w:r>
              <w:rPr>
                <w:rFonts w:ascii="Arial" w:hAnsi="Arial" w:cs="Arial" w:eastAsia="Arial"/>
                <w:i/>
                <w:color w:val="auto"/>
                <w:spacing w:val="0"/>
                <w:position w:val="0"/>
                <w:sz w:val="24"/>
                <w:shd w:fill="auto" w:val="clear"/>
              </w:rPr>
              <w:t xml:space="preserve">Help Reduce Cross Contamination Within The Hospitality Sector </w:t>
            </w:r>
            <w:r>
              <w:rPr>
                <w:rFonts w:ascii="Arial" w:hAnsi="Arial" w:cs="Arial" w:eastAsia="Arial"/>
                <w:color w:val="auto"/>
                <w:spacing w:val="0"/>
                <w:position w:val="0"/>
                <w:sz w:val="24"/>
                <w:shd w:fill="auto" w:val="clear"/>
              </w:rPr>
              <w:t xml:space="preserve">[online].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https://www.linkedin.com/pulse/help-reduce-cross-contamination-within-hospitality-sector-studholme?trk=public_profile_article_view</w:t>
              </w:r>
            </w:hyperlink>
            <w:r>
              <w:rPr>
                <w:rFonts w:ascii="Arial" w:hAnsi="Arial" w:cs="Arial" w:eastAsia="Arial"/>
                <w:color w:val="auto"/>
                <w:spacing w:val="0"/>
                <w:position w:val="0"/>
                <w:sz w:val="24"/>
                <w:shd w:fill="auto" w:val="clear"/>
              </w:rPr>
              <w:t xml:space="preserve"> (Accessed: 25 January 2022).</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240"/>
              <w:ind w:right="0" w:left="0" w:firstLine="0"/>
              <w:jc w:val="left"/>
              <w:rPr>
                <w:color w:val="auto"/>
                <w:spacing w:val="0"/>
                <w:position w:val="0"/>
              </w:rPr>
            </w:pPr>
          </w:p>
        </w:tc>
      </w:tr>
    </w:tbl>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p>
      <w:pPr>
        <w:spacing w:before="0" w:after="0" w:line="240"/>
        <w:ind w:right="0" w:left="0" w:firstLine="0"/>
        <w:jc w:val="left"/>
        <w:rPr>
          <w:rFonts w:ascii="Tahoma" w:hAnsi="Tahoma" w:cs="Tahoma" w:eastAsia="Tahoma"/>
          <w:b/>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twobirds.com/en/news/articles/2019/global/food-allergens-labelling-requirements-in-hospitality-services" Id="docRId3" Type="http://schemas.openxmlformats.org/officeDocument/2006/relationships/hyperlink" /><Relationship TargetMode="External" Target="https://www.linkedin.com/pulse/help-reduce-cross-contamination-within-hospitality-sector-studholme?trk=public_profile_article_view" Id="docRId7" Type="http://schemas.openxmlformats.org/officeDocument/2006/relationships/hyperlink" /><Relationship TargetMode="External" Target="https://www.aaaai.org/tools-for-the-public/conditions-library/allergies/food-intolerance" Id="docRId0" Type="http://schemas.openxmlformats.org/officeDocument/2006/relationships/hyperlink" /><Relationship TargetMode="External" Target="https://www.bsaci.org/natashas-law-comes-into-effect-on-1st-october-2021/" Id="docRId2" Type="http://schemas.openxmlformats.org/officeDocument/2006/relationships/hyperlink" /><Relationship TargetMode="External" Target="http://exclusive.multibriefs.com/content/successful-food-allergy-strategies-for-hotels-and-restaurants/travel-hospitality-event-management" Id="docRId4" Type="http://schemas.openxmlformats.org/officeDocument/2006/relationships/hyperlink" /><Relationship TargetMode="External" Target="https://www.hospitalitylaw.co.uk/allergen-regulations-cause-for-concern/" Id="docRId6" Type="http://schemas.openxmlformats.org/officeDocument/2006/relationships/hyperlink" /><Relationship Target="numbering.xml" Id="docRId8" Type="http://schemas.openxmlformats.org/officeDocument/2006/relationships/numbering" /><Relationship TargetMode="External" Target="https://www.betterhealth.vic.gov.au/health/conditionsandtreatments/food-allergy-and-intolerance" Id="docRId1" Type="http://schemas.openxmlformats.org/officeDocument/2006/relationships/hyperlink" /><Relationship TargetMode="External" Target="https://www.food.gov.uk/safety-hygiene/food-allergy-and-intolerance" Id="docRId5" Type="http://schemas.openxmlformats.org/officeDocument/2006/relationships/hyperlink" /><Relationship Target="styles.xml" Id="docRId9" Type="http://schemas.openxmlformats.org/officeDocument/2006/relationships/styles" /></Relationships>
</file>