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9C518D" w14:textId="77777777" w:rsidR="00C219BD" w:rsidRPr="00E95489" w:rsidRDefault="00C219BD">
      <w:pPr>
        <w:pStyle w:val="p1"/>
        <w:rPr>
          <w:rFonts w:ascii="Arial" w:hAnsi="Arial" w:cs="Arial"/>
          <w:b/>
          <w:bCs/>
          <w:sz w:val="44"/>
          <w:szCs w:val="44"/>
        </w:rPr>
      </w:pPr>
      <w:r w:rsidRPr="00E95489">
        <w:rPr>
          <w:rStyle w:val="s1"/>
          <w:rFonts w:ascii="Arial" w:hAnsi="Arial" w:cs="Arial"/>
          <w:sz w:val="44"/>
          <w:szCs w:val="44"/>
        </w:rPr>
        <w:t>Application of the Working Memory Model to Procedural Failures in Healthcare Practice: A Cognitive Case Study Analysis</w:t>
      </w:r>
    </w:p>
    <w:p w14:paraId="28382D6C" w14:textId="77777777" w:rsidR="00C219BD" w:rsidRPr="00E95489" w:rsidRDefault="00C219BD">
      <w:pPr>
        <w:rPr>
          <w:rFonts w:ascii="Arial" w:hAnsi="Arial" w:cs="Arial"/>
          <w:b/>
          <w:bCs/>
          <w:sz w:val="44"/>
          <w:szCs w:val="44"/>
        </w:rPr>
      </w:pPr>
    </w:p>
    <w:p w14:paraId="3027BF51" w14:textId="77777777" w:rsidR="00343DAF" w:rsidRPr="00E95489" w:rsidRDefault="00343DAF">
      <w:pPr>
        <w:rPr>
          <w:rFonts w:ascii="Arial" w:hAnsi="Arial" w:cs="Arial"/>
          <w:b/>
          <w:bCs/>
          <w:sz w:val="44"/>
          <w:szCs w:val="44"/>
        </w:rPr>
      </w:pPr>
    </w:p>
    <w:p w14:paraId="51D6D807" w14:textId="77777777" w:rsidR="00343DAF" w:rsidRPr="00E95489" w:rsidRDefault="00343DAF">
      <w:pPr>
        <w:rPr>
          <w:rFonts w:ascii="Arial" w:hAnsi="Arial" w:cs="Arial"/>
          <w:b/>
          <w:bCs/>
          <w:sz w:val="28"/>
          <w:szCs w:val="28"/>
        </w:rPr>
      </w:pPr>
    </w:p>
    <w:p w14:paraId="08B84D27" w14:textId="77777777" w:rsidR="00343DAF" w:rsidRPr="00E95489" w:rsidRDefault="00343DAF">
      <w:pPr>
        <w:rPr>
          <w:rFonts w:ascii="Arial" w:hAnsi="Arial" w:cs="Arial"/>
          <w:b/>
          <w:bCs/>
          <w:sz w:val="28"/>
          <w:szCs w:val="28"/>
        </w:rPr>
      </w:pPr>
    </w:p>
    <w:p w14:paraId="0FBAEC7A" w14:textId="77777777" w:rsidR="00343DAF" w:rsidRPr="00E95489" w:rsidRDefault="00343DAF">
      <w:pPr>
        <w:rPr>
          <w:rFonts w:ascii="Arial" w:hAnsi="Arial" w:cs="Arial"/>
          <w:b/>
          <w:bCs/>
          <w:sz w:val="28"/>
          <w:szCs w:val="28"/>
        </w:rPr>
      </w:pPr>
    </w:p>
    <w:p w14:paraId="7D3218D4" w14:textId="77777777" w:rsidR="00343DAF" w:rsidRPr="00E95489" w:rsidRDefault="00343DAF">
      <w:pPr>
        <w:rPr>
          <w:rFonts w:ascii="Arial" w:hAnsi="Arial" w:cs="Arial"/>
          <w:b/>
          <w:bCs/>
          <w:sz w:val="28"/>
          <w:szCs w:val="28"/>
        </w:rPr>
      </w:pPr>
    </w:p>
    <w:p w14:paraId="4FE89BFC" w14:textId="77777777" w:rsidR="00343DAF" w:rsidRPr="00E95489" w:rsidRDefault="00343DAF">
      <w:pPr>
        <w:rPr>
          <w:rFonts w:ascii="Arial" w:hAnsi="Arial" w:cs="Arial"/>
          <w:b/>
          <w:bCs/>
          <w:sz w:val="28"/>
          <w:szCs w:val="28"/>
        </w:rPr>
      </w:pPr>
    </w:p>
    <w:p w14:paraId="20445C74" w14:textId="77777777" w:rsidR="00343DAF" w:rsidRPr="00E95489" w:rsidRDefault="00343DAF">
      <w:pPr>
        <w:rPr>
          <w:rFonts w:ascii="Arial" w:hAnsi="Arial" w:cs="Arial"/>
          <w:b/>
          <w:bCs/>
          <w:sz w:val="28"/>
          <w:szCs w:val="28"/>
        </w:rPr>
      </w:pPr>
    </w:p>
    <w:p w14:paraId="604F1EF8" w14:textId="77777777" w:rsidR="00343DAF" w:rsidRPr="00E95489" w:rsidRDefault="00343DAF">
      <w:pPr>
        <w:rPr>
          <w:rFonts w:ascii="Arial" w:hAnsi="Arial" w:cs="Arial"/>
          <w:b/>
          <w:bCs/>
          <w:sz w:val="28"/>
          <w:szCs w:val="28"/>
        </w:rPr>
      </w:pPr>
    </w:p>
    <w:p w14:paraId="56C9912E" w14:textId="77777777" w:rsidR="00343DAF" w:rsidRPr="00E95489" w:rsidRDefault="00343DAF">
      <w:pPr>
        <w:rPr>
          <w:rFonts w:ascii="Arial" w:hAnsi="Arial" w:cs="Arial"/>
          <w:b/>
          <w:bCs/>
          <w:sz w:val="28"/>
          <w:szCs w:val="28"/>
        </w:rPr>
      </w:pPr>
    </w:p>
    <w:p w14:paraId="02141A6F" w14:textId="77777777" w:rsidR="00343DAF" w:rsidRPr="00E95489" w:rsidRDefault="00343DAF">
      <w:pPr>
        <w:rPr>
          <w:rFonts w:ascii="Arial" w:hAnsi="Arial" w:cs="Arial"/>
          <w:b/>
          <w:bCs/>
          <w:sz w:val="28"/>
          <w:szCs w:val="28"/>
        </w:rPr>
      </w:pPr>
    </w:p>
    <w:p w14:paraId="2EDECFFA" w14:textId="77777777" w:rsidR="00343DAF" w:rsidRPr="00E95489" w:rsidRDefault="00343DAF">
      <w:pPr>
        <w:rPr>
          <w:rFonts w:ascii="Arial" w:hAnsi="Arial" w:cs="Arial"/>
          <w:b/>
          <w:bCs/>
          <w:sz w:val="28"/>
          <w:szCs w:val="28"/>
        </w:rPr>
      </w:pPr>
    </w:p>
    <w:p w14:paraId="2CFD4B03" w14:textId="77777777" w:rsidR="00343DAF" w:rsidRPr="00E95489" w:rsidRDefault="00343DAF">
      <w:pPr>
        <w:rPr>
          <w:rFonts w:ascii="Arial" w:hAnsi="Arial" w:cs="Arial"/>
          <w:b/>
          <w:bCs/>
          <w:sz w:val="28"/>
          <w:szCs w:val="28"/>
        </w:rPr>
      </w:pPr>
    </w:p>
    <w:p w14:paraId="30721C4C" w14:textId="77777777" w:rsidR="00343DAF" w:rsidRPr="00E95489" w:rsidRDefault="00343DAF">
      <w:pPr>
        <w:rPr>
          <w:rFonts w:ascii="Arial" w:hAnsi="Arial" w:cs="Arial"/>
          <w:b/>
          <w:bCs/>
          <w:sz w:val="28"/>
          <w:szCs w:val="28"/>
        </w:rPr>
      </w:pPr>
    </w:p>
    <w:p w14:paraId="37FC156D" w14:textId="77777777" w:rsidR="00343DAF" w:rsidRPr="00E95489" w:rsidRDefault="00343DAF">
      <w:pPr>
        <w:rPr>
          <w:rFonts w:ascii="Arial" w:hAnsi="Arial" w:cs="Arial"/>
          <w:b/>
          <w:bCs/>
          <w:sz w:val="28"/>
          <w:szCs w:val="28"/>
        </w:rPr>
      </w:pPr>
    </w:p>
    <w:p w14:paraId="0202EE30" w14:textId="77777777" w:rsidR="00343DAF" w:rsidRPr="00E95489" w:rsidRDefault="00343DAF">
      <w:pPr>
        <w:rPr>
          <w:rFonts w:ascii="Arial" w:hAnsi="Arial" w:cs="Arial"/>
          <w:b/>
          <w:bCs/>
          <w:sz w:val="28"/>
          <w:szCs w:val="28"/>
        </w:rPr>
      </w:pPr>
    </w:p>
    <w:p w14:paraId="33CC05A0" w14:textId="77777777" w:rsidR="00343DAF" w:rsidRPr="00E95489" w:rsidRDefault="00343DAF">
      <w:pPr>
        <w:rPr>
          <w:rFonts w:ascii="Arial" w:hAnsi="Arial" w:cs="Arial"/>
          <w:b/>
          <w:bCs/>
          <w:sz w:val="28"/>
          <w:szCs w:val="28"/>
        </w:rPr>
      </w:pPr>
    </w:p>
    <w:p w14:paraId="72D13FE7" w14:textId="77777777" w:rsidR="00343DAF" w:rsidRPr="00E95489" w:rsidRDefault="00343DAF">
      <w:pPr>
        <w:rPr>
          <w:rFonts w:ascii="Arial" w:hAnsi="Arial" w:cs="Arial"/>
          <w:b/>
          <w:bCs/>
          <w:sz w:val="28"/>
          <w:szCs w:val="28"/>
        </w:rPr>
      </w:pPr>
    </w:p>
    <w:p w14:paraId="2DC7E938" w14:textId="77777777" w:rsidR="00343DAF" w:rsidRPr="00E95489" w:rsidRDefault="00343DAF">
      <w:pPr>
        <w:rPr>
          <w:rFonts w:ascii="Arial" w:hAnsi="Arial" w:cs="Arial"/>
          <w:b/>
          <w:bCs/>
          <w:sz w:val="28"/>
          <w:szCs w:val="28"/>
        </w:rPr>
      </w:pPr>
    </w:p>
    <w:p w14:paraId="77C101D7" w14:textId="77777777" w:rsidR="00343DAF" w:rsidRPr="00E95489" w:rsidRDefault="00343DAF">
      <w:pPr>
        <w:rPr>
          <w:rFonts w:ascii="Arial" w:hAnsi="Arial" w:cs="Arial"/>
          <w:b/>
          <w:bCs/>
          <w:sz w:val="28"/>
          <w:szCs w:val="28"/>
        </w:rPr>
      </w:pPr>
    </w:p>
    <w:p w14:paraId="01E4E80D" w14:textId="77777777" w:rsidR="00343DAF" w:rsidRDefault="00343DAF">
      <w:pPr>
        <w:rPr>
          <w:rFonts w:ascii="Arial" w:hAnsi="Arial" w:cs="Arial"/>
          <w:b/>
          <w:bCs/>
          <w:sz w:val="28"/>
          <w:szCs w:val="28"/>
        </w:rPr>
      </w:pPr>
    </w:p>
    <w:p w14:paraId="6519B02D" w14:textId="77777777" w:rsidR="00E95489" w:rsidRPr="00E95489" w:rsidRDefault="00E95489">
      <w:pPr>
        <w:rPr>
          <w:rFonts w:ascii="Arial" w:hAnsi="Arial" w:cs="Arial"/>
          <w:b/>
          <w:bCs/>
          <w:sz w:val="28"/>
          <w:szCs w:val="28"/>
        </w:rPr>
      </w:pPr>
    </w:p>
    <w:p w14:paraId="565A56B1" w14:textId="77777777" w:rsidR="00801BD4" w:rsidRDefault="00801BD4">
      <w:pPr>
        <w:pStyle w:val="p1"/>
        <w:rPr>
          <w:rStyle w:val="s1"/>
          <w:rFonts w:ascii="Arial" w:hAnsi="Arial" w:cs="Arial"/>
          <w:sz w:val="28"/>
          <w:szCs w:val="28"/>
        </w:rPr>
      </w:pPr>
      <w:r w:rsidRPr="00E95489">
        <w:rPr>
          <w:rStyle w:val="s1"/>
          <w:rFonts w:ascii="Arial" w:hAnsi="Arial" w:cs="Arial"/>
          <w:sz w:val="28"/>
          <w:szCs w:val="28"/>
        </w:rPr>
        <w:lastRenderedPageBreak/>
        <w:t>BACKGROUND TO THE REPORT</w:t>
      </w:r>
    </w:p>
    <w:p w14:paraId="5A3F5FE7" w14:textId="77777777" w:rsidR="008A45C5" w:rsidRPr="00E95489" w:rsidRDefault="008A45C5">
      <w:pPr>
        <w:pStyle w:val="p1"/>
        <w:rPr>
          <w:rStyle w:val="s1"/>
          <w:rFonts w:ascii="Arial" w:hAnsi="Arial" w:cs="Arial"/>
          <w:sz w:val="28"/>
          <w:szCs w:val="28"/>
        </w:rPr>
      </w:pPr>
    </w:p>
    <w:p w14:paraId="7BF41B40" w14:textId="77777777" w:rsidR="00801BD4" w:rsidRPr="00E95489" w:rsidRDefault="00801BD4">
      <w:pPr>
        <w:pStyle w:val="p1"/>
        <w:rPr>
          <w:rStyle w:val="s1"/>
          <w:rFonts w:ascii="Arial" w:hAnsi="Arial" w:cs="Arial"/>
          <w:sz w:val="28"/>
          <w:szCs w:val="28"/>
        </w:rPr>
      </w:pPr>
    </w:p>
    <w:p w14:paraId="4600BE15" w14:textId="77777777" w:rsidR="008A45C5" w:rsidRPr="008A45C5" w:rsidRDefault="008A45C5" w:rsidP="008A45C5">
      <w:pPr>
        <w:spacing w:after="0" w:line="240" w:lineRule="auto"/>
        <w:rPr>
          <w:rFonts w:ascii="Arial" w:hAnsi="Arial" w:cs="Arial"/>
          <w:kern w:val="0"/>
          <w14:ligatures w14:val="none"/>
        </w:rPr>
      </w:pPr>
      <w:r w:rsidRPr="008A45C5">
        <w:rPr>
          <w:rFonts w:ascii="Arial" w:hAnsi="Arial" w:cs="Arial"/>
          <w:kern w:val="0"/>
          <w14:ligatures w14:val="none"/>
        </w:rPr>
        <w:t>This report examines a healthcare case study involving district nurses who failed to consistently adhere to a strict handwashing policy, resulting in multiple patient infections and one fatality. Despite having successfully completed training and competency assessments, nurses demonstrated lapses in procedure and compliance, including rushing or omitting handwashing practices. These failures occurred during a period of increased workload, staff shortages, and prolonged working hours.</w:t>
      </w:r>
    </w:p>
    <w:p w14:paraId="2589149B" w14:textId="77777777" w:rsidR="008A45C5" w:rsidRPr="008A45C5" w:rsidRDefault="008A45C5" w:rsidP="008A45C5">
      <w:pPr>
        <w:spacing w:after="0" w:line="240" w:lineRule="auto"/>
        <w:rPr>
          <w:rFonts w:ascii="Arial" w:hAnsi="Arial" w:cs="Arial"/>
          <w:kern w:val="0"/>
          <w14:ligatures w14:val="none"/>
        </w:rPr>
      </w:pPr>
    </w:p>
    <w:p w14:paraId="16E84425" w14:textId="77777777" w:rsidR="008A45C5" w:rsidRPr="008A45C5" w:rsidRDefault="008A45C5" w:rsidP="008A45C5">
      <w:pPr>
        <w:spacing w:after="0" w:line="240" w:lineRule="auto"/>
        <w:rPr>
          <w:rFonts w:ascii="Arial" w:hAnsi="Arial" w:cs="Arial"/>
          <w:kern w:val="0"/>
          <w14:ligatures w14:val="none"/>
        </w:rPr>
      </w:pPr>
      <w:r w:rsidRPr="008A45C5">
        <w:rPr>
          <w:rFonts w:ascii="Arial" w:hAnsi="Arial" w:cs="Arial"/>
          <w:kern w:val="0"/>
          <w14:ligatures w14:val="none"/>
        </w:rPr>
        <w:t>The situation raises important questions about how cognitive processes may have contributed to these errors, particularly under conditions of fatigue and high task demand. Understanding the cognitive mechanisms underlying such lapses is essential for improving healthcare procedures and preventing future incidents. Therefore, this report will apply a core cognitive theory: the Working Memory Model, in order to explain the observed behaviours and inform potential interventions.</w:t>
      </w:r>
    </w:p>
    <w:p w14:paraId="7D4996D1" w14:textId="77777777" w:rsidR="00801BD4" w:rsidRPr="008A45C5" w:rsidRDefault="00801BD4">
      <w:pPr>
        <w:pStyle w:val="p1"/>
        <w:rPr>
          <w:rFonts w:ascii="Arial" w:hAnsi="Arial" w:cs="Arial"/>
          <w:sz w:val="24"/>
          <w:szCs w:val="24"/>
        </w:rPr>
      </w:pPr>
    </w:p>
    <w:p w14:paraId="02A6A210" w14:textId="77777777" w:rsidR="00E95489" w:rsidRDefault="00E95489">
      <w:pPr>
        <w:pStyle w:val="p1"/>
        <w:rPr>
          <w:rFonts w:ascii="Arial" w:hAnsi="Arial" w:cs="Arial"/>
          <w:b/>
          <w:bCs/>
          <w:sz w:val="28"/>
          <w:szCs w:val="28"/>
        </w:rPr>
      </w:pPr>
    </w:p>
    <w:p w14:paraId="52F7A036" w14:textId="77777777" w:rsidR="00E95489" w:rsidRDefault="00E95489">
      <w:pPr>
        <w:pStyle w:val="p1"/>
        <w:rPr>
          <w:rFonts w:ascii="Arial" w:hAnsi="Arial" w:cs="Arial"/>
          <w:b/>
          <w:bCs/>
          <w:sz w:val="28"/>
          <w:szCs w:val="28"/>
        </w:rPr>
      </w:pPr>
    </w:p>
    <w:p w14:paraId="0D7AF034" w14:textId="77777777" w:rsidR="008A45C5" w:rsidRDefault="008A45C5">
      <w:pPr>
        <w:pStyle w:val="p1"/>
        <w:rPr>
          <w:rFonts w:ascii="Arial" w:hAnsi="Arial" w:cs="Arial"/>
          <w:b/>
          <w:bCs/>
          <w:sz w:val="28"/>
          <w:szCs w:val="28"/>
        </w:rPr>
      </w:pPr>
    </w:p>
    <w:p w14:paraId="617179AB" w14:textId="77777777" w:rsidR="00E95489" w:rsidRPr="00E95489" w:rsidRDefault="00E95489">
      <w:pPr>
        <w:pStyle w:val="p1"/>
        <w:rPr>
          <w:rFonts w:ascii="Arial" w:hAnsi="Arial" w:cs="Arial"/>
          <w:b/>
          <w:bCs/>
          <w:sz w:val="28"/>
          <w:szCs w:val="28"/>
        </w:rPr>
      </w:pPr>
    </w:p>
    <w:p w14:paraId="3077476B" w14:textId="2D5CD9D2" w:rsidR="00343DAF" w:rsidRPr="00E95489" w:rsidRDefault="0098140B">
      <w:pPr>
        <w:rPr>
          <w:rFonts w:ascii="Arial" w:hAnsi="Arial" w:cs="Arial"/>
          <w:b/>
          <w:bCs/>
          <w:sz w:val="28"/>
          <w:szCs w:val="28"/>
        </w:rPr>
      </w:pPr>
      <w:r w:rsidRPr="00E95489">
        <w:rPr>
          <w:rFonts w:ascii="Arial" w:hAnsi="Arial" w:cs="Arial"/>
          <w:b/>
          <w:bCs/>
          <w:sz w:val="28"/>
          <w:szCs w:val="28"/>
        </w:rPr>
        <w:t>THE WORKING MEMORY MODEL THEORY</w:t>
      </w:r>
    </w:p>
    <w:p w14:paraId="1E9B585D" w14:textId="77777777" w:rsidR="0098140B" w:rsidRDefault="0098140B">
      <w:pPr>
        <w:rPr>
          <w:rFonts w:ascii="Arial" w:hAnsi="Arial" w:cs="Arial"/>
          <w:b/>
          <w:bCs/>
          <w:sz w:val="28"/>
          <w:szCs w:val="28"/>
        </w:rPr>
      </w:pPr>
    </w:p>
    <w:p w14:paraId="269F96C8" w14:textId="77777777" w:rsidR="00BC6023" w:rsidRPr="00BC6023" w:rsidRDefault="00BC6023" w:rsidP="00BC6023">
      <w:pPr>
        <w:spacing w:after="0" w:line="240" w:lineRule="auto"/>
        <w:rPr>
          <w:rFonts w:ascii="Arial" w:hAnsi="Arial" w:cs="Arial"/>
          <w:kern w:val="0"/>
          <w14:ligatures w14:val="none"/>
        </w:rPr>
      </w:pPr>
      <w:r w:rsidRPr="00BC6023">
        <w:rPr>
          <w:rFonts w:ascii="Arial" w:hAnsi="Arial" w:cs="Arial"/>
          <w:kern w:val="0"/>
          <w14:ligatures w14:val="none"/>
        </w:rPr>
        <w:t>The Working Memory Model (WMM), first proposed by Baddeley and Hitch (1974) and later developed by Baddeley (2000), explains how people temporarily store and use information during everyday thinking tasks. Unlike earlier models that viewed short term memory as a single system, the WMM suggests that working memory is made up of several components. These components work together to both store information and actively process it. This distinction is important because it helps explain how people manage complex and goal directed behaviour in real world situations.</w:t>
      </w:r>
    </w:p>
    <w:p w14:paraId="5368457B" w14:textId="77777777" w:rsidR="00BC6023" w:rsidRPr="00BC6023" w:rsidRDefault="00BC6023" w:rsidP="00BC6023">
      <w:pPr>
        <w:spacing w:after="0" w:line="240" w:lineRule="auto"/>
        <w:rPr>
          <w:rFonts w:ascii="Arial" w:hAnsi="Arial" w:cs="Arial"/>
          <w:kern w:val="0"/>
          <w14:ligatures w14:val="none"/>
        </w:rPr>
      </w:pPr>
      <w:r w:rsidRPr="00BC6023">
        <w:rPr>
          <w:rFonts w:ascii="Arial" w:hAnsi="Arial" w:cs="Arial"/>
          <w:kern w:val="0"/>
          <w14:ligatures w14:val="none"/>
        </w:rPr>
        <w:t>At the core of the model is the central executive, which acts as a control system. It is responsible for directing attention, coordinating different cognitive processes, and managing the flow of information between the other parts of working memory. The central executive does not store information itself. Instead, it focuses on allocating attention, switching between tasks, and filtering out irrelevant information. Because of this, it plays an important role in higher level thinking such as decision making, planning, and problem solving. However, it has limited capacity, meaning that when too many demands are placed on it, performance can decline. This is especially important in situations where a person has to deal with multiple tasks at the same time.</w:t>
      </w:r>
    </w:p>
    <w:p w14:paraId="623E5CD1" w14:textId="77777777" w:rsidR="00BC6023" w:rsidRPr="00BC6023" w:rsidRDefault="00BC6023" w:rsidP="00BC6023">
      <w:pPr>
        <w:spacing w:after="0" w:line="240" w:lineRule="auto"/>
        <w:rPr>
          <w:rFonts w:ascii="Arial" w:hAnsi="Arial" w:cs="Arial"/>
          <w:kern w:val="0"/>
          <w14:ligatures w14:val="none"/>
        </w:rPr>
      </w:pPr>
      <w:r w:rsidRPr="00BC6023">
        <w:rPr>
          <w:rFonts w:ascii="Arial" w:hAnsi="Arial" w:cs="Arial"/>
          <w:kern w:val="0"/>
          <w14:ligatures w14:val="none"/>
        </w:rPr>
        <w:t xml:space="preserve">Working alongside the central executive are two specialised subsystems, the phonological loop and the visuospatial sketchpad. The phonological loop is responsible for handling verbal and auditory information. It includes a phonological store, which briefly holds spoken information, and a rehearsal process that helps keep this information active through repetition in the mind. This system is important </w:t>
      </w:r>
      <w:r w:rsidRPr="00BC6023">
        <w:rPr>
          <w:rFonts w:ascii="Arial" w:hAnsi="Arial" w:cs="Arial"/>
          <w:kern w:val="0"/>
          <w14:ligatures w14:val="none"/>
        </w:rPr>
        <w:lastRenderedPageBreak/>
        <w:t>for tasks such as remembering instructions or holding onto spoken information for a short period of time.</w:t>
      </w:r>
    </w:p>
    <w:p w14:paraId="0D7BB5AA" w14:textId="77777777" w:rsidR="00BC6023" w:rsidRPr="00BC6023" w:rsidRDefault="00BC6023" w:rsidP="00BC6023">
      <w:pPr>
        <w:spacing w:after="0" w:line="240" w:lineRule="auto"/>
        <w:rPr>
          <w:rFonts w:ascii="Arial" w:hAnsi="Arial" w:cs="Arial"/>
          <w:kern w:val="0"/>
          <w14:ligatures w14:val="none"/>
        </w:rPr>
      </w:pPr>
      <w:r w:rsidRPr="00BC6023">
        <w:rPr>
          <w:rFonts w:ascii="Arial" w:hAnsi="Arial" w:cs="Arial"/>
          <w:kern w:val="0"/>
          <w14:ligatures w14:val="none"/>
        </w:rPr>
        <w:t>The visuospatial sketchpad, on the other hand, deals with visual and spatial information. It allows people to create and manipulate mental images, understand spatial relationships, and move through environments. This system is especially useful for tasks that involve visualisation, such as planning a route or interpreting visual information in changing situations.</w:t>
      </w:r>
    </w:p>
    <w:p w14:paraId="5DF4F846" w14:textId="77777777" w:rsidR="00BC6023" w:rsidRPr="00BC6023" w:rsidRDefault="00BC6023" w:rsidP="00BC6023">
      <w:pPr>
        <w:spacing w:after="0" w:line="240" w:lineRule="auto"/>
        <w:rPr>
          <w:rFonts w:ascii="Arial" w:hAnsi="Arial" w:cs="Arial"/>
          <w:kern w:val="0"/>
          <w14:ligatures w14:val="none"/>
        </w:rPr>
      </w:pPr>
      <w:r w:rsidRPr="00BC6023">
        <w:rPr>
          <w:rFonts w:ascii="Arial" w:hAnsi="Arial" w:cs="Arial"/>
          <w:kern w:val="0"/>
          <w14:ligatures w14:val="none"/>
        </w:rPr>
        <w:t>Later the idea of the episodic buffer was introduced to improve the model (Baddeley, 2000). This component helps combine information from the phonological loop, the visuospatial sketchpad, and long term memory into a single, meaningful representation. The episodic buffer has a limited capacity and plays an important role in bringing different types of information together, allowing people to form complete and coherent experiences.</w:t>
      </w:r>
    </w:p>
    <w:p w14:paraId="19E57424" w14:textId="77777777" w:rsidR="00BC6023" w:rsidRPr="00BC6023" w:rsidRDefault="00BC6023" w:rsidP="00BC6023">
      <w:pPr>
        <w:spacing w:after="0" w:line="240" w:lineRule="auto"/>
        <w:rPr>
          <w:rFonts w:ascii="Arial" w:hAnsi="Arial" w:cs="Arial"/>
          <w:kern w:val="0"/>
          <w14:ligatures w14:val="none"/>
        </w:rPr>
      </w:pPr>
      <w:r w:rsidRPr="00BC6023">
        <w:rPr>
          <w:rFonts w:ascii="Arial" w:hAnsi="Arial" w:cs="Arial"/>
          <w:kern w:val="0"/>
          <w14:ligatures w14:val="none"/>
        </w:rPr>
        <w:t>A key idea of the Working Memory Model is that working memory has limited capacity in both storage and processing. This means that when the amount of information or number of tasks increases, performance is likely to become less accurate and efficient. Cognitive Load Theory (Sweller, 1988) builds on this idea by suggesting that when the demands placed on working memory are too high, individuals can become overloaded. This can lead to mistakes, missed steps, or reduced performance. Importantly, this is not only affected by how difficult a task is, but also by factors such as time pressure, stress, and fatigue, which can reduce the amount of cognitive resources available.</w:t>
      </w:r>
    </w:p>
    <w:p w14:paraId="12A55356" w14:textId="77777777" w:rsidR="00BC6023" w:rsidRPr="00BC6023" w:rsidRDefault="00BC6023" w:rsidP="00BC6023">
      <w:pPr>
        <w:spacing w:after="0" w:line="240" w:lineRule="auto"/>
        <w:rPr>
          <w:rFonts w:ascii="Arial" w:hAnsi="Arial" w:cs="Arial"/>
          <w:kern w:val="0"/>
          <w14:ligatures w14:val="none"/>
        </w:rPr>
      </w:pPr>
      <w:r w:rsidRPr="00BC6023">
        <w:rPr>
          <w:rFonts w:ascii="Arial" w:hAnsi="Arial" w:cs="Arial"/>
          <w:kern w:val="0"/>
          <w14:ligatures w14:val="none"/>
        </w:rPr>
        <w:t>There is strong research support for the Working Memory Model. One key area of evidence comes from dual task studies by Baddeley and Hitch (1974), which show that people can perform two tasks at the same time more easily when the tasks use different parts of working memory. For example, a person can manage a verbal task and a visual task together better than two verbal tasks. This supports the idea that working memory has separate components. In addition, Cowan (2001) suggests that working memory can only hold around four pieces of information at once, which highlights how limited its capacity is, especially in demanding situations.</w:t>
      </w:r>
    </w:p>
    <w:p w14:paraId="6B7ABDF1" w14:textId="77777777" w:rsidR="00BC6023" w:rsidRPr="00BC6023" w:rsidRDefault="00BC6023" w:rsidP="00BC6023">
      <w:pPr>
        <w:spacing w:after="0" w:line="240" w:lineRule="auto"/>
        <w:rPr>
          <w:rFonts w:ascii="Arial" w:hAnsi="Arial" w:cs="Arial"/>
          <w:kern w:val="0"/>
          <w14:ligatures w14:val="none"/>
        </w:rPr>
      </w:pPr>
      <w:r w:rsidRPr="00BC6023">
        <w:rPr>
          <w:rFonts w:ascii="Arial" w:hAnsi="Arial" w:cs="Arial"/>
          <w:kern w:val="0"/>
          <w14:ligatures w14:val="none"/>
        </w:rPr>
        <w:t> </w:t>
      </w:r>
    </w:p>
    <w:p w14:paraId="653C1AB7" w14:textId="77777777" w:rsidR="008A45C5" w:rsidRPr="00BC6023" w:rsidRDefault="008A45C5">
      <w:pPr>
        <w:rPr>
          <w:rFonts w:ascii="Arial" w:hAnsi="Arial" w:cs="Arial"/>
        </w:rPr>
      </w:pPr>
    </w:p>
    <w:p w14:paraId="36DC984E" w14:textId="77777777" w:rsidR="008A45C5" w:rsidRDefault="008A45C5">
      <w:pPr>
        <w:rPr>
          <w:rFonts w:ascii="Arial" w:hAnsi="Arial" w:cs="Arial"/>
          <w:b/>
          <w:bCs/>
          <w:sz w:val="28"/>
          <w:szCs w:val="28"/>
        </w:rPr>
      </w:pPr>
    </w:p>
    <w:p w14:paraId="6B9DAFC8" w14:textId="77777777" w:rsidR="008A45C5" w:rsidRDefault="008A45C5">
      <w:pPr>
        <w:rPr>
          <w:rFonts w:ascii="Arial" w:hAnsi="Arial" w:cs="Arial"/>
          <w:b/>
          <w:bCs/>
          <w:sz w:val="28"/>
          <w:szCs w:val="28"/>
        </w:rPr>
      </w:pPr>
    </w:p>
    <w:p w14:paraId="50E6B358" w14:textId="77777777" w:rsidR="008A45C5" w:rsidRDefault="008A45C5">
      <w:pPr>
        <w:rPr>
          <w:rFonts w:ascii="Arial" w:hAnsi="Arial" w:cs="Arial"/>
          <w:b/>
          <w:bCs/>
          <w:sz w:val="28"/>
          <w:szCs w:val="28"/>
        </w:rPr>
      </w:pPr>
    </w:p>
    <w:p w14:paraId="38CFDDE0" w14:textId="77777777" w:rsidR="008A45C5" w:rsidRDefault="008A45C5">
      <w:pPr>
        <w:rPr>
          <w:rFonts w:ascii="Arial" w:hAnsi="Arial" w:cs="Arial"/>
          <w:b/>
          <w:bCs/>
          <w:sz w:val="28"/>
          <w:szCs w:val="28"/>
        </w:rPr>
      </w:pPr>
    </w:p>
    <w:p w14:paraId="1772C6B2" w14:textId="77777777" w:rsidR="00DF0D6C" w:rsidRDefault="00DF0D6C">
      <w:pPr>
        <w:rPr>
          <w:rFonts w:ascii="Arial" w:hAnsi="Arial" w:cs="Arial"/>
          <w:b/>
          <w:bCs/>
          <w:sz w:val="28"/>
          <w:szCs w:val="28"/>
        </w:rPr>
      </w:pPr>
    </w:p>
    <w:p w14:paraId="2F47B41F" w14:textId="77777777" w:rsidR="00DF0D6C" w:rsidRDefault="00DF0D6C">
      <w:pPr>
        <w:rPr>
          <w:rFonts w:ascii="Arial" w:hAnsi="Arial" w:cs="Arial"/>
          <w:b/>
          <w:bCs/>
          <w:sz w:val="28"/>
          <w:szCs w:val="28"/>
        </w:rPr>
      </w:pPr>
    </w:p>
    <w:p w14:paraId="651A06BE" w14:textId="77777777" w:rsidR="00DF0D6C" w:rsidRDefault="00DF0D6C">
      <w:pPr>
        <w:rPr>
          <w:rFonts w:ascii="Arial" w:hAnsi="Arial" w:cs="Arial"/>
          <w:b/>
          <w:bCs/>
          <w:sz w:val="28"/>
          <w:szCs w:val="28"/>
        </w:rPr>
      </w:pPr>
    </w:p>
    <w:p w14:paraId="3235B68A" w14:textId="77777777" w:rsidR="00DF0D6C" w:rsidRDefault="00DF0D6C">
      <w:pPr>
        <w:rPr>
          <w:rFonts w:ascii="Arial" w:hAnsi="Arial" w:cs="Arial"/>
          <w:b/>
          <w:bCs/>
          <w:sz w:val="28"/>
          <w:szCs w:val="28"/>
        </w:rPr>
      </w:pPr>
    </w:p>
    <w:p w14:paraId="49E381F2" w14:textId="77777777" w:rsidR="00DF0D6C" w:rsidRPr="00E95489" w:rsidRDefault="00DF0D6C">
      <w:pPr>
        <w:rPr>
          <w:rFonts w:ascii="Arial" w:hAnsi="Arial" w:cs="Arial"/>
          <w:b/>
          <w:bCs/>
          <w:sz w:val="28"/>
          <w:szCs w:val="28"/>
        </w:rPr>
      </w:pPr>
    </w:p>
    <w:p w14:paraId="45B1C9D7" w14:textId="77777777" w:rsidR="00A5505B" w:rsidRPr="00E95489" w:rsidRDefault="00A5505B">
      <w:pPr>
        <w:pStyle w:val="p1"/>
        <w:rPr>
          <w:rFonts w:ascii="Arial" w:hAnsi="Arial" w:cs="Arial"/>
          <w:b/>
          <w:bCs/>
          <w:sz w:val="28"/>
          <w:szCs w:val="28"/>
        </w:rPr>
      </w:pPr>
      <w:r w:rsidRPr="00E95489">
        <w:rPr>
          <w:rStyle w:val="s1"/>
          <w:rFonts w:ascii="Arial" w:hAnsi="Arial" w:cs="Arial"/>
          <w:sz w:val="28"/>
          <w:szCs w:val="28"/>
        </w:rPr>
        <w:lastRenderedPageBreak/>
        <w:t>HOW DOES THE THEORY RELATE TO THE CASE STUDY</w:t>
      </w:r>
    </w:p>
    <w:p w14:paraId="48284809" w14:textId="77777777" w:rsidR="0098140B" w:rsidRDefault="0098140B">
      <w:pPr>
        <w:rPr>
          <w:rFonts w:ascii="Arial" w:hAnsi="Arial" w:cs="Arial"/>
          <w:b/>
          <w:bCs/>
          <w:sz w:val="28"/>
          <w:szCs w:val="28"/>
        </w:rPr>
      </w:pPr>
    </w:p>
    <w:p w14:paraId="338C3E31" w14:textId="77777777" w:rsidR="00823271" w:rsidRPr="00823271" w:rsidRDefault="00823271" w:rsidP="00823271">
      <w:pPr>
        <w:spacing w:after="0" w:line="240" w:lineRule="auto"/>
        <w:rPr>
          <w:rFonts w:ascii="Arial" w:hAnsi="Arial" w:cs="Arial"/>
          <w:kern w:val="0"/>
          <w14:ligatures w14:val="none"/>
        </w:rPr>
      </w:pPr>
      <w:r w:rsidRPr="00823271">
        <w:rPr>
          <w:rFonts w:ascii="Arial" w:hAnsi="Arial" w:cs="Arial"/>
          <w:kern w:val="0"/>
          <w14:ligatures w14:val="none"/>
        </w:rPr>
        <w:t>The Working Memory Model offers a clear and useful explanation for the procedural failures observed in this case. Although the district nurses had successfully completed their training and demonstrated competence in both written and practical assessments, their performance in real world settings was inconsistent. This suggests that the issue was not a lack of knowledge, but rather a breakdown in the ability to apply that knowledge under pressure. The Working Memory Model helps explain how this breakdown may have occurred.</w:t>
      </w:r>
    </w:p>
    <w:p w14:paraId="263AA775" w14:textId="77777777" w:rsidR="00823271" w:rsidRPr="00823271" w:rsidRDefault="00823271" w:rsidP="00823271">
      <w:pPr>
        <w:spacing w:after="0" w:line="240" w:lineRule="auto"/>
        <w:rPr>
          <w:rFonts w:ascii="Arial" w:hAnsi="Arial" w:cs="Arial"/>
          <w:kern w:val="0"/>
          <w14:ligatures w14:val="none"/>
        </w:rPr>
      </w:pPr>
      <w:r w:rsidRPr="00823271">
        <w:rPr>
          <w:rFonts w:ascii="Arial" w:hAnsi="Arial" w:cs="Arial"/>
          <w:kern w:val="0"/>
          <w14:ligatures w14:val="none"/>
        </w:rPr>
        <w:t>In their daily roles, the nurses were required to manage a wide range of cognitively demanding tasks. These included providing patient care, travelling between locations, keeping accurate records, and following strict hygiene procedures such as handwashing. Each of these tasks places demands on working memory, particularly on the central executive, which is responsible for directing attention and managing multiple processes at once. When workload increased and shifts became longer, the demands placed on the central executive would have also increased, making it more difficult for nurses to maintain consistent performance across all tasks.</w:t>
      </w:r>
    </w:p>
    <w:p w14:paraId="3336FC2F" w14:textId="77777777" w:rsidR="00823271" w:rsidRPr="00823271" w:rsidRDefault="00823271" w:rsidP="00823271">
      <w:pPr>
        <w:spacing w:after="0" w:line="240" w:lineRule="auto"/>
        <w:rPr>
          <w:rFonts w:ascii="Arial" w:hAnsi="Arial" w:cs="Arial"/>
          <w:kern w:val="0"/>
          <w14:ligatures w14:val="none"/>
        </w:rPr>
      </w:pPr>
      <w:r w:rsidRPr="00823271">
        <w:rPr>
          <w:rFonts w:ascii="Arial" w:hAnsi="Arial" w:cs="Arial"/>
          <w:kern w:val="0"/>
          <w14:ligatures w14:val="none"/>
        </w:rPr>
        <w:t>As a result of this increased cognitive load, the central executive may have become overloaded. When this happens, attention becomes harder to control and important steps in a task can be missed. In this case, nurses may have experienced attentional lapses, where they unintentionally skipped parts of the handwashing procedure or forgot to complete it altogether. These types of errors are not deliberate, but instead reflect the limits of cognitive capacity when too many demands are placed on the system at once.</w:t>
      </w:r>
    </w:p>
    <w:p w14:paraId="5F757841" w14:textId="77777777" w:rsidR="00823271" w:rsidRPr="00823271" w:rsidRDefault="00823271" w:rsidP="00823271">
      <w:pPr>
        <w:spacing w:after="0" w:line="240" w:lineRule="auto"/>
        <w:rPr>
          <w:rFonts w:ascii="Arial" w:hAnsi="Arial" w:cs="Arial"/>
          <w:kern w:val="0"/>
          <w14:ligatures w14:val="none"/>
        </w:rPr>
      </w:pPr>
      <w:r w:rsidRPr="00823271">
        <w:rPr>
          <w:rFonts w:ascii="Arial" w:hAnsi="Arial" w:cs="Arial"/>
          <w:kern w:val="0"/>
          <w14:ligatures w14:val="none"/>
        </w:rPr>
        <w:t>In addition, the ability to prioritise tasks may have been affected. When under pressure, individuals often focus on what appears to be the most immediate or important task. For the nurses, this may have been direct patient care, especially when dealing with high workloads or time constraints. As a result, hygiene procedures such as handwashing may have been seen as less urgent, even though they are essential for patient safety. This shift in prioritisation can be explained by the central executive struggling to effectively manage competing demands.</w:t>
      </w:r>
    </w:p>
    <w:p w14:paraId="38934602" w14:textId="77777777" w:rsidR="00823271" w:rsidRPr="00823271" w:rsidRDefault="00823271" w:rsidP="00823271">
      <w:pPr>
        <w:spacing w:after="0" w:line="240" w:lineRule="auto"/>
        <w:rPr>
          <w:rFonts w:ascii="Arial" w:hAnsi="Arial" w:cs="Arial"/>
          <w:kern w:val="0"/>
          <w14:ligatures w14:val="none"/>
        </w:rPr>
      </w:pPr>
      <w:r w:rsidRPr="00823271">
        <w:rPr>
          <w:rFonts w:ascii="Arial" w:hAnsi="Arial" w:cs="Arial"/>
          <w:kern w:val="0"/>
          <w14:ligatures w14:val="none"/>
        </w:rPr>
        <w:t>Another important factor is the reliance on automatic behaviour. Many routine tasks, such as handwashing, become habitual over time. While this can be beneficial in reducing cognitive effort, it can also increase the risk of errors if routines are disrupted. In high pressure situations, such as seen in the case, individuals are more likely to rely on automatic processes rather than consciously monitoring their actions. This means that if a routine is interrupted or rushed, steps may be missed without the individual being fully aware of it.</w:t>
      </w:r>
    </w:p>
    <w:p w14:paraId="04F17FE4" w14:textId="77777777" w:rsidR="00823271" w:rsidRPr="00823271" w:rsidRDefault="00823271" w:rsidP="00823271">
      <w:pPr>
        <w:spacing w:after="0" w:line="240" w:lineRule="auto"/>
        <w:rPr>
          <w:rFonts w:ascii="Arial" w:hAnsi="Arial" w:cs="Arial"/>
          <w:kern w:val="0"/>
          <w14:ligatures w14:val="none"/>
        </w:rPr>
      </w:pPr>
      <w:r w:rsidRPr="00823271">
        <w:rPr>
          <w:rFonts w:ascii="Arial" w:hAnsi="Arial" w:cs="Arial"/>
          <w:kern w:val="0"/>
          <w14:ligatures w14:val="none"/>
        </w:rPr>
        <w:t>Fatigue is also likely to have played a significant role in this case. Research shows that sleep deprivation has a strong negative effect on attention and executive functioning (Lim &amp; Dinges, 2010) . This means that tired individuals are more likely to experience lapses in concentration and reduced cognitive control. Given that the nurses were working long hours and back to back shifts, it is likely that fatigue further reduced their working memory capacity, making it even more difficult to consistently follow procedures.</w:t>
      </w:r>
    </w:p>
    <w:p w14:paraId="3FC3F40B" w14:textId="77777777" w:rsidR="00823271" w:rsidRPr="00823271" w:rsidRDefault="00823271" w:rsidP="00823271">
      <w:pPr>
        <w:spacing w:after="0" w:line="240" w:lineRule="auto"/>
        <w:rPr>
          <w:rFonts w:ascii="Arial" w:hAnsi="Arial" w:cs="Arial"/>
          <w:kern w:val="0"/>
          <w14:ligatures w14:val="none"/>
        </w:rPr>
      </w:pPr>
      <w:r w:rsidRPr="00823271">
        <w:rPr>
          <w:rFonts w:ascii="Arial" w:hAnsi="Arial" w:cs="Arial"/>
          <w:kern w:val="0"/>
          <w14:ligatures w14:val="none"/>
        </w:rPr>
        <w:t xml:space="preserve">The difference between performance in training and in practice can also be explained using the concept of context dependent cognitive load. During training, tasks are usually carried out in controlled environments with fewer distractions and lower overall demand on working memory. This allows individuals to focus fully on </w:t>
      </w:r>
      <w:r w:rsidRPr="00823271">
        <w:rPr>
          <w:rFonts w:ascii="Arial" w:hAnsi="Arial" w:cs="Arial"/>
          <w:kern w:val="0"/>
          <w14:ligatures w14:val="none"/>
        </w:rPr>
        <w:lastRenderedPageBreak/>
        <w:t>the task and perform well. However, in real world settings, multiple demands occur at the same time, placing much greater strain on working memory. In this case, the added pressures of time constraints, increased patient numbers, and physical exhaustion likely exceeded the nurses’ cognitive capacity, leading to errors in procedure.</w:t>
      </w:r>
    </w:p>
    <w:p w14:paraId="1AFB4022" w14:textId="77777777" w:rsidR="00A5505B" w:rsidRPr="00E95489" w:rsidRDefault="00A5505B">
      <w:pPr>
        <w:rPr>
          <w:rFonts w:ascii="Arial" w:hAnsi="Arial" w:cs="Arial"/>
          <w:b/>
          <w:bCs/>
          <w:sz w:val="28"/>
          <w:szCs w:val="28"/>
        </w:rPr>
      </w:pPr>
    </w:p>
    <w:p w14:paraId="0826882D" w14:textId="77777777" w:rsidR="002F4645" w:rsidRPr="00823271" w:rsidRDefault="002F4645">
      <w:pPr>
        <w:pStyle w:val="p1"/>
        <w:rPr>
          <w:rStyle w:val="s1"/>
          <w:rFonts w:ascii="Arial" w:hAnsi="Arial" w:cs="Arial"/>
          <w:sz w:val="28"/>
          <w:szCs w:val="28"/>
        </w:rPr>
      </w:pPr>
      <w:r w:rsidRPr="00823271">
        <w:rPr>
          <w:rStyle w:val="s1"/>
          <w:rFonts w:ascii="Arial" w:hAnsi="Arial" w:cs="Arial"/>
          <w:sz w:val="28"/>
          <w:szCs w:val="28"/>
        </w:rPr>
        <w:t>PREVIOUS RESEARCH EVIDENCE AND EXAMPLES</w:t>
      </w:r>
    </w:p>
    <w:p w14:paraId="5C32F278" w14:textId="77777777" w:rsidR="00823271" w:rsidRDefault="00823271">
      <w:pPr>
        <w:pStyle w:val="p1"/>
        <w:rPr>
          <w:rStyle w:val="s1"/>
          <w:rFonts w:ascii="Arial" w:hAnsi="Arial" w:cs="Arial"/>
          <w:sz w:val="28"/>
          <w:szCs w:val="28"/>
        </w:rPr>
      </w:pPr>
    </w:p>
    <w:p w14:paraId="1E33C278" w14:textId="77777777" w:rsidR="0075746B" w:rsidRPr="0075746B" w:rsidRDefault="0075746B" w:rsidP="0075746B">
      <w:pPr>
        <w:spacing w:after="0" w:line="240" w:lineRule="auto"/>
        <w:rPr>
          <w:rFonts w:ascii="Arial" w:hAnsi="Arial" w:cs="Arial"/>
          <w:kern w:val="0"/>
          <w14:ligatures w14:val="none"/>
        </w:rPr>
      </w:pPr>
      <w:r w:rsidRPr="0075746B">
        <w:rPr>
          <w:rFonts w:ascii="Arial" w:hAnsi="Arial" w:cs="Arial"/>
          <w:kern w:val="0"/>
          <w14:ligatures w14:val="none"/>
        </w:rPr>
        <w:t>A substantial body of research supports the application of working memory theory to real world performance failures. For example, Reason (1990) proposed the human error framework, distinguishing between slips (attention failures) and mistakes (decision failures). In this case, failures to wash hands likely represent slips, caused by attentional overload rather than lack of knowledge.</w:t>
      </w:r>
    </w:p>
    <w:p w14:paraId="42B82CAB" w14:textId="77777777" w:rsidR="0075746B" w:rsidRPr="0075746B" w:rsidRDefault="0075746B" w:rsidP="0075746B">
      <w:pPr>
        <w:spacing w:after="0" w:line="240" w:lineRule="auto"/>
        <w:rPr>
          <w:rFonts w:ascii="Arial" w:hAnsi="Arial" w:cs="Arial"/>
          <w:kern w:val="0"/>
          <w14:ligatures w14:val="none"/>
        </w:rPr>
      </w:pPr>
      <w:r w:rsidRPr="0075746B">
        <w:rPr>
          <w:rFonts w:ascii="Arial" w:hAnsi="Arial" w:cs="Arial"/>
          <w:kern w:val="0"/>
          <w14:ligatures w14:val="none"/>
        </w:rPr>
        <w:t>Research in healthcare settings further supports this interpretation. It was found that interruptions and multitasking significantly increased procedural errors among nurses (Westbrook et al. 2010). This aligns with the WMM, as interruptions place additional demands on working memory, disrupting task execution.</w:t>
      </w:r>
    </w:p>
    <w:p w14:paraId="2E967164" w14:textId="77777777" w:rsidR="0075746B" w:rsidRPr="0075746B" w:rsidRDefault="0075746B" w:rsidP="0075746B">
      <w:pPr>
        <w:spacing w:after="0" w:line="240" w:lineRule="auto"/>
        <w:rPr>
          <w:rFonts w:ascii="Arial" w:hAnsi="Arial" w:cs="Arial"/>
          <w:kern w:val="0"/>
          <w14:ligatures w14:val="none"/>
        </w:rPr>
      </w:pPr>
      <w:r w:rsidRPr="0075746B">
        <w:rPr>
          <w:rFonts w:ascii="Arial" w:hAnsi="Arial" w:cs="Arial"/>
          <w:kern w:val="0"/>
          <w14:ligatures w14:val="none"/>
        </w:rPr>
        <w:t>Similarly, it was seen that high workload and time pressure negatively impact healthcare performance by increasing cognitive load (Carayon &amp; Gürses, 2008). Their findings highlight that factors, such as staffing shortages, directly affect cognitive functioning.</w:t>
      </w:r>
    </w:p>
    <w:p w14:paraId="5C88D7ED" w14:textId="77777777" w:rsidR="0075746B" w:rsidRPr="0075746B" w:rsidRDefault="0075746B" w:rsidP="0075746B">
      <w:pPr>
        <w:spacing w:after="0" w:line="240" w:lineRule="auto"/>
        <w:rPr>
          <w:rFonts w:ascii="Arial" w:hAnsi="Arial" w:cs="Arial"/>
          <w:kern w:val="0"/>
          <w14:ligatures w14:val="none"/>
        </w:rPr>
      </w:pPr>
      <w:r w:rsidRPr="0075746B">
        <w:rPr>
          <w:rFonts w:ascii="Arial" w:hAnsi="Arial" w:cs="Arial"/>
          <w:kern w:val="0"/>
          <w14:ligatures w14:val="none"/>
        </w:rPr>
        <w:t>Experimental studies also show that cognitive load impairs routine task performance. Individuals under high cognitive load are more likely to omit steps in procedural tasks, even when they are well-learned (Sweller, 1988)</w:t>
      </w:r>
    </w:p>
    <w:p w14:paraId="08D08DB2" w14:textId="77777777" w:rsidR="0075746B" w:rsidRPr="0075746B" w:rsidRDefault="0075746B" w:rsidP="0075746B">
      <w:pPr>
        <w:spacing w:after="0" w:line="240" w:lineRule="auto"/>
        <w:rPr>
          <w:rFonts w:ascii="Arial" w:hAnsi="Arial" w:cs="Arial"/>
          <w:kern w:val="0"/>
          <w14:ligatures w14:val="none"/>
        </w:rPr>
      </w:pPr>
      <w:r w:rsidRPr="0075746B">
        <w:rPr>
          <w:rFonts w:ascii="Arial" w:hAnsi="Arial" w:cs="Arial"/>
          <w:kern w:val="0"/>
          <w14:ligatures w14:val="none"/>
        </w:rPr>
        <w:t>Finally, when under stress and fatigued, individuals adopt compensatory strategies, such as speeding up tasks, which can lead to reduced accuracy. This directly reflects the reported behaviour of nurses rushing procedures (Hockey, 1997)</w:t>
      </w:r>
    </w:p>
    <w:p w14:paraId="176AD911" w14:textId="77777777" w:rsidR="00823271" w:rsidRPr="0075746B" w:rsidRDefault="00823271">
      <w:pPr>
        <w:pStyle w:val="p1"/>
        <w:rPr>
          <w:rStyle w:val="s1"/>
          <w:rFonts w:ascii="Arial" w:hAnsi="Arial" w:cs="Arial"/>
          <w:b w:val="0"/>
          <w:bCs w:val="0"/>
          <w:sz w:val="24"/>
          <w:szCs w:val="24"/>
        </w:rPr>
      </w:pPr>
    </w:p>
    <w:p w14:paraId="774C8443" w14:textId="77777777" w:rsidR="00823271" w:rsidRDefault="00823271">
      <w:pPr>
        <w:pStyle w:val="p1"/>
        <w:rPr>
          <w:rStyle w:val="s1"/>
          <w:rFonts w:ascii="Arial" w:hAnsi="Arial" w:cs="Arial"/>
          <w:sz w:val="28"/>
          <w:szCs w:val="28"/>
        </w:rPr>
      </w:pPr>
    </w:p>
    <w:p w14:paraId="7F1453D0" w14:textId="77777777" w:rsidR="00823271" w:rsidRDefault="00823271">
      <w:pPr>
        <w:pStyle w:val="p1"/>
        <w:rPr>
          <w:rStyle w:val="s1"/>
          <w:rFonts w:ascii="Arial" w:hAnsi="Arial" w:cs="Arial"/>
          <w:sz w:val="28"/>
          <w:szCs w:val="28"/>
        </w:rPr>
      </w:pPr>
    </w:p>
    <w:p w14:paraId="6333AD86" w14:textId="77777777" w:rsidR="00823271" w:rsidRPr="00E95489" w:rsidRDefault="00823271">
      <w:pPr>
        <w:pStyle w:val="p1"/>
        <w:rPr>
          <w:rFonts w:ascii="Arial" w:hAnsi="Arial" w:cs="Arial"/>
          <w:b/>
          <w:bCs/>
          <w:sz w:val="28"/>
          <w:szCs w:val="28"/>
        </w:rPr>
      </w:pPr>
    </w:p>
    <w:p w14:paraId="04A35AAA" w14:textId="77777777" w:rsidR="00A5505B" w:rsidRDefault="00A5505B">
      <w:pPr>
        <w:rPr>
          <w:rFonts w:ascii="Arial" w:hAnsi="Arial" w:cs="Arial"/>
          <w:b/>
          <w:bCs/>
          <w:sz w:val="28"/>
          <w:szCs w:val="28"/>
        </w:rPr>
      </w:pPr>
    </w:p>
    <w:p w14:paraId="680D4506" w14:textId="77777777" w:rsidR="0075746B" w:rsidRDefault="0075746B">
      <w:pPr>
        <w:rPr>
          <w:rFonts w:ascii="Arial" w:hAnsi="Arial" w:cs="Arial"/>
          <w:b/>
          <w:bCs/>
          <w:sz w:val="28"/>
          <w:szCs w:val="28"/>
        </w:rPr>
      </w:pPr>
    </w:p>
    <w:p w14:paraId="7538A3D8" w14:textId="77777777" w:rsidR="0075746B" w:rsidRDefault="0075746B">
      <w:pPr>
        <w:rPr>
          <w:rFonts w:ascii="Arial" w:hAnsi="Arial" w:cs="Arial"/>
          <w:b/>
          <w:bCs/>
          <w:sz w:val="28"/>
          <w:szCs w:val="28"/>
        </w:rPr>
      </w:pPr>
    </w:p>
    <w:p w14:paraId="2C95C28B" w14:textId="77777777" w:rsidR="0075746B" w:rsidRDefault="0075746B">
      <w:pPr>
        <w:rPr>
          <w:rFonts w:ascii="Arial" w:hAnsi="Arial" w:cs="Arial"/>
          <w:b/>
          <w:bCs/>
          <w:sz w:val="28"/>
          <w:szCs w:val="28"/>
        </w:rPr>
      </w:pPr>
    </w:p>
    <w:p w14:paraId="456C6340" w14:textId="77777777" w:rsidR="0075746B" w:rsidRDefault="0075746B">
      <w:pPr>
        <w:rPr>
          <w:rFonts w:ascii="Arial" w:hAnsi="Arial" w:cs="Arial"/>
          <w:b/>
          <w:bCs/>
          <w:sz w:val="28"/>
          <w:szCs w:val="28"/>
        </w:rPr>
      </w:pPr>
    </w:p>
    <w:p w14:paraId="2CA0DB59" w14:textId="77777777" w:rsidR="0075746B" w:rsidRDefault="0075746B">
      <w:pPr>
        <w:rPr>
          <w:rFonts w:ascii="Arial" w:hAnsi="Arial" w:cs="Arial"/>
          <w:b/>
          <w:bCs/>
          <w:sz w:val="28"/>
          <w:szCs w:val="28"/>
        </w:rPr>
      </w:pPr>
    </w:p>
    <w:p w14:paraId="02B2A636" w14:textId="77777777" w:rsidR="0075746B" w:rsidRDefault="0075746B">
      <w:pPr>
        <w:rPr>
          <w:rFonts w:ascii="Arial" w:hAnsi="Arial" w:cs="Arial"/>
          <w:b/>
          <w:bCs/>
          <w:sz w:val="28"/>
          <w:szCs w:val="28"/>
        </w:rPr>
      </w:pPr>
    </w:p>
    <w:p w14:paraId="635EED3B" w14:textId="77777777" w:rsidR="0075746B" w:rsidRDefault="0075746B">
      <w:pPr>
        <w:rPr>
          <w:rFonts w:ascii="Arial" w:hAnsi="Arial" w:cs="Arial"/>
          <w:b/>
          <w:bCs/>
          <w:sz w:val="28"/>
          <w:szCs w:val="28"/>
        </w:rPr>
      </w:pPr>
    </w:p>
    <w:p w14:paraId="18386BAC" w14:textId="77777777" w:rsidR="0075746B" w:rsidRPr="00E95489" w:rsidRDefault="0075746B">
      <w:pPr>
        <w:rPr>
          <w:rFonts w:ascii="Arial" w:hAnsi="Arial" w:cs="Arial"/>
          <w:b/>
          <w:bCs/>
          <w:sz w:val="28"/>
          <w:szCs w:val="28"/>
        </w:rPr>
      </w:pPr>
    </w:p>
    <w:p w14:paraId="1DA6A5DF" w14:textId="67D832B3" w:rsidR="00D26E48" w:rsidRPr="00E95489" w:rsidRDefault="00D26E48">
      <w:pPr>
        <w:rPr>
          <w:rFonts w:ascii="Arial" w:hAnsi="Arial" w:cs="Arial"/>
          <w:b/>
          <w:bCs/>
          <w:sz w:val="28"/>
          <w:szCs w:val="28"/>
        </w:rPr>
      </w:pPr>
      <w:r w:rsidRPr="00E95489">
        <w:rPr>
          <w:rFonts w:ascii="Arial" w:hAnsi="Arial" w:cs="Arial"/>
          <w:b/>
          <w:bCs/>
          <w:sz w:val="28"/>
          <w:szCs w:val="28"/>
        </w:rPr>
        <w:lastRenderedPageBreak/>
        <w:t>SUGGESTIONS FOR NEW PROCEDURES BASED ON THE THEORY</w:t>
      </w:r>
    </w:p>
    <w:p w14:paraId="0000DB09" w14:textId="77777777" w:rsidR="009D37F2" w:rsidRPr="007B6296" w:rsidRDefault="009D37F2" w:rsidP="009D37F2">
      <w:pPr>
        <w:spacing w:after="0" w:line="240" w:lineRule="auto"/>
        <w:rPr>
          <w:rFonts w:ascii="Arial" w:hAnsi="Arial" w:cs="Arial"/>
          <w:kern w:val="0"/>
          <w14:ligatures w14:val="none"/>
        </w:rPr>
      </w:pPr>
      <w:r w:rsidRPr="007B6296">
        <w:rPr>
          <w:rFonts w:ascii="Arial" w:hAnsi="Arial" w:cs="Arial"/>
          <w:kern w:val="0"/>
          <w14:ligatures w14:val="none"/>
        </w:rPr>
        <w:t>Understanding the limits of working memory makes it possible to design practical strategies to reduce errors in this context. One effective approach is to simplify tasks and reduce the need to rely on memory alone. For example, visual reminders such as posters or checklists can be introduced to support nurses in consistently following handwashing procedures. These tools act as external memory aids, helping to reduce cognitive load and ensuring that key steps are not overlooked. Research shows that checklists can significantly reduce errors in high pressure medical environments, highlighting their value in supporting safe practice (Gawande, 2009).</w:t>
      </w:r>
    </w:p>
    <w:p w14:paraId="3BDF8A36" w14:textId="77777777" w:rsidR="009D37F2" w:rsidRPr="007B6296" w:rsidRDefault="009D37F2" w:rsidP="009D37F2">
      <w:pPr>
        <w:spacing w:after="0" w:line="240" w:lineRule="auto"/>
        <w:rPr>
          <w:rFonts w:ascii="Arial" w:hAnsi="Arial" w:cs="Arial"/>
          <w:kern w:val="0"/>
          <w14:ligatures w14:val="none"/>
        </w:rPr>
      </w:pPr>
      <w:r w:rsidRPr="007B6296">
        <w:rPr>
          <w:rFonts w:ascii="Arial" w:hAnsi="Arial" w:cs="Arial"/>
          <w:kern w:val="0"/>
          <w14:ligatures w14:val="none"/>
        </w:rPr>
        <w:t>Another important consideration is the management of fatigue, ensuring that nurses have adequate rest and limiting long or consecutive shifts can help maintain cognitive functioning. As fatigue directly affects attention and the central executive, reducing exhaustion is likely to improve adherence to procedures. However this raises ethical challenges, particularly in relation to staffing shortages and the need to maintain patient care.</w:t>
      </w:r>
    </w:p>
    <w:p w14:paraId="09C61E53" w14:textId="77777777" w:rsidR="009D37F2" w:rsidRPr="007B6296" w:rsidRDefault="009D37F2" w:rsidP="009D37F2">
      <w:pPr>
        <w:spacing w:after="0" w:line="240" w:lineRule="auto"/>
        <w:rPr>
          <w:rFonts w:ascii="Arial" w:hAnsi="Arial" w:cs="Arial"/>
          <w:kern w:val="0"/>
          <w14:ligatures w14:val="none"/>
        </w:rPr>
      </w:pPr>
      <w:r w:rsidRPr="007B6296">
        <w:rPr>
          <w:rFonts w:ascii="Arial" w:hAnsi="Arial" w:cs="Arial"/>
          <w:kern w:val="0"/>
          <w14:ligatures w14:val="none"/>
        </w:rPr>
        <w:t>Improving task design and workflow is also important. Reducing unnecessary interruptions and limiting multitasking can help lower cognitive demands. For instance, providing specific time for hygiene procedures may allow nurses to focus fully on completing them correctly.</w:t>
      </w:r>
    </w:p>
    <w:p w14:paraId="10861C37" w14:textId="77777777" w:rsidR="009D37F2" w:rsidRPr="007B6296" w:rsidRDefault="009D37F2" w:rsidP="009D37F2">
      <w:pPr>
        <w:spacing w:after="0" w:line="240" w:lineRule="auto"/>
        <w:rPr>
          <w:rFonts w:ascii="Arial" w:hAnsi="Arial" w:cs="Arial"/>
          <w:kern w:val="0"/>
          <w14:ligatures w14:val="none"/>
        </w:rPr>
      </w:pPr>
      <w:r w:rsidRPr="007B6296">
        <w:rPr>
          <w:rFonts w:ascii="Arial" w:hAnsi="Arial" w:cs="Arial"/>
          <w:kern w:val="0"/>
          <w14:ligatures w14:val="none"/>
        </w:rPr>
        <w:t>Finally training should better reflect real world conditions. Simulating busy and high pressure environments during training may help nurses develop strategies to manage cognitive load more effectively, improving performance in practice.</w:t>
      </w:r>
    </w:p>
    <w:p w14:paraId="03F51717" w14:textId="77777777" w:rsidR="009D37F2" w:rsidRPr="007B6296" w:rsidRDefault="009D37F2" w:rsidP="009D37F2">
      <w:pPr>
        <w:spacing w:after="0" w:line="240" w:lineRule="auto"/>
        <w:rPr>
          <w:rFonts w:ascii="Arial" w:hAnsi="Arial" w:cs="Arial"/>
          <w:kern w:val="0"/>
          <w14:ligatures w14:val="none"/>
        </w:rPr>
      </w:pPr>
      <w:r w:rsidRPr="007B6296">
        <w:rPr>
          <w:rFonts w:ascii="Arial" w:hAnsi="Arial" w:cs="Arial"/>
          <w:kern w:val="0"/>
          <w14:ligatures w14:val="none"/>
        </w:rPr>
        <w:t>Implementing these interventions requires careful ethical consideration. It is important to avoid placing blame solely on individual nurses, as the errors observed are likely influenced by wider systemic factors such as staffing shortages and increased workload. A fair and balanced approach should recognise shared responsibility between individuals and the organisation. Equity is also essential, particularly in ensuring that workload is distributed fairly among staff to prevent excessive strain on certain individuals. In addition, there must be a balance between maintaining patient safety and protecting staff wellbeing, as both are equally important. Finally, any changes to policies or procedures should involve staff input to ensure transparency, fairness, and practical relevance.</w:t>
      </w:r>
    </w:p>
    <w:p w14:paraId="5DD126E5" w14:textId="77777777" w:rsidR="00D26E48" w:rsidRPr="007B6296" w:rsidRDefault="00D26E48">
      <w:pPr>
        <w:rPr>
          <w:rFonts w:ascii="Arial" w:hAnsi="Arial" w:cs="Arial"/>
        </w:rPr>
      </w:pPr>
    </w:p>
    <w:p w14:paraId="56B87E95" w14:textId="77777777" w:rsidR="00AB69A8" w:rsidRDefault="00AB69A8">
      <w:pPr>
        <w:rPr>
          <w:rFonts w:ascii="Arial" w:hAnsi="Arial" w:cs="Arial"/>
          <w:b/>
          <w:bCs/>
          <w:sz w:val="28"/>
          <w:szCs w:val="28"/>
        </w:rPr>
      </w:pPr>
    </w:p>
    <w:p w14:paraId="0084E05E" w14:textId="77777777" w:rsidR="00AB69A8" w:rsidRPr="00E95489" w:rsidRDefault="00AB69A8">
      <w:pPr>
        <w:rPr>
          <w:rFonts w:ascii="Arial" w:hAnsi="Arial" w:cs="Arial"/>
          <w:b/>
          <w:bCs/>
          <w:sz w:val="28"/>
          <w:szCs w:val="28"/>
        </w:rPr>
      </w:pPr>
    </w:p>
    <w:p w14:paraId="077B0567" w14:textId="77777777" w:rsidR="00944BBC" w:rsidRPr="00E95489" w:rsidRDefault="00944BBC">
      <w:pPr>
        <w:pStyle w:val="p1"/>
        <w:rPr>
          <w:rFonts w:ascii="Arial" w:hAnsi="Arial" w:cs="Arial"/>
          <w:b/>
          <w:bCs/>
          <w:sz w:val="28"/>
          <w:szCs w:val="28"/>
        </w:rPr>
      </w:pPr>
      <w:r w:rsidRPr="00E95489">
        <w:rPr>
          <w:rStyle w:val="s1"/>
          <w:rFonts w:ascii="Arial" w:hAnsi="Arial" w:cs="Arial"/>
          <w:sz w:val="28"/>
          <w:szCs w:val="28"/>
        </w:rPr>
        <w:t>EVALUATION AND CRITIQUE OF THEORY</w:t>
      </w:r>
    </w:p>
    <w:p w14:paraId="3FDA2A9D" w14:textId="77777777" w:rsidR="00D26E48" w:rsidRDefault="00D26E48">
      <w:pPr>
        <w:rPr>
          <w:rFonts w:ascii="Arial" w:hAnsi="Arial" w:cs="Arial"/>
          <w:b/>
          <w:bCs/>
          <w:sz w:val="28"/>
          <w:szCs w:val="28"/>
        </w:rPr>
      </w:pPr>
    </w:p>
    <w:p w14:paraId="351D01CB" w14:textId="77777777" w:rsidR="00083D27" w:rsidRPr="00083D27" w:rsidRDefault="00083D27" w:rsidP="00083D27">
      <w:pPr>
        <w:spacing w:after="0" w:line="240" w:lineRule="auto"/>
        <w:rPr>
          <w:rFonts w:ascii="Arial" w:hAnsi="Arial" w:cs="Arial"/>
          <w:kern w:val="0"/>
          <w14:ligatures w14:val="none"/>
        </w:rPr>
      </w:pPr>
      <w:r w:rsidRPr="00083D27">
        <w:rPr>
          <w:rFonts w:ascii="Arial" w:hAnsi="Arial" w:cs="Arial"/>
          <w:kern w:val="0"/>
          <w14:ligatures w14:val="none"/>
        </w:rPr>
        <w:t xml:space="preserve">Although the Working Memory Model provides a useful framework for understanding the errors observed in this case, it is important to recognise its limitations. One key issue is that the model may oversimplify complex human behaviour. While it offers a strong explanation in terms of cognitive load and attentional capacity, errors in healthcare settings are rarely caused by cognitive factors alone. Emotional influences such as stress, as well as social and organisational factors like team dynamics and workplace culture also play an important role. These aspects are not </w:t>
      </w:r>
      <w:r w:rsidRPr="00083D27">
        <w:rPr>
          <w:rFonts w:ascii="Arial" w:hAnsi="Arial" w:cs="Arial"/>
          <w:kern w:val="0"/>
          <w14:ligatures w14:val="none"/>
        </w:rPr>
        <w:lastRenderedPageBreak/>
        <w:t>fully accounted for within the Working Memory Model, which focuses mainly on internal cognitive processes.</w:t>
      </w:r>
    </w:p>
    <w:p w14:paraId="34DAA8F4" w14:textId="77777777" w:rsidR="00083D27" w:rsidRPr="00083D27" w:rsidRDefault="00083D27" w:rsidP="00083D27">
      <w:pPr>
        <w:spacing w:after="0" w:line="240" w:lineRule="auto"/>
        <w:rPr>
          <w:rFonts w:ascii="Arial" w:hAnsi="Arial" w:cs="Arial"/>
          <w:kern w:val="0"/>
          <w14:ligatures w14:val="none"/>
        </w:rPr>
      </w:pPr>
      <w:r w:rsidRPr="00083D27">
        <w:rPr>
          <w:rFonts w:ascii="Arial" w:hAnsi="Arial" w:cs="Arial"/>
          <w:kern w:val="0"/>
          <w14:ligatures w14:val="none"/>
        </w:rPr>
        <w:t>A further limitation is that the model places emphasis on individual cognition, which may lead to an underestimation of wider systemic issues. In this case factors such as staff shortages, increased workload, and long working hours were clearly significant contributors to the situation. Focusing too heavily on cognitive limitations risks overlooking these organisational problems, which may ultimately have a greater impact on behaviour and performance.</w:t>
      </w:r>
    </w:p>
    <w:p w14:paraId="43907B2C" w14:textId="77777777" w:rsidR="00083D27" w:rsidRPr="00083D27" w:rsidRDefault="00083D27" w:rsidP="00083D27">
      <w:pPr>
        <w:spacing w:after="0" w:line="240" w:lineRule="auto"/>
        <w:rPr>
          <w:rFonts w:ascii="Arial" w:hAnsi="Arial" w:cs="Arial"/>
          <w:kern w:val="0"/>
          <w14:ligatures w14:val="none"/>
        </w:rPr>
      </w:pPr>
      <w:r w:rsidRPr="00083D27">
        <w:rPr>
          <w:rFonts w:ascii="Arial" w:hAnsi="Arial" w:cs="Arial"/>
          <w:kern w:val="0"/>
          <w14:ligatures w14:val="none"/>
        </w:rPr>
        <w:t>In addition, other cognitive theories may offer useful alternative or complementary explanations. For example, Attentional Control Theory (Eysenck et al., 2007) highlights how anxiety can disrupt attention and reduce processing efficiency, which may be particularly relevant in high pressure healthcare environments. Similarly, Prospective Memory Theory (Gordon et all, 2000) helps explain failures in memory, to carry out intended actions, such as remembering to wash hands. These perspectives suggest that the Working Memory Model alone may not provide a complete explanation of the observed behaviour.</w:t>
      </w:r>
    </w:p>
    <w:p w14:paraId="18D21B5B" w14:textId="77777777" w:rsidR="00083D27" w:rsidRPr="00083D27" w:rsidRDefault="00083D27" w:rsidP="00083D27">
      <w:pPr>
        <w:spacing w:after="0" w:line="240" w:lineRule="auto"/>
        <w:rPr>
          <w:rFonts w:ascii="Arial" w:hAnsi="Arial" w:cs="Arial"/>
          <w:kern w:val="0"/>
          <w14:ligatures w14:val="none"/>
        </w:rPr>
      </w:pPr>
      <w:r w:rsidRPr="00083D27">
        <w:rPr>
          <w:rFonts w:ascii="Arial" w:hAnsi="Arial" w:cs="Arial"/>
          <w:kern w:val="0"/>
          <w14:ligatures w14:val="none"/>
        </w:rPr>
        <w:t>Although interventions based on the model, such as checklists and reminders, have been shown to improve performance, they are not without limitations. There is a risk that over reliance on external aids could lead to reduced personal responsibility or a decline in skill retention over time. Therefore, while the Working Memory Model is valuable, it should be used alongside other approaches to fully understand and address the issue.</w:t>
      </w:r>
    </w:p>
    <w:p w14:paraId="11CB1562" w14:textId="77777777" w:rsidR="00AB69A8" w:rsidRDefault="00AB69A8">
      <w:pPr>
        <w:rPr>
          <w:rFonts w:ascii="Arial" w:hAnsi="Arial" w:cs="Arial"/>
          <w:b/>
          <w:bCs/>
          <w:sz w:val="28"/>
          <w:szCs w:val="28"/>
        </w:rPr>
      </w:pPr>
    </w:p>
    <w:p w14:paraId="199EB2DD" w14:textId="77777777" w:rsidR="00AB69A8" w:rsidRDefault="00AB69A8">
      <w:pPr>
        <w:rPr>
          <w:rFonts w:ascii="Arial" w:hAnsi="Arial" w:cs="Arial"/>
          <w:b/>
          <w:bCs/>
          <w:sz w:val="28"/>
          <w:szCs w:val="28"/>
        </w:rPr>
      </w:pPr>
    </w:p>
    <w:p w14:paraId="5DE6ED5B" w14:textId="77777777" w:rsidR="00AB69A8" w:rsidRPr="00E95489" w:rsidRDefault="00AB69A8">
      <w:pPr>
        <w:rPr>
          <w:rFonts w:ascii="Arial" w:hAnsi="Arial" w:cs="Arial"/>
          <w:b/>
          <w:bCs/>
          <w:sz w:val="28"/>
          <w:szCs w:val="28"/>
        </w:rPr>
      </w:pPr>
    </w:p>
    <w:p w14:paraId="006FA09F" w14:textId="77777777" w:rsidR="00BC6665" w:rsidRPr="00E95489" w:rsidRDefault="00BC6665" w:rsidP="00BC6665">
      <w:pPr>
        <w:spacing w:after="0" w:line="240" w:lineRule="auto"/>
        <w:rPr>
          <w:rFonts w:ascii="Arial" w:hAnsi="Arial" w:cs="Arial"/>
          <w:b/>
          <w:bCs/>
          <w:kern w:val="0"/>
          <w:sz w:val="28"/>
          <w:szCs w:val="28"/>
          <w14:ligatures w14:val="none"/>
        </w:rPr>
      </w:pPr>
      <w:r w:rsidRPr="00E95489">
        <w:rPr>
          <w:rFonts w:ascii="Arial" w:hAnsi="Arial" w:cs="Arial"/>
          <w:b/>
          <w:bCs/>
          <w:kern w:val="0"/>
          <w:sz w:val="28"/>
          <w:szCs w:val="28"/>
          <w14:ligatures w14:val="none"/>
        </w:rPr>
        <w:t>CONCLUSION AND RECOMMENDATIONS</w:t>
      </w:r>
    </w:p>
    <w:p w14:paraId="1175EA71" w14:textId="77777777" w:rsidR="00944BBC" w:rsidRDefault="00944BBC">
      <w:pPr>
        <w:rPr>
          <w:rFonts w:ascii="Arial" w:hAnsi="Arial" w:cs="Arial"/>
          <w:b/>
          <w:bCs/>
          <w:sz w:val="28"/>
          <w:szCs w:val="28"/>
        </w:rPr>
      </w:pPr>
    </w:p>
    <w:p w14:paraId="18C2973E" w14:textId="77777777" w:rsidR="003F6BB7" w:rsidRPr="003F6BB7" w:rsidRDefault="003F6BB7" w:rsidP="003F6BB7">
      <w:pPr>
        <w:spacing w:after="0" w:line="240" w:lineRule="auto"/>
        <w:rPr>
          <w:rFonts w:ascii="Arial" w:hAnsi="Arial" w:cs="Arial"/>
          <w:kern w:val="0"/>
          <w14:ligatures w14:val="none"/>
        </w:rPr>
      </w:pPr>
      <w:r w:rsidRPr="003F6BB7">
        <w:rPr>
          <w:rFonts w:ascii="Arial" w:hAnsi="Arial" w:cs="Arial"/>
          <w:kern w:val="0"/>
          <w14:ligatures w14:val="none"/>
        </w:rPr>
        <w:t>In conclusion, the Working Memory Model provides a valuable framework for understanding the procedural failures observed in this case study. Cognitive overload, fatigue, and attentional limitations likely contributed to lapses in handwashing compliance, despite adequate training.</w:t>
      </w:r>
    </w:p>
    <w:p w14:paraId="7C30E668" w14:textId="77777777" w:rsidR="003F6BB7" w:rsidRPr="003F6BB7" w:rsidRDefault="003F6BB7" w:rsidP="003F6BB7">
      <w:pPr>
        <w:spacing w:after="0" w:line="240" w:lineRule="auto"/>
        <w:rPr>
          <w:rFonts w:ascii="Arial" w:hAnsi="Arial" w:cs="Arial"/>
          <w:kern w:val="0"/>
          <w14:ligatures w14:val="none"/>
        </w:rPr>
      </w:pPr>
      <w:r w:rsidRPr="003F6BB7">
        <w:rPr>
          <w:rFonts w:ascii="Arial" w:hAnsi="Arial" w:cs="Arial"/>
          <w:kern w:val="0"/>
          <w14:ligatures w14:val="none"/>
        </w:rPr>
        <w:t>The application of this theory highlights the importance of designing healthcare systems that account for human cognitive limitations. Suggested interventions, including checklists, workload management, and improved training, offer practical ways to reduce errors.</w:t>
      </w:r>
    </w:p>
    <w:p w14:paraId="7B042F85" w14:textId="77777777" w:rsidR="003F6BB7" w:rsidRPr="003F6BB7" w:rsidRDefault="003F6BB7" w:rsidP="003F6BB7">
      <w:pPr>
        <w:spacing w:after="0" w:line="240" w:lineRule="auto"/>
        <w:rPr>
          <w:rFonts w:ascii="Arial" w:hAnsi="Arial" w:cs="Arial"/>
          <w:kern w:val="0"/>
          <w14:ligatures w14:val="none"/>
        </w:rPr>
      </w:pPr>
      <w:r w:rsidRPr="003F6BB7">
        <w:rPr>
          <w:rFonts w:ascii="Arial" w:hAnsi="Arial" w:cs="Arial"/>
          <w:kern w:val="0"/>
          <w14:ligatures w14:val="none"/>
        </w:rPr>
        <w:t>However, it is essential to recognise that cognitive theory alone cannot fully address such complex issues. A  holistic approach that considers organisational, social, and emotional factors is necessary.</w:t>
      </w:r>
    </w:p>
    <w:p w14:paraId="6A9FF860" w14:textId="77777777" w:rsidR="003F6BB7" w:rsidRPr="003F6BB7" w:rsidRDefault="003F6BB7" w:rsidP="003F6BB7">
      <w:pPr>
        <w:spacing w:after="0" w:line="240" w:lineRule="auto"/>
        <w:rPr>
          <w:rFonts w:ascii="Arial" w:hAnsi="Arial" w:cs="Arial"/>
          <w:kern w:val="0"/>
          <w14:ligatures w14:val="none"/>
        </w:rPr>
      </w:pPr>
      <w:r w:rsidRPr="003F6BB7">
        <w:rPr>
          <w:rFonts w:ascii="Arial" w:hAnsi="Arial" w:cs="Arial"/>
          <w:kern w:val="0"/>
          <w14:ligatures w14:val="none"/>
        </w:rPr>
        <w:t>Future strategies should focus on integrating cognitive insights with systemic improvements to enhance both patient safety and staff wellbeing.</w:t>
      </w:r>
    </w:p>
    <w:p w14:paraId="45045C5A" w14:textId="67E5FDEA" w:rsidR="003F6BB7" w:rsidRDefault="003F6BB7">
      <w:pPr>
        <w:rPr>
          <w:rFonts w:ascii="Arial" w:hAnsi="Arial" w:cs="Arial"/>
        </w:rPr>
      </w:pPr>
    </w:p>
    <w:p w14:paraId="3EA4AFDA" w14:textId="77777777" w:rsidR="003F6BB7" w:rsidRDefault="003F6BB7">
      <w:pPr>
        <w:rPr>
          <w:rFonts w:ascii="Arial" w:hAnsi="Arial" w:cs="Arial"/>
        </w:rPr>
      </w:pPr>
    </w:p>
    <w:p w14:paraId="123D5E4A" w14:textId="77777777" w:rsidR="003F6BB7" w:rsidRDefault="003F6BB7">
      <w:pPr>
        <w:rPr>
          <w:rFonts w:ascii="Arial" w:hAnsi="Arial" w:cs="Arial"/>
        </w:rPr>
      </w:pPr>
    </w:p>
    <w:p w14:paraId="57C44035" w14:textId="77777777" w:rsidR="003F6BB7" w:rsidRDefault="003F6BB7">
      <w:pPr>
        <w:rPr>
          <w:rFonts w:ascii="Arial" w:hAnsi="Arial" w:cs="Arial"/>
        </w:rPr>
      </w:pPr>
    </w:p>
    <w:p w14:paraId="700A2A2F" w14:textId="0AC28DCA" w:rsidR="003F6BB7" w:rsidRDefault="003F6BB7">
      <w:pPr>
        <w:rPr>
          <w:rFonts w:ascii="Arial" w:hAnsi="Arial" w:cs="Arial"/>
          <w:b/>
          <w:bCs/>
          <w:kern w:val="0"/>
          <w:sz w:val="28"/>
          <w:szCs w:val="28"/>
          <w14:ligatures w14:val="none"/>
        </w:rPr>
      </w:pPr>
      <w:r w:rsidRPr="00E95489">
        <w:rPr>
          <w:rFonts w:ascii="Arial" w:hAnsi="Arial" w:cs="Arial"/>
          <w:b/>
          <w:bCs/>
          <w:kern w:val="0"/>
          <w:sz w:val="28"/>
          <w:szCs w:val="28"/>
          <w14:ligatures w14:val="none"/>
        </w:rPr>
        <w:lastRenderedPageBreak/>
        <w:t>RE</w:t>
      </w:r>
      <w:r>
        <w:rPr>
          <w:rFonts w:ascii="Arial" w:hAnsi="Arial" w:cs="Arial"/>
          <w:b/>
          <w:bCs/>
          <w:kern w:val="0"/>
          <w:sz w:val="28"/>
          <w:szCs w:val="28"/>
          <w14:ligatures w14:val="none"/>
        </w:rPr>
        <w:t>FERENCES</w:t>
      </w:r>
    </w:p>
    <w:p w14:paraId="253F5665" w14:textId="77777777" w:rsidR="003F6BB7" w:rsidRDefault="003F6BB7">
      <w:pPr>
        <w:rPr>
          <w:rFonts w:ascii="Arial" w:hAnsi="Arial" w:cs="Arial"/>
          <w:b/>
          <w:bCs/>
          <w:kern w:val="0"/>
          <w:sz w:val="28"/>
          <w:szCs w:val="28"/>
          <w14:ligatures w14:val="none"/>
        </w:rPr>
      </w:pPr>
    </w:p>
    <w:p w14:paraId="100CB852" w14:textId="77777777" w:rsidR="009876BF" w:rsidRPr="009876BF" w:rsidRDefault="009876BF" w:rsidP="009876BF">
      <w:pPr>
        <w:spacing w:after="0" w:line="240" w:lineRule="auto"/>
        <w:rPr>
          <w:rFonts w:ascii="Arial" w:hAnsi="Arial" w:cs="Arial"/>
          <w:kern w:val="0"/>
          <w14:ligatures w14:val="none"/>
        </w:rPr>
      </w:pPr>
      <w:r w:rsidRPr="009876BF">
        <w:rPr>
          <w:rFonts w:ascii="Arial" w:hAnsi="Arial" w:cs="Arial"/>
          <w:kern w:val="0"/>
          <w14:ligatures w14:val="none"/>
        </w:rPr>
        <w:t xml:space="preserve">Baddeley, A. D. (2000). The episodic buffer: A new component of working memory? Trends in Cognitive Sciences, 4(11), 417–423.  </w:t>
      </w:r>
      <w:hyperlink r:id="rId4" w:history="1">
        <w:r w:rsidRPr="009876BF">
          <w:rPr>
            <w:rFonts w:ascii="Arial" w:hAnsi="Arial" w:cs="Arial"/>
            <w:color w:val="0000FF"/>
            <w:kern w:val="0"/>
            <w:u w:val="single"/>
            <w14:ligatures w14:val="none"/>
          </w:rPr>
          <w:t>https://www.cell.com/trends/cognitive-sciences/fulltext/S1364-6613(00)01538-2?_returnURL=https%3A%2F%2Flinkinghub.elsevier.com%2Fretrieve%2Fpii%2FS1364661300015382%3Fshowall%3Dtrue</w:t>
        </w:r>
      </w:hyperlink>
    </w:p>
    <w:p w14:paraId="5307D676" w14:textId="77777777" w:rsidR="009876BF" w:rsidRPr="009876BF" w:rsidRDefault="009876BF" w:rsidP="009876BF">
      <w:pPr>
        <w:spacing w:after="0" w:line="240" w:lineRule="auto"/>
        <w:rPr>
          <w:rFonts w:ascii="Arial" w:hAnsi="Arial" w:cs="Arial"/>
          <w:kern w:val="0"/>
          <w14:ligatures w14:val="none"/>
        </w:rPr>
      </w:pPr>
    </w:p>
    <w:p w14:paraId="6EBB614E" w14:textId="77777777" w:rsidR="009876BF" w:rsidRPr="009876BF" w:rsidRDefault="009876BF" w:rsidP="009876BF">
      <w:pPr>
        <w:spacing w:after="0" w:line="240" w:lineRule="auto"/>
        <w:rPr>
          <w:rFonts w:ascii="Arial" w:hAnsi="Arial" w:cs="Arial"/>
          <w:kern w:val="0"/>
          <w14:ligatures w14:val="none"/>
        </w:rPr>
      </w:pPr>
      <w:r w:rsidRPr="009876BF">
        <w:rPr>
          <w:rFonts w:ascii="Arial" w:hAnsi="Arial" w:cs="Arial"/>
          <w:kern w:val="0"/>
          <w14:ligatures w14:val="none"/>
        </w:rPr>
        <w:t>Baddeley, A. D., &amp; Hitch, G. J. (1974). Working memory. In G. H. Bower (Ed.), The psychology of learning and motivation (Vol. 8, pp. 47–89). Academic Press.</w:t>
      </w:r>
      <w:hyperlink r:id="rId5" w:history="1">
        <w:r w:rsidRPr="009876BF">
          <w:rPr>
            <w:rFonts w:ascii="Arial" w:hAnsi="Arial" w:cs="Arial"/>
            <w:color w:val="0000FF"/>
            <w:kern w:val="0"/>
            <w:u w:val="single"/>
            <w14:ligatures w14:val="none"/>
          </w:rPr>
          <w:t xml:space="preserve"> https://www.scirp.org/reference/referencespapers?referenceid=1871266</w:t>
        </w:r>
      </w:hyperlink>
    </w:p>
    <w:p w14:paraId="2590D184" w14:textId="77777777" w:rsidR="009876BF" w:rsidRPr="009876BF" w:rsidRDefault="009876BF" w:rsidP="009876BF">
      <w:pPr>
        <w:spacing w:after="0" w:line="240" w:lineRule="auto"/>
        <w:rPr>
          <w:rFonts w:ascii="Arial" w:hAnsi="Arial" w:cs="Arial"/>
          <w:kern w:val="0"/>
          <w14:ligatures w14:val="none"/>
        </w:rPr>
      </w:pPr>
    </w:p>
    <w:p w14:paraId="3FC2893F" w14:textId="77777777" w:rsidR="009876BF" w:rsidRPr="009876BF" w:rsidRDefault="009876BF" w:rsidP="009876BF">
      <w:pPr>
        <w:spacing w:after="0" w:line="240" w:lineRule="auto"/>
        <w:rPr>
          <w:rFonts w:ascii="Arial" w:hAnsi="Arial" w:cs="Arial"/>
          <w:kern w:val="0"/>
          <w14:ligatures w14:val="none"/>
        </w:rPr>
      </w:pPr>
      <w:r w:rsidRPr="009876BF">
        <w:rPr>
          <w:rFonts w:ascii="Arial" w:hAnsi="Arial" w:cs="Arial"/>
          <w:kern w:val="0"/>
          <w14:ligatures w14:val="none"/>
        </w:rPr>
        <w:t>Carayon, P., &amp; Gürses, A. P. (2008). Nursing workload and patient safety—A human factors engineering perspective. In R. G. Hughes (Ed.), Patient safety and quality: An evidence-based handbook for nurses. Agency for Healthcare Research and Quality.</w:t>
      </w:r>
      <w:hyperlink r:id="rId6" w:history="1">
        <w:r w:rsidRPr="009876BF">
          <w:rPr>
            <w:rFonts w:ascii="Arial" w:hAnsi="Arial" w:cs="Arial"/>
            <w:color w:val="0000FF"/>
            <w:kern w:val="0"/>
            <w:u w:val="single"/>
            <w14:ligatures w14:val="none"/>
          </w:rPr>
          <w:t xml:space="preserve"> https://www.ncbi.nlm.nih.gov/books/NBK2657/</w:t>
        </w:r>
      </w:hyperlink>
    </w:p>
    <w:p w14:paraId="25181CFD" w14:textId="77777777" w:rsidR="009876BF" w:rsidRPr="009876BF" w:rsidRDefault="009876BF" w:rsidP="009876BF">
      <w:pPr>
        <w:spacing w:after="0" w:line="240" w:lineRule="auto"/>
        <w:rPr>
          <w:rFonts w:ascii="Arial" w:hAnsi="Arial" w:cs="Arial"/>
          <w:kern w:val="0"/>
          <w14:ligatures w14:val="none"/>
        </w:rPr>
      </w:pPr>
    </w:p>
    <w:p w14:paraId="291CED5A" w14:textId="77777777" w:rsidR="009876BF" w:rsidRPr="009876BF" w:rsidRDefault="009876BF" w:rsidP="009876BF">
      <w:pPr>
        <w:spacing w:after="0" w:line="240" w:lineRule="auto"/>
        <w:rPr>
          <w:rFonts w:ascii="Arial" w:hAnsi="Arial" w:cs="Arial"/>
          <w:kern w:val="0"/>
          <w14:ligatures w14:val="none"/>
        </w:rPr>
      </w:pPr>
      <w:r w:rsidRPr="009876BF">
        <w:rPr>
          <w:rFonts w:ascii="Arial" w:hAnsi="Arial" w:cs="Arial"/>
          <w:kern w:val="0"/>
          <w14:ligatures w14:val="none"/>
        </w:rPr>
        <w:t>Cowan, N. (2001). The magical number 4 in short-term memory. Behavioral and Brain Sciences, 24(1), 87–114.</w:t>
      </w:r>
      <w:hyperlink r:id="rId7" w:history="1">
        <w:r w:rsidRPr="009876BF">
          <w:rPr>
            <w:rFonts w:ascii="Arial" w:hAnsi="Arial" w:cs="Arial"/>
            <w:color w:val="0000FF"/>
            <w:kern w:val="0"/>
            <w:u w:val="single"/>
            <w14:ligatures w14:val="none"/>
          </w:rPr>
          <w:t xml:space="preserve"> https://pubmed.ncbi.nlm.nih.gov/11515286/</w:t>
        </w:r>
      </w:hyperlink>
    </w:p>
    <w:p w14:paraId="55CA6E8F" w14:textId="77777777" w:rsidR="009876BF" w:rsidRPr="009876BF" w:rsidRDefault="009876BF" w:rsidP="009876BF">
      <w:pPr>
        <w:spacing w:after="0" w:line="240" w:lineRule="auto"/>
        <w:rPr>
          <w:rFonts w:ascii="Arial" w:hAnsi="Arial" w:cs="Arial"/>
          <w:kern w:val="0"/>
          <w14:ligatures w14:val="none"/>
        </w:rPr>
      </w:pPr>
    </w:p>
    <w:p w14:paraId="52004E1F" w14:textId="77777777" w:rsidR="009876BF" w:rsidRPr="009876BF" w:rsidRDefault="009876BF" w:rsidP="009876BF">
      <w:pPr>
        <w:spacing w:after="0" w:line="240" w:lineRule="auto"/>
        <w:rPr>
          <w:rFonts w:ascii="Arial" w:hAnsi="Arial" w:cs="Arial"/>
          <w:kern w:val="0"/>
          <w14:ligatures w14:val="none"/>
        </w:rPr>
      </w:pPr>
      <w:r w:rsidRPr="009876BF">
        <w:rPr>
          <w:rFonts w:ascii="Arial" w:hAnsi="Arial" w:cs="Arial"/>
          <w:kern w:val="0"/>
          <w14:ligatures w14:val="none"/>
        </w:rPr>
        <w:t>Eysenck, M. W., Derakshan, N., Santos, R., &amp; Calvo, M. G. (2007). Anxiety and cognitive performance: Attentional control theory. Emotion, 7(2), 336–353.</w:t>
      </w:r>
      <w:hyperlink r:id="rId8" w:history="1">
        <w:r w:rsidRPr="009876BF">
          <w:rPr>
            <w:rFonts w:ascii="Arial" w:hAnsi="Arial" w:cs="Arial"/>
            <w:color w:val="0000FF"/>
            <w:kern w:val="0"/>
            <w:u w:val="single"/>
            <w14:ligatures w14:val="none"/>
          </w:rPr>
          <w:t xml:space="preserve"> https://pubmed.ncbi.nlm.nih.gov/17516812/</w:t>
        </w:r>
      </w:hyperlink>
    </w:p>
    <w:p w14:paraId="70C1E3DC" w14:textId="77777777" w:rsidR="009876BF" w:rsidRPr="009876BF" w:rsidRDefault="009876BF" w:rsidP="009876BF">
      <w:pPr>
        <w:spacing w:after="0" w:line="240" w:lineRule="auto"/>
        <w:rPr>
          <w:rFonts w:ascii="Arial" w:hAnsi="Arial" w:cs="Arial"/>
          <w:kern w:val="0"/>
          <w14:ligatures w14:val="none"/>
        </w:rPr>
      </w:pPr>
    </w:p>
    <w:p w14:paraId="594F5EA4" w14:textId="77777777" w:rsidR="009876BF" w:rsidRPr="009876BF" w:rsidRDefault="009876BF" w:rsidP="009876BF">
      <w:pPr>
        <w:spacing w:after="0" w:line="240" w:lineRule="auto"/>
        <w:rPr>
          <w:rFonts w:ascii="Arial" w:hAnsi="Arial" w:cs="Arial"/>
          <w:kern w:val="0"/>
          <w14:ligatures w14:val="none"/>
        </w:rPr>
      </w:pPr>
      <w:r w:rsidRPr="009876BF">
        <w:rPr>
          <w:rFonts w:ascii="Arial" w:hAnsi="Arial" w:cs="Arial"/>
          <w:kern w:val="0"/>
          <w14:ligatures w14:val="none"/>
        </w:rPr>
        <w:t>Gawande, A. (2009). The checklist manifesto: How to get things right. Metropolitan Books.</w:t>
      </w:r>
      <w:hyperlink r:id="rId9" w:history="1">
        <w:r w:rsidRPr="009876BF">
          <w:rPr>
            <w:rFonts w:ascii="Arial" w:hAnsi="Arial" w:cs="Arial"/>
            <w:color w:val="0000FF"/>
            <w:kern w:val="0"/>
            <w:u w:val="single"/>
            <w14:ligatures w14:val="none"/>
          </w:rPr>
          <w:t xml:space="preserve"> https://pmc.ncbi.nlm.nih.gov/articles/PMC3960713/</w:t>
        </w:r>
      </w:hyperlink>
    </w:p>
    <w:p w14:paraId="54EE8CD3" w14:textId="77777777" w:rsidR="009876BF" w:rsidRPr="009876BF" w:rsidRDefault="009876BF" w:rsidP="009876BF">
      <w:pPr>
        <w:spacing w:after="0" w:line="240" w:lineRule="auto"/>
        <w:rPr>
          <w:rFonts w:ascii="Arial" w:hAnsi="Arial" w:cs="Arial"/>
          <w:kern w:val="0"/>
          <w14:ligatures w14:val="none"/>
        </w:rPr>
      </w:pPr>
    </w:p>
    <w:p w14:paraId="5E9D4CEC" w14:textId="77777777" w:rsidR="009876BF" w:rsidRPr="009876BF" w:rsidRDefault="009876BF" w:rsidP="009876BF">
      <w:pPr>
        <w:spacing w:after="0" w:line="240" w:lineRule="auto"/>
        <w:rPr>
          <w:rFonts w:ascii="Arial" w:hAnsi="Arial" w:cs="Arial"/>
          <w:kern w:val="0"/>
          <w14:ligatures w14:val="none"/>
        </w:rPr>
      </w:pPr>
      <w:r w:rsidRPr="009876BF">
        <w:rPr>
          <w:rFonts w:ascii="Arial" w:hAnsi="Arial" w:cs="Arial"/>
          <w:kern w:val="0"/>
          <w14:ligatures w14:val="none"/>
        </w:rPr>
        <w:t>Gordon, B. A., Shelton, J. T., Bugg, J. M., McDaniel, M. A., &amp; Head, D. (2011). Structural correlates of prospective memory. Neuropsychologia, 49(14), 3795–3800.</w:t>
      </w:r>
      <w:hyperlink r:id="rId10" w:history="1">
        <w:r w:rsidRPr="009876BF">
          <w:rPr>
            <w:rFonts w:ascii="Arial" w:hAnsi="Arial" w:cs="Arial"/>
            <w:color w:val="0000FF"/>
            <w:kern w:val="0"/>
            <w:u w:val="single"/>
            <w14:ligatures w14:val="none"/>
          </w:rPr>
          <w:t xml:space="preserve"> https://pmc.ncbi.nlm.nih.gov/articles/PMC3244302/</w:t>
        </w:r>
      </w:hyperlink>
    </w:p>
    <w:p w14:paraId="539CE482" w14:textId="77777777" w:rsidR="009876BF" w:rsidRPr="009876BF" w:rsidRDefault="009876BF" w:rsidP="009876BF">
      <w:pPr>
        <w:spacing w:after="0" w:line="240" w:lineRule="auto"/>
        <w:rPr>
          <w:rFonts w:ascii="Arial" w:hAnsi="Arial" w:cs="Arial"/>
          <w:kern w:val="0"/>
          <w14:ligatures w14:val="none"/>
        </w:rPr>
      </w:pPr>
    </w:p>
    <w:p w14:paraId="44F722D9" w14:textId="77777777" w:rsidR="009876BF" w:rsidRPr="009876BF" w:rsidRDefault="009876BF" w:rsidP="009876BF">
      <w:pPr>
        <w:spacing w:after="0" w:line="240" w:lineRule="auto"/>
        <w:rPr>
          <w:rFonts w:ascii="Arial" w:hAnsi="Arial" w:cs="Arial"/>
          <w:kern w:val="0"/>
          <w14:ligatures w14:val="none"/>
        </w:rPr>
      </w:pPr>
      <w:r w:rsidRPr="009876BF">
        <w:rPr>
          <w:rFonts w:ascii="Arial" w:hAnsi="Arial" w:cs="Arial"/>
          <w:kern w:val="0"/>
          <w14:ligatures w14:val="none"/>
        </w:rPr>
        <w:t>Hockey, G. R. J. (1997). Compensatory control in the regulation of human performance. Biological Psychology, 45(1–3), 73–93.</w:t>
      </w:r>
      <w:hyperlink r:id="rId11" w:history="1">
        <w:r w:rsidRPr="009876BF">
          <w:rPr>
            <w:rFonts w:ascii="Arial" w:hAnsi="Arial" w:cs="Arial"/>
            <w:color w:val="0000FF"/>
            <w:kern w:val="0"/>
            <w:u w:val="single"/>
            <w14:ligatures w14:val="none"/>
          </w:rPr>
          <w:t xml:space="preserve"> https://pubmed.ncbi.nlm.nih.gov/9083645/</w:t>
        </w:r>
      </w:hyperlink>
    </w:p>
    <w:p w14:paraId="5800AD95" w14:textId="77777777" w:rsidR="009876BF" w:rsidRPr="009876BF" w:rsidRDefault="009876BF" w:rsidP="009876BF">
      <w:pPr>
        <w:spacing w:after="0" w:line="240" w:lineRule="auto"/>
        <w:rPr>
          <w:rFonts w:ascii="Arial" w:hAnsi="Arial" w:cs="Arial"/>
          <w:kern w:val="0"/>
          <w14:ligatures w14:val="none"/>
        </w:rPr>
      </w:pPr>
    </w:p>
    <w:p w14:paraId="2D10034C" w14:textId="77777777" w:rsidR="009876BF" w:rsidRPr="009876BF" w:rsidRDefault="009876BF" w:rsidP="009876BF">
      <w:pPr>
        <w:spacing w:after="0" w:line="240" w:lineRule="auto"/>
        <w:rPr>
          <w:rFonts w:ascii="Arial" w:hAnsi="Arial" w:cs="Arial"/>
          <w:kern w:val="0"/>
          <w14:ligatures w14:val="none"/>
        </w:rPr>
      </w:pPr>
      <w:r w:rsidRPr="009876BF">
        <w:rPr>
          <w:rFonts w:ascii="Arial" w:hAnsi="Arial" w:cs="Arial"/>
          <w:kern w:val="0"/>
          <w14:ligatures w14:val="none"/>
        </w:rPr>
        <w:t>Lim, J., &amp; Dinges, D. F. (2010). A meta-analysis of the impact of short-term sleep deprivation on cognitive variables. Psychological Bulletin, 136(3), 375–389.</w:t>
      </w:r>
      <w:hyperlink r:id="rId12" w:history="1">
        <w:r w:rsidRPr="009876BF">
          <w:rPr>
            <w:rFonts w:ascii="Arial" w:hAnsi="Arial" w:cs="Arial"/>
            <w:color w:val="0000FF"/>
            <w:kern w:val="0"/>
            <w:u w:val="single"/>
            <w14:ligatures w14:val="none"/>
          </w:rPr>
          <w:t xml:space="preserve"> https://pubmed.ncbi.nlm.nih.gov/20438143/</w:t>
        </w:r>
      </w:hyperlink>
    </w:p>
    <w:p w14:paraId="5A5B501A" w14:textId="77777777" w:rsidR="009876BF" w:rsidRPr="009876BF" w:rsidRDefault="009876BF" w:rsidP="009876BF">
      <w:pPr>
        <w:spacing w:after="0" w:line="240" w:lineRule="auto"/>
        <w:rPr>
          <w:rFonts w:ascii="Arial" w:hAnsi="Arial" w:cs="Arial"/>
          <w:kern w:val="0"/>
          <w14:ligatures w14:val="none"/>
        </w:rPr>
      </w:pPr>
    </w:p>
    <w:p w14:paraId="7C1CD8F2" w14:textId="77777777" w:rsidR="009876BF" w:rsidRPr="009876BF" w:rsidRDefault="009876BF" w:rsidP="009876BF">
      <w:pPr>
        <w:spacing w:after="0" w:line="240" w:lineRule="auto"/>
        <w:rPr>
          <w:rFonts w:ascii="Arial" w:hAnsi="Arial" w:cs="Arial"/>
          <w:kern w:val="0"/>
          <w14:ligatures w14:val="none"/>
        </w:rPr>
      </w:pPr>
      <w:r w:rsidRPr="009876BF">
        <w:rPr>
          <w:rFonts w:ascii="Arial" w:hAnsi="Arial" w:cs="Arial"/>
          <w:kern w:val="0"/>
          <w14:ligatures w14:val="none"/>
        </w:rPr>
        <w:t>Reason, J. (1990). Human error. Cambridge University Press.</w:t>
      </w:r>
      <w:hyperlink r:id="rId13" w:history="1">
        <w:r w:rsidRPr="009876BF">
          <w:rPr>
            <w:rFonts w:ascii="Arial" w:hAnsi="Arial" w:cs="Arial"/>
            <w:color w:val="0000FF"/>
            <w:kern w:val="0"/>
            <w:u w:val="single"/>
            <w14:ligatures w14:val="none"/>
          </w:rPr>
          <w:t xml:space="preserve"> https://psycnet.apa.org/record/1991-97559-000</w:t>
        </w:r>
      </w:hyperlink>
    </w:p>
    <w:p w14:paraId="79BBC481" w14:textId="77777777" w:rsidR="009876BF" w:rsidRPr="009876BF" w:rsidRDefault="009876BF" w:rsidP="009876BF">
      <w:pPr>
        <w:spacing w:after="0" w:line="240" w:lineRule="auto"/>
        <w:rPr>
          <w:rFonts w:ascii="Arial" w:hAnsi="Arial" w:cs="Arial"/>
          <w:kern w:val="0"/>
          <w14:ligatures w14:val="none"/>
        </w:rPr>
      </w:pPr>
    </w:p>
    <w:p w14:paraId="336E8E29" w14:textId="77777777" w:rsidR="009876BF" w:rsidRPr="009876BF" w:rsidRDefault="009876BF" w:rsidP="009876BF">
      <w:pPr>
        <w:spacing w:after="0" w:line="240" w:lineRule="auto"/>
        <w:rPr>
          <w:rFonts w:ascii="Arial" w:hAnsi="Arial" w:cs="Arial"/>
          <w:kern w:val="0"/>
          <w14:ligatures w14:val="none"/>
        </w:rPr>
      </w:pPr>
      <w:r w:rsidRPr="009876BF">
        <w:rPr>
          <w:rFonts w:ascii="Arial" w:hAnsi="Arial" w:cs="Arial"/>
          <w:kern w:val="0"/>
          <w14:ligatures w14:val="none"/>
        </w:rPr>
        <w:t>Sweller, J. (1988). Cognitive load during problem solving. Cognitive Science, 12(2), 257–285.</w:t>
      </w:r>
      <w:hyperlink r:id="rId14" w:history="1">
        <w:r w:rsidRPr="009876BF">
          <w:rPr>
            <w:rFonts w:ascii="Arial" w:hAnsi="Arial" w:cs="Arial"/>
            <w:color w:val="0000FF"/>
            <w:kern w:val="0"/>
            <w:u w:val="single"/>
            <w14:ligatures w14:val="none"/>
          </w:rPr>
          <w:t xml:space="preserve"> https://psycnet.apa.org/record/1989-15124-001</w:t>
        </w:r>
      </w:hyperlink>
    </w:p>
    <w:p w14:paraId="33509A21" w14:textId="77777777" w:rsidR="009876BF" w:rsidRPr="009876BF" w:rsidRDefault="009876BF" w:rsidP="009876BF">
      <w:pPr>
        <w:spacing w:after="0" w:line="240" w:lineRule="auto"/>
        <w:rPr>
          <w:rFonts w:ascii="Arial" w:hAnsi="Arial" w:cs="Arial"/>
          <w:kern w:val="0"/>
          <w14:ligatures w14:val="none"/>
        </w:rPr>
      </w:pPr>
    </w:p>
    <w:p w14:paraId="3635B8A8" w14:textId="77777777" w:rsidR="009876BF" w:rsidRPr="009876BF" w:rsidRDefault="009876BF" w:rsidP="009876BF">
      <w:pPr>
        <w:spacing w:after="0" w:line="240" w:lineRule="auto"/>
        <w:rPr>
          <w:rFonts w:ascii="Arial" w:hAnsi="Arial" w:cs="Arial"/>
          <w:kern w:val="0"/>
          <w14:ligatures w14:val="none"/>
        </w:rPr>
      </w:pPr>
      <w:r w:rsidRPr="009876BF">
        <w:rPr>
          <w:rFonts w:ascii="Arial" w:hAnsi="Arial" w:cs="Arial"/>
          <w:kern w:val="0"/>
          <w14:ligatures w14:val="none"/>
        </w:rPr>
        <w:t xml:space="preserve">Westbrook, J. I., Woods, A., Rob, M. I., Dunsmuir, W. T. M., &amp; Day, R. O. (2010). Association of interruptions with increased risk and severity of medication </w:t>
      </w:r>
      <w:r w:rsidRPr="009876BF">
        <w:rPr>
          <w:rFonts w:ascii="Arial" w:hAnsi="Arial" w:cs="Arial"/>
          <w:kern w:val="0"/>
          <w14:ligatures w14:val="none"/>
        </w:rPr>
        <w:lastRenderedPageBreak/>
        <w:t>administration errors. Archives of Internal Medicine, 170(8), 683–690.</w:t>
      </w:r>
      <w:hyperlink r:id="rId15" w:history="1">
        <w:r w:rsidRPr="009876BF">
          <w:rPr>
            <w:rFonts w:ascii="Arial" w:hAnsi="Arial" w:cs="Arial"/>
            <w:color w:val="0000FF"/>
            <w:kern w:val="0"/>
            <w:u w:val="single"/>
            <w14:ligatures w14:val="none"/>
          </w:rPr>
          <w:t xml:space="preserve"> https://pubmed.ncbi.nlm.nih.gov/20421552/</w:t>
        </w:r>
      </w:hyperlink>
    </w:p>
    <w:p w14:paraId="428E1763" w14:textId="77777777" w:rsidR="003F6BB7" w:rsidRDefault="003F6BB7">
      <w:pPr>
        <w:rPr>
          <w:rFonts w:ascii="Arial" w:hAnsi="Arial" w:cs="Arial"/>
        </w:rPr>
      </w:pPr>
    </w:p>
    <w:p w14:paraId="1F5D91E0" w14:textId="77777777" w:rsidR="009876BF" w:rsidRDefault="009876BF">
      <w:pPr>
        <w:rPr>
          <w:rFonts w:ascii="Arial" w:hAnsi="Arial" w:cs="Arial"/>
        </w:rPr>
      </w:pPr>
    </w:p>
    <w:p w14:paraId="3CBA8851" w14:textId="77777777" w:rsidR="009876BF" w:rsidRDefault="009876BF">
      <w:pPr>
        <w:rPr>
          <w:rFonts w:ascii="Arial" w:hAnsi="Arial" w:cs="Arial"/>
        </w:rPr>
      </w:pPr>
    </w:p>
    <w:p w14:paraId="03DB074C" w14:textId="77777777" w:rsidR="009876BF" w:rsidRDefault="009876BF">
      <w:pPr>
        <w:rPr>
          <w:rFonts w:ascii="Arial" w:hAnsi="Arial" w:cs="Arial"/>
        </w:rPr>
      </w:pPr>
    </w:p>
    <w:p w14:paraId="77AC16B3" w14:textId="77777777" w:rsidR="009876BF" w:rsidRDefault="009876BF">
      <w:pPr>
        <w:rPr>
          <w:rFonts w:ascii="Arial" w:hAnsi="Arial" w:cs="Arial"/>
        </w:rPr>
      </w:pPr>
    </w:p>
    <w:p w14:paraId="4CE76571" w14:textId="77777777" w:rsidR="009876BF" w:rsidRDefault="009876BF">
      <w:pPr>
        <w:rPr>
          <w:rFonts w:ascii="Arial" w:hAnsi="Arial" w:cs="Arial"/>
        </w:rPr>
      </w:pPr>
    </w:p>
    <w:p w14:paraId="720CDBB7" w14:textId="77777777" w:rsidR="009876BF" w:rsidRDefault="009876BF">
      <w:pPr>
        <w:rPr>
          <w:rFonts w:ascii="Arial" w:hAnsi="Arial" w:cs="Arial"/>
        </w:rPr>
      </w:pPr>
    </w:p>
    <w:p w14:paraId="649FFD08" w14:textId="77777777" w:rsidR="009876BF" w:rsidRDefault="009876BF">
      <w:pPr>
        <w:rPr>
          <w:rFonts w:ascii="Arial" w:hAnsi="Arial" w:cs="Arial"/>
        </w:rPr>
      </w:pPr>
    </w:p>
    <w:p w14:paraId="6C8B7758" w14:textId="77777777" w:rsidR="009876BF" w:rsidRDefault="009876BF">
      <w:pPr>
        <w:rPr>
          <w:rFonts w:ascii="Arial" w:hAnsi="Arial" w:cs="Arial"/>
        </w:rPr>
      </w:pPr>
    </w:p>
    <w:p w14:paraId="4B947C76" w14:textId="77777777" w:rsidR="009876BF" w:rsidRDefault="009876BF">
      <w:pPr>
        <w:rPr>
          <w:rFonts w:ascii="Arial" w:hAnsi="Arial" w:cs="Arial"/>
        </w:rPr>
      </w:pPr>
    </w:p>
    <w:p w14:paraId="795CCC3E" w14:textId="77777777" w:rsidR="009876BF" w:rsidRDefault="009876BF">
      <w:pPr>
        <w:rPr>
          <w:rFonts w:ascii="Arial" w:hAnsi="Arial" w:cs="Arial"/>
        </w:rPr>
      </w:pPr>
    </w:p>
    <w:p w14:paraId="3E09C988" w14:textId="77777777" w:rsidR="009876BF" w:rsidRDefault="009876BF">
      <w:pPr>
        <w:rPr>
          <w:rFonts w:ascii="Arial" w:hAnsi="Arial" w:cs="Arial"/>
        </w:rPr>
      </w:pPr>
    </w:p>
    <w:p w14:paraId="4BAAFACC" w14:textId="77777777" w:rsidR="009876BF" w:rsidRDefault="009876BF">
      <w:pPr>
        <w:rPr>
          <w:rFonts w:ascii="Arial" w:hAnsi="Arial" w:cs="Arial"/>
        </w:rPr>
      </w:pPr>
    </w:p>
    <w:p w14:paraId="18C88100" w14:textId="77777777" w:rsidR="009876BF" w:rsidRDefault="009876BF">
      <w:pPr>
        <w:rPr>
          <w:rFonts w:ascii="Arial" w:hAnsi="Arial" w:cs="Arial"/>
        </w:rPr>
      </w:pPr>
    </w:p>
    <w:p w14:paraId="0DB061B8" w14:textId="77777777" w:rsidR="009876BF" w:rsidRDefault="009876BF">
      <w:pPr>
        <w:rPr>
          <w:rFonts w:ascii="Arial" w:hAnsi="Arial" w:cs="Arial"/>
        </w:rPr>
      </w:pPr>
    </w:p>
    <w:p w14:paraId="49DE6AF6" w14:textId="77777777" w:rsidR="009876BF" w:rsidRDefault="009876BF">
      <w:pPr>
        <w:rPr>
          <w:rFonts w:ascii="Arial" w:hAnsi="Arial" w:cs="Arial"/>
        </w:rPr>
      </w:pPr>
    </w:p>
    <w:p w14:paraId="25CD07F7" w14:textId="77777777" w:rsidR="009876BF" w:rsidRDefault="009876BF">
      <w:pPr>
        <w:rPr>
          <w:rFonts w:ascii="Arial" w:hAnsi="Arial" w:cs="Arial"/>
        </w:rPr>
      </w:pPr>
    </w:p>
    <w:p w14:paraId="2439E87F" w14:textId="77777777" w:rsidR="009876BF" w:rsidRDefault="009876BF">
      <w:pPr>
        <w:rPr>
          <w:rFonts w:ascii="Arial" w:hAnsi="Arial" w:cs="Arial"/>
        </w:rPr>
      </w:pPr>
    </w:p>
    <w:p w14:paraId="75436EAB" w14:textId="77777777" w:rsidR="009876BF" w:rsidRDefault="009876BF">
      <w:pPr>
        <w:rPr>
          <w:rFonts w:ascii="Arial" w:hAnsi="Arial" w:cs="Arial"/>
        </w:rPr>
      </w:pPr>
    </w:p>
    <w:p w14:paraId="20C6775E" w14:textId="77777777" w:rsidR="009876BF" w:rsidRDefault="009876BF">
      <w:pPr>
        <w:rPr>
          <w:rFonts w:ascii="Arial" w:hAnsi="Arial" w:cs="Arial"/>
        </w:rPr>
      </w:pPr>
    </w:p>
    <w:p w14:paraId="78DA1A7E" w14:textId="77777777" w:rsidR="009876BF" w:rsidRDefault="009876BF">
      <w:pPr>
        <w:rPr>
          <w:rFonts w:ascii="Arial" w:hAnsi="Arial" w:cs="Arial"/>
        </w:rPr>
      </w:pPr>
    </w:p>
    <w:p w14:paraId="7D3C0AFB" w14:textId="77777777" w:rsidR="009876BF" w:rsidRDefault="009876BF">
      <w:pPr>
        <w:rPr>
          <w:rFonts w:ascii="Arial" w:hAnsi="Arial" w:cs="Arial"/>
        </w:rPr>
      </w:pPr>
    </w:p>
    <w:p w14:paraId="1CFF2E64" w14:textId="77777777" w:rsidR="009876BF" w:rsidRDefault="009876BF">
      <w:pPr>
        <w:rPr>
          <w:rFonts w:ascii="Arial" w:hAnsi="Arial" w:cs="Arial"/>
        </w:rPr>
      </w:pPr>
    </w:p>
    <w:p w14:paraId="0C1DBAA8" w14:textId="77777777" w:rsidR="009876BF" w:rsidRDefault="009876BF">
      <w:pPr>
        <w:rPr>
          <w:rFonts w:ascii="Arial" w:hAnsi="Arial" w:cs="Arial"/>
        </w:rPr>
      </w:pPr>
    </w:p>
    <w:p w14:paraId="547DC35F" w14:textId="77777777" w:rsidR="009876BF" w:rsidRDefault="009876BF">
      <w:pPr>
        <w:rPr>
          <w:rFonts w:ascii="Arial" w:hAnsi="Arial" w:cs="Arial"/>
        </w:rPr>
      </w:pPr>
    </w:p>
    <w:p w14:paraId="249736A1" w14:textId="77777777" w:rsidR="009876BF" w:rsidRDefault="009876BF">
      <w:pPr>
        <w:rPr>
          <w:rFonts w:ascii="Arial" w:hAnsi="Arial" w:cs="Arial"/>
        </w:rPr>
      </w:pPr>
    </w:p>
    <w:p w14:paraId="1A4D366F" w14:textId="77777777" w:rsidR="009876BF" w:rsidRDefault="009876BF">
      <w:pPr>
        <w:rPr>
          <w:rFonts w:ascii="Arial" w:hAnsi="Arial" w:cs="Arial"/>
        </w:rPr>
      </w:pPr>
    </w:p>
    <w:p w14:paraId="439AF25D" w14:textId="77777777" w:rsidR="009876BF" w:rsidRDefault="009876BF">
      <w:pPr>
        <w:rPr>
          <w:rFonts w:ascii="Arial" w:hAnsi="Arial" w:cs="Arial"/>
        </w:rPr>
      </w:pPr>
    </w:p>
    <w:p w14:paraId="7774B6DC" w14:textId="3EFEC34D" w:rsidR="009876BF" w:rsidRPr="009876BF" w:rsidRDefault="009876BF">
      <w:pPr>
        <w:rPr>
          <w:rFonts w:ascii="Arial" w:hAnsi="Arial" w:cs="Arial"/>
        </w:rPr>
      </w:pPr>
      <w:r>
        <w:rPr>
          <w:rFonts w:ascii="Arial" w:hAnsi="Arial" w:cs="Arial"/>
        </w:rPr>
        <w:lastRenderedPageBreak/>
        <w:t>No AI was used in the formulation or creation of this work</w:t>
      </w:r>
    </w:p>
    <w:sectPr w:rsidR="009876BF" w:rsidRPr="009876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9BD"/>
    <w:rsid w:val="00083D27"/>
    <w:rsid w:val="002F4645"/>
    <w:rsid w:val="00343DAF"/>
    <w:rsid w:val="003F6BB7"/>
    <w:rsid w:val="0075746B"/>
    <w:rsid w:val="007B6296"/>
    <w:rsid w:val="00801BD4"/>
    <w:rsid w:val="00806246"/>
    <w:rsid w:val="00823271"/>
    <w:rsid w:val="008A45C5"/>
    <w:rsid w:val="00944BBC"/>
    <w:rsid w:val="0098140B"/>
    <w:rsid w:val="009876BF"/>
    <w:rsid w:val="009D37F2"/>
    <w:rsid w:val="00A5505B"/>
    <w:rsid w:val="00AB69A8"/>
    <w:rsid w:val="00AE4039"/>
    <w:rsid w:val="00BC6023"/>
    <w:rsid w:val="00BC6665"/>
    <w:rsid w:val="00C219BD"/>
    <w:rsid w:val="00CC0694"/>
    <w:rsid w:val="00D26E48"/>
    <w:rsid w:val="00DF0D6C"/>
    <w:rsid w:val="00E95489"/>
    <w:rsid w:val="00EE44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80B42F"/>
  <w15:chartTrackingRefBased/>
  <w15:docId w15:val="{E22B50CF-2EC3-7C40-BB3E-017A2DA38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19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19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19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19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19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19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19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19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19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19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19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19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19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19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19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19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19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19BD"/>
    <w:rPr>
      <w:rFonts w:eastAsiaTheme="majorEastAsia" w:cstheme="majorBidi"/>
      <w:color w:val="272727" w:themeColor="text1" w:themeTint="D8"/>
    </w:rPr>
  </w:style>
  <w:style w:type="paragraph" w:styleId="Title">
    <w:name w:val="Title"/>
    <w:basedOn w:val="Normal"/>
    <w:next w:val="Normal"/>
    <w:link w:val="TitleChar"/>
    <w:uiPriority w:val="10"/>
    <w:qFormat/>
    <w:rsid w:val="00C219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19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19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19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19BD"/>
    <w:pPr>
      <w:spacing w:before="160"/>
      <w:jc w:val="center"/>
    </w:pPr>
    <w:rPr>
      <w:i/>
      <w:iCs/>
      <w:color w:val="404040" w:themeColor="text1" w:themeTint="BF"/>
    </w:rPr>
  </w:style>
  <w:style w:type="character" w:customStyle="1" w:styleId="QuoteChar">
    <w:name w:val="Quote Char"/>
    <w:basedOn w:val="DefaultParagraphFont"/>
    <w:link w:val="Quote"/>
    <w:uiPriority w:val="29"/>
    <w:rsid w:val="00C219BD"/>
    <w:rPr>
      <w:i/>
      <w:iCs/>
      <w:color w:val="404040" w:themeColor="text1" w:themeTint="BF"/>
    </w:rPr>
  </w:style>
  <w:style w:type="paragraph" w:styleId="ListParagraph">
    <w:name w:val="List Paragraph"/>
    <w:basedOn w:val="Normal"/>
    <w:uiPriority w:val="34"/>
    <w:qFormat/>
    <w:rsid w:val="00C219BD"/>
    <w:pPr>
      <w:ind w:left="720"/>
      <w:contextualSpacing/>
    </w:pPr>
  </w:style>
  <w:style w:type="character" w:styleId="IntenseEmphasis">
    <w:name w:val="Intense Emphasis"/>
    <w:basedOn w:val="DefaultParagraphFont"/>
    <w:uiPriority w:val="21"/>
    <w:qFormat/>
    <w:rsid w:val="00C219BD"/>
    <w:rPr>
      <w:i/>
      <w:iCs/>
      <w:color w:val="0F4761" w:themeColor="accent1" w:themeShade="BF"/>
    </w:rPr>
  </w:style>
  <w:style w:type="paragraph" w:styleId="IntenseQuote">
    <w:name w:val="Intense Quote"/>
    <w:basedOn w:val="Normal"/>
    <w:next w:val="Normal"/>
    <w:link w:val="IntenseQuoteChar"/>
    <w:uiPriority w:val="30"/>
    <w:qFormat/>
    <w:rsid w:val="00C219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19BD"/>
    <w:rPr>
      <w:i/>
      <w:iCs/>
      <w:color w:val="0F4761" w:themeColor="accent1" w:themeShade="BF"/>
    </w:rPr>
  </w:style>
  <w:style w:type="character" w:styleId="IntenseReference">
    <w:name w:val="Intense Reference"/>
    <w:basedOn w:val="DefaultParagraphFont"/>
    <w:uiPriority w:val="32"/>
    <w:qFormat/>
    <w:rsid w:val="00C219BD"/>
    <w:rPr>
      <w:b/>
      <w:bCs/>
      <w:smallCaps/>
      <w:color w:val="0F4761" w:themeColor="accent1" w:themeShade="BF"/>
      <w:spacing w:val="5"/>
    </w:rPr>
  </w:style>
  <w:style w:type="paragraph" w:customStyle="1" w:styleId="p1">
    <w:name w:val="p1"/>
    <w:basedOn w:val="Normal"/>
    <w:rsid w:val="00C219BD"/>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C219BD"/>
    <w:rPr>
      <w:rFonts w:ascii="UICTFontTextStyleEmphasizedBody" w:hAnsi="UICTFontTextStyleEmphasizedBody" w:hint="default"/>
      <w:b/>
      <w:bCs/>
      <w:i w:val="0"/>
      <w:iCs w:val="0"/>
      <w:sz w:val="26"/>
      <w:szCs w:val="26"/>
    </w:rPr>
  </w:style>
  <w:style w:type="paragraph" w:customStyle="1" w:styleId="p2">
    <w:name w:val="p2"/>
    <w:basedOn w:val="Normal"/>
    <w:rsid w:val="008A45C5"/>
    <w:pPr>
      <w:spacing w:after="0" w:line="240" w:lineRule="auto"/>
    </w:pPr>
    <w:rPr>
      <w:rFonts w:ascii=".AppleSystemUIFont" w:hAnsi=".AppleSystemUIFont" w:cs="Times New Roman"/>
      <w:kern w:val="0"/>
      <w:sz w:val="26"/>
      <w:szCs w:val="26"/>
      <w14:ligatures w14:val="none"/>
    </w:rPr>
  </w:style>
  <w:style w:type="character" w:customStyle="1" w:styleId="apple-converted-space">
    <w:name w:val="apple-converted-space"/>
    <w:basedOn w:val="DefaultParagraphFont"/>
    <w:rsid w:val="00BC6023"/>
  </w:style>
  <w:style w:type="character" w:customStyle="1" w:styleId="s2">
    <w:name w:val="s2"/>
    <w:basedOn w:val="DefaultParagraphFont"/>
    <w:rsid w:val="00083D27"/>
    <w:rPr>
      <w:rFonts w:ascii="UICTFontTextStyleBody" w:hAnsi="UICTFontTextStyleBody" w:hint="default"/>
      <w:b w:val="0"/>
      <w:bCs w:val="0"/>
      <w:i w:val="0"/>
      <w:iCs w:val="0"/>
      <w:sz w:val="23"/>
      <w:szCs w:val="23"/>
    </w:rPr>
  </w:style>
  <w:style w:type="paragraph" w:customStyle="1" w:styleId="p3">
    <w:name w:val="p3"/>
    <w:basedOn w:val="Normal"/>
    <w:rsid w:val="009876BF"/>
    <w:pPr>
      <w:spacing w:after="0" w:line="240" w:lineRule="auto"/>
    </w:pPr>
    <w:rPr>
      <w:rFonts w:ascii=".AppleSystemUIFont" w:hAnsi=".AppleSystemUIFont" w:cs="Times New Roman"/>
      <w:kern w:val="0"/>
      <w:sz w:val="23"/>
      <w:szCs w:val="23"/>
      <w14:ligatures w14:val="none"/>
    </w:rPr>
  </w:style>
  <w:style w:type="character" w:customStyle="1" w:styleId="s3">
    <w:name w:val="s3"/>
    <w:basedOn w:val="DefaultParagraphFont"/>
    <w:rsid w:val="009876BF"/>
    <w:rPr>
      <w:rFonts w:ascii="UICTFontTextStyleBody" w:hAnsi="UICTFontTextStyleBody" w:hint="default"/>
      <w:b w:val="0"/>
      <w:bCs w:val="0"/>
      <w:i w:val="0"/>
      <w:iCs w:val="0"/>
      <w:sz w:val="23"/>
      <w:szCs w:val="23"/>
    </w:rPr>
  </w:style>
  <w:style w:type="character" w:customStyle="1" w:styleId="s4">
    <w:name w:val="s4"/>
    <w:basedOn w:val="DefaultParagraphFont"/>
    <w:rsid w:val="009876BF"/>
    <w:rPr>
      <w:rFonts w:ascii="UICTFontTextStyleItalicBody" w:hAnsi="UICTFontTextStyleItalicBody" w:hint="default"/>
      <w:b w:val="0"/>
      <w:bCs w:val="0"/>
      <w:i/>
      <w:iCs/>
      <w:sz w:val="23"/>
      <w:szCs w:val="23"/>
    </w:rPr>
  </w:style>
  <w:style w:type="character" w:styleId="Hyperlink">
    <w:name w:val="Hyperlink"/>
    <w:basedOn w:val="DefaultParagraphFont"/>
    <w:uiPriority w:val="99"/>
    <w:semiHidden/>
    <w:unhideWhenUsed/>
    <w:rsid w:val="009876B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17516812/" TargetMode="External"/><Relationship Id="rId13" Type="http://schemas.openxmlformats.org/officeDocument/2006/relationships/hyperlink" Target="https://psycnet.apa.org/record/1991-97559-000" TargetMode="External"/><Relationship Id="rId3" Type="http://schemas.openxmlformats.org/officeDocument/2006/relationships/webSettings" Target="webSettings.xml"/><Relationship Id="rId7" Type="http://schemas.openxmlformats.org/officeDocument/2006/relationships/hyperlink" Target="https://pubmed.ncbi.nlm.nih.gov/11515286/" TargetMode="External"/><Relationship Id="rId12" Type="http://schemas.openxmlformats.org/officeDocument/2006/relationships/hyperlink" Target="https://pubmed.ncbi.nlm.nih.gov/20438143/"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ncbi.nlm.nih.gov/books/NBK2657/" TargetMode="External"/><Relationship Id="rId11" Type="http://schemas.openxmlformats.org/officeDocument/2006/relationships/hyperlink" Target="https://pubmed.ncbi.nlm.nih.gov/9083645/" TargetMode="External"/><Relationship Id="rId5" Type="http://schemas.openxmlformats.org/officeDocument/2006/relationships/hyperlink" Target="https://www.scirp.org/reference/referencespapers?referenceid=1871266" TargetMode="External"/><Relationship Id="rId15" Type="http://schemas.openxmlformats.org/officeDocument/2006/relationships/hyperlink" Target="https://pubmed.ncbi.nlm.nih.gov/20421552/" TargetMode="External"/><Relationship Id="rId10" Type="http://schemas.openxmlformats.org/officeDocument/2006/relationships/hyperlink" Target="https://pmc.ncbi.nlm.nih.gov/articles/PMC3244302/" TargetMode="External"/><Relationship Id="rId4" Type="http://schemas.openxmlformats.org/officeDocument/2006/relationships/hyperlink" Target="https://www.cell.com/trends/cognitive-sciences/fulltext/S1364-6613(00)01538-2?_returnURL=https%3A%2F%2Flinkinghub.elsevier.com%2Fretrieve%2Fpii%2FS1364661300015382%3Fshowall%3Dtrue" TargetMode="External"/><Relationship Id="rId9" Type="http://schemas.openxmlformats.org/officeDocument/2006/relationships/hyperlink" Target="https://pmc.ncbi.nlm.nih.gov/articles/PMC3960713/" TargetMode="External"/><Relationship Id="rId14" Type="http://schemas.openxmlformats.org/officeDocument/2006/relationships/hyperlink" Target="https://psycnet.apa.org/record/1989-15124-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2931</Words>
  <Characters>16709</Characters>
  <Application>Microsoft Office Word</Application>
  <DocSecurity>0</DocSecurity>
  <Lines>139</Lines>
  <Paragraphs>39</Paragraphs>
  <ScaleCrop>false</ScaleCrop>
  <Company/>
  <LinksUpToDate>false</LinksUpToDate>
  <CharactersWithSpaces>19601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Faith Thomas (2204564)</dc:creator>
  <cp:keywords/>
  <dc:description/>
  <cp:lastModifiedBy>Faith Thomas (2204564)</cp:lastModifiedBy>
  <cp:revision>2</cp:revision>
  <dcterms:created xsi:type="dcterms:W3CDTF">2026-05-05T19:11:00Z</dcterms:created>
  <dcterms:modified xsi:type="dcterms:W3CDTF">2026-05-05T19:11:00Z</dcterms:modified>
</cp:coreProperties>
</file>