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936491" w14:textId="4414484E"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bookmarkStart w:id="0" w:name="_Toc234833723"/>
      <w:r w:rsidRPr="00DF3771">
        <w:rPr>
          <w:rFonts w:ascii="Arial" w:hAnsi="Arial" w:cs="Arial"/>
          <w:noProof/>
        </w:rPr>
        <w:drawing>
          <wp:anchor distT="0" distB="0" distL="114300" distR="114300" simplePos="0" relativeHeight="251659264" behindDoc="0" locked="0" layoutInCell="1" allowOverlap="1" wp14:anchorId="5926BA7E" wp14:editId="5E61E50E">
            <wp:simplePos x="0" y="0"/>
            <wp:positionH relativeFrom="column">
              <wp:posOffset>-153035</wp:posOffset>
            </wp:positionH>
            <wp:positionV relativeFrom="paragraph">
              <wp:posOffset>0</wp:posOffset>
            </wp:positionV>
            <wp:extent cx="2612390" cy="108839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12390" cy="1088390"/>
                    </a:xfrm>
                    <a:prstGeom prst="rect">
                      <a:avLst/>
                    </a:prstGeom>
                    <a:noFill/>
                    <a:ln>
                      <a:noFill/>
                    </a:ln>
                  </pic:spPr>
                </pic:pic>
              </a:graphicData>
            </a:graphic>
            <wp14:sizeRelH relativeFrom="margin">
              <wp14:pctWidth>0</wp14:pctWidth>
            </wp14:sizeRelH>
            <wp14:sizeRelV relativeFrom="margin">
              <wp14:pctHeight>0</wp14:pctHeight>
            </wp14:sizeRelV>
          </wp:anchor>
        </w:drawing>
      </w:r>
      <w:bookmarkEnd w:id="0"/>
    </w:p>
    <w:p w14:paraId="1CBF4FDD" w14:textId="77777777"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08E9D82E" w14:textId="77777777"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75F0B416" w14:textId="7ED168B5" w:rsidR="002C3CA1" w:rsidRPr="00DF3771" w:rsidRDefault="002C3CA1" w:rsidP="00154E3F">
      <w:pPr>
        <w:spacing w:before="100" w:beforeAutospacing="1" w:after="100" w:afterAutospacing="1" w:line="360" w:lineRule="auto"/>
        <w:jc w:val="center"/>
        <w:outlineLvl w:val="1"/>
        <w:rPr>
          <w:rFonts w:ascii="Arial" w:eastAsia="Times New Roman" w:hAnsi="Arial" w:cs="Arial"/>
          <w:b/>
          <w:bCs/>
          <w:sz w:val="36"/>
          <w:szCs w:val="36"/>
          <w:lang w:eastAsia="en-GB"/>
        </w:rPr>
      </w:pPr>
      <w:bookmarkStart w:id="1" w:name="_Toc234833724"/>
      <w:r w:rsidRPr="00DF3771">
        <w:rPr>
          <w:rFonts w:ascii="Arial" w:eastAsia="Times New Roman" w:hAnsi="Arial" w:cs="Arial"/>
          <w:b/>
          <w:bCs/>
          <w:sz w:val="36"/>
          <w:szCs w:val="36"/>
          <w:lang w:eastAsia="en-GB"/>
        </w:rPr>
        <w:t>LCLM600</w:t>
      </w:r>
      <w:r w:rsidR="008B3A12" w:rsidRPr="00DF3771">
        <w:rPr>
          <w:rFonts w:ascii="Arial" w:eastAsia="Times New Roman" w:hAnsi="Arial" w:cs="Arial"/>
          <w:b/>
          <w:bCs/>
          <w:sz w:val="36"/>
          <w:szCs w:val="36"/>
          <w:lang w:eastAsia="en-GB"/>
        </w:rPr>
        <w:t>1</w:t>
      </w:r>
      <w:r w:rsidRPr="00DF3771">
        <w:rPr>
          <w:rFonts w:ascii="Arial" w:eastAsia="Times New Roman" w:hAnsi="Arial" w:cs="Arial"/>
          <w:b/>
          <w:bCs/>
          <w:sz w:val="36"/>
          <w:szCs w:val="36"/>
          <w:lang w:eastAsia="en-GB"/>
        </w:rPr>
        <w:t xml:space="preserve"> STRATEGIC MANAGEMENT FOR BUSINESS</w:t>
      </w:r>
      <w:bookmarkEnd w:id="1"/>
    </w:p>
    <w:p w14:paraId="0893BA53" w14:textId="77777777"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6580E36B" w14:textId="77777777" w:rsidR="00154E3F" w:rsidRPr="00DF3771" w:rsidRDefault="00154E3F" w:rsidP="00154E3F">
      <w:pPr>
        <w:spacing w:line="276" w:lineRule="auto"/>
        <w:jc w:val="center"/>
        <w:rPr>
          <w:rFonts w:ascii="Arial" w:hAnsi="Arial" w:cs="Arial"/>
          <w:sz w:val="36"/>
          <w:szCs w:val="36"/>
        </w:rPr>
      </w:pPr>
      <w:r w:rsidRPr="00DF3771">
        <w:rPr>
          <w:rFonts w:ascii="Arial" w:hAnsi="Arial" w:cs="Arial"/>
          <w:sz w:val="36"/>
          <w:szCs w:val="36"/>
          <w:lang w:val="en-US"/>
        </w:rPr>
        <w:t xml:space="preserve">Assignment </w:t>
      </w:r>
      <w:r w:rsidRPr="00DF3771">
        <w:rPr>
          <w:rFonts w:ascii="Arial" w:hAnsi="Arial" w:cs="Arial"/>
          <w:sz w:val="36"/>
          <w:szCs w:val="36"/>
        </w:rPr>
        <w:t>Strategic Growth Report for Vodafone UK/Vodafone Three</w:t>
      </w:r>
    </w:p>
    <w:p w14:paraId="23D2B2E2" w14:textId="77777777" w:rsidR="00154E3F" w:rsidRPr="00DF3771" w:rsidRDefault="00154E3F" w:rsidP="002C3CA1">
      <w:pPr>
        <w:spacing w:line="276" w:lineRule="auto"/>
        <w:jc w:val="both"/>
        <w:rPr>
          <w:rFonts w:ascii="Arial" w:hAnsi="Arial" w:cs="Arial"/>
          <w:sz w:val="48"/>
          <w:szCs w:val="48"/>
          <w:lang w:val="en-US"/>
        </w:rPr>
      </w:pPr>
    </w:p>
    <w:p w14:paraId="6481BF5C" w14:textId="77777777" w:rsidR="00154E3F" w:rsidRPr="00DF3771" w:rsidRDefault="00154E3F" w:rsidP="002C3CA1">
      <w:pPr>
        <w:spacing w:line="276" w:lineRule="auto"/>
        <w:jc w:val="both"/>
        <w:rPr>
          <w:rFonts w:ascii="Arial" w:hAnsi="Arial" w:cs="Arial"/>
          <w:sz w:val="48"/>
          <w:szCs w:val="48"/>
          <w:lang w:val="en-US"/>
        </w:rPr>
      </w:pPr>
    </w:p>
    <w:p w14:paraId="3CEAEDB3" w14:textId="77777777" w:rsidR="00154E3F" w:rsidRPr="00DF3771" w:rsidRDefault="00154E3F" w:rsidP="002C3CA1">
      <w:pPr>
        <w:spacing w:line="276" w:lineRule="auto"/>
        <w:jc w:val="both"/>
        <w:rPr>
          <w:rFonts w:ascii="Arial" w:hAnsi="Arial" w:cs="Arial"/>
          <w:sz w:val="48"/>
          <w:szCs w:val="48"/>
          <w:lang w:val="en-US"/>
        </w:rPr>
      </w:pPr>
    </w:p>
    <w:p w14:paraId="740E2D02" w14:textId="77777777" w:rsidR="00154E3F" w:rsidRPr="00DF3771" w:rsidRDefault="00154E3F" w:rsidP="002C3CA1">
      <w:pPr>
        <w:spacing w:line="276" w:lineRule="auto"/>
        <w:jc w:val="both"/>
        <w:rPr>
          <w:rFonts w:ascii="Arial" w:hAnsi="Arial" w:cs="Arial"/>
          <w:sz w:val="48"/>
          <w:szCs w:val="48"/>
          <w:lang w:val="en-US"/>
        </w:rPr>
      </w:pPr>
    </w:p>
    <w:p w14:paraId="21F10F4D" w14:textId="77777777" w:rsidR="00154E3F" w:rsidRPr="00DF3771" w:rsidRDefault="00154E3F" w:rsidP="002C3CA1">
      <w:pPr>
        <w:spacing w:line="276" w:lineRule="auto"/>
        <w:jc w:val="both"/>
        <w:rPr>
          <w:rFonts w:ascii="Arial" w:hAnsi="Arial" w:cs="Arial"/>
          <w:sz w:val="48"/>
          <w:szCs w:val="48"/>
          <w:lang w:val="en-US"/>
        </w:rPr>
      </w:pPr>
    </w:p>
    <w:p w14:paraId="5C93EEF7" w14:textId="77777777" w:rsidR="00154E3F" w:rsidRPr="00DF3771" w:rsidRDefault="00154E3F" w:rsidP="002C3CA1">
      <w:pPr>
        <w:spacing w:line="276" w:lineRule="auto"/>
        <w:jc w:val="both"/>
        <w:rPr>
          <w:rFonts w:ascii="Arial" w:hAnsi="Arial" w:cs="Arial"/>
          <w:sz w:val="48"/>
          <w:szCs w:val="48"/>
          <w:lang w:val="en-US"/>
        </w:rPr>
      </w:pPr>
    </w:p>
    <w:p w14:paraId="4CE9EFBB" w14:textId="324351EC" w:rsidR="002C3CA1" w:rsidRPr="00DF3771" w:rsidRDefault="002C3CA1" w:rsidP="00154E3F">
      <w:pPr>
        <w:spacing w:line="276" w:lineRule="auto"/>
        <w:ind w:left="1890" w:right="-64"/>
        <w:rPr>
          <w:rFonts w:ascii="Arial" w:hAnsi="Arial" w:cs="Arial"/>
          <w:sz w:val="32"/>
          <w:szCs w:val="32"/>
          <w:lang w:val="en-US"/>
        </w:rPr>
      </w:pPr>
      <w:r w:rsidRPr="00DF3771">
        <w:rPr>
          <w:rFonts w:ascii="Arial" w:hAnsi="Arial" w:cs="Arial"/>
          <w:sz w:val="32"/>
          <w:szCs w:val="32"/>
          <w:lang w:val="en-US"/>
        </w:rPr>
        <w:t xml:space="preserve">Student Name: </w:t>
      </w:r>
      <w:r w:rsidRPr="00DF3771">
        <w:rPr>
          <w:rFonts w:ascii="Arial" w:hAnsi="Arial" w:cs="Arial"/>
          <w:b/>
          <w:bCs/>
          <w:sz w:val="32"/>
          <w:szCs w:val="32"/>
        </w:rPr>
        <w:t>Alexandru Constantin Popa</w:t>
      </w:r>
      <w:r w:rsidRPr="00DF3771">
        <w:rPr>
          <w:rFonts w:ascii="Arial" w:hAnsi="Arial" w:cs="Arial"/>
          <w:b/>
          <w:bCs/>
          <w:sz w:val="32"/>
          <w:szCs w:val="32"/>
        </w:rPr>
        <w:br/>
      </w:r>
    </w:p>
    <w:p w14:paraId="459EBEB0" w14:textId="45E1881B" w:rsidR="002C3CA1" w:rsidRPr="00DF3771" w:rsidRDefault="002C3CA1" w:rsidP="00154E3F">
      <w:pPr>
        <w:spacing w:line="276" w:lineRule="auto"/>
        <w:ind w:left="1890" w:right="-64"/>
        <w:rPr>
          <w:rFonts w:ascii="Arial" w:hAnsi="Arial" w:cs="Arial"/>
          <w:b/>
          <w:bCs/>
          <w:sz w:val="32"/>
          <w:szCs w:val="32"/>
        </w:rPr>
      </w:pPr>
      <w:r w:rsidRPr="00DF3771">
        <w:rPr>
          <w:rFonts w:ascii="Arial" w:hAnsi="Arial" w:cs="Arial"/>
          <w:sz w:val="32"/>
          <w:szCs w:val="32"/>
          <w:lang w:val="en-US"/>
        </w:rPr>
        <w:t xml:space="preserve">Student Number: </w:t>
      </w:r>
      <w:r w:rsidRPr="00DF3771">
        <w:rPr>
          <w:rFonts w:ascii="Arial" w:hAnsi="Arial" w:cs="Arial"/>
          <w:b/>
          <w:bCs/>
          <w:sz w:val="32"/>
          <w:szCs w:val="32"/>
        </w:rPr>
        <w:t>2332748</w:t>
      </w:r>
    </w:p>
    <w:p w14:paraId="3303C95D" w14:textId="77777777" w:rsidR="00154E3F" w:rsidRPr="00DF3771" w:rsidRDefault="00154E3F" w:rsidP="00154E3F">
      <w:pPr>
        <w:spacing w:line="276" w:lineRule="auto"/>
        <w:ind w:left="1890" w:right="-64"/>
        <w:rPr>
          <w:rFonts w:ascii="Arial" w:hAnsi="Arial" w:cs="Arial"/>
          <w:b/>
          <w:bCs/>
          <w:sz w:val="32"/>
          <w:szCs w:val="32"/>
        </w:rPr>
      </w:pPr>
    </w:p>
    <w:p w14:paraId="13845438" w14:textId="3350C808" w:rsidR="00154E3F" w:rsidRPr="00DF3771" w:rsidRDefault="00154E3F" w:rsidP="00154E3F">
      <w:pPr>
        <w:spacing w:line="276" w:lineRule="auto"/>
        <w:ind w:left="1890" w:right="-64"/>
        <w:rPr>
          <w:rFonts w:ascii="Arial" w:hAnsi="Arial" w:cs="Arial"/>
          <w:sz w:val="32"/>
          <w:szCs w:val="32"/>
          <w:lang w:val="en-US"/>
        </w:rPr>
      </w:pPr>
      <w:r w:rsidRPr="00DF3771">
        <w:rPr>
          <w:rFonts w:ascii="Arial" w:hAnsi="Arial" w:cs="Arial"/>
          <w:b/>
          <w:bCs/>
          <w:sz w:val="32"/>
          <w:szCs w:val="32"/>
        </w:rPr>
        <w:t>LECTURER’S NAME: MUNODZINESA ZUWIRAI</w:t>
      </w:r>
    </w:p>
    <w:p w14:paraId="0DB929C6" w14:textId="77777777" w:rsidR="00154E3F" w:rsidRPr="00DF3771" w:rsidRDefault="00154E3F" w:rsidP="002C3CA1">
      <w:pPr>
        <w:spacing w:line="276" w:lineRule="auto"/>
        <w:jc w:val="both"/>
        <w:rPr>
          <w:rFonts w:ascii="Arial" w:hAnsi="Arial" w:cs="Arial"/>
          <w:sz w:val="48"/>
          <w:szCs w:val="48"/>
          <w:lang w:val="en-US"/>
        </w:rPr>
      </w:pPr>
    </w:p>
    <w:p w14:paraId="31972089" w14:textId="6C9D3D06"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sdt>
      <w:sdtPr>
        <w:rPr>
          <w:rFonts w:ascii="Arial" w:eastAsiaTheme="minorHAnsi" w:hAnsi="Arial" w:cs="Arial"/>
          <w:b w:val="0"/>
          <w:bCs w:val="0"/>
          <w:color w:val="auto"/>
          <w:sz w:val="24"/>
          <w:szCs w:val="24"/>
          <w:lang w:val="en-GB"/>
        </w:rPr>
        <w:id w:val="-1153360507"/>
        <w:docPartObj>
          <w:docPartGallery w:val="Table of Contents"/>
          <w:docPartUnique/>
        </w:docPartObj>
      </w:sdtPr>
      <w:sdtEndPr>
        <w:rPr>
          <w:noProof/>
        </w:rPr>
      </w:sdtEndPr>
      <w:sdtContent>
        <w:p w14:paraId="354EFF51" w14:textId="77777777" w:rsidR="00154E3F" w:rsidRPr="00DF3771" w:rsidRDefault="002C3CA1" w:rsidP="00154E3F">
          <w:pPr>
            <w:pStyle w:val="TOCHeading"/>
            <w:rPr>
              <w:rFonts w:ascii="Arial" w:hAnsi="Arial" w:cs="Arial"/>
              <w:sz w:val="40"/>
              <w:szCs w:val="40"/>
            </w:rPr>
          </w:pPr>
          <w:r w:rsidRPr="00DF3771">
            <w:rPr>
              <w:rFonts w:ascii="Arial" w:hAnsi="Arial" w:cs="Arial"/>
              <w:sz w:val="40"/>
              <w:szCs w:val="40"/>
            </w:rPr>
            <w:t>Table of Contents</w:t>
          </w:r>
        </w:p>
        <w:p w14:paraId="07999E69" w14:textId="447137D7" w:rsidR="004F4883" w:rsidRDefault="002C3CA1" w:rsidP="004F4883">
          <w:pPr>
            <w:pStyle w:val="TOC2"/>
            <w:tabs>
              <w:tab w:val="left" w:pos="360"/>
            </w:tabs>
            <w:rPr>
              <w:rFonts w:eastAsiaTheme="minorEastAsia" w:cstheme="minorBidi"/>
              <w:noProof/>
              <w:kern w:val="2"/>
              <w:sz w:val="24"/>
              <w:szCs w:val="24"/>
              <w:lang w:val="en-US"/>
              <w14:ligatures w14:val="standardContextual"/>
            </w:rPr>
          </w:pPr>
          <w:r w:rsidRPr="00DF3771">
            <w:rPr>
              <w:rFonts w:ascii="Arial" w:hAnsi="Arial" w:cs="Arial"/>
            </w:rPr>
            <w:fldChar w:fldCharType="begin"/>
          </w:r>
          <w:r w:rsidRPr="00DF3771">
            <w:rPr>
              <w:rFonts w:ascii="Arial" w:hAnsi="Arial" w:cs="Arial"/>
            </w:rPr>
            <w:instrText xml:space="preserve"> TOC \o "1-3" \h \z \u </w:instrText>
          </w:r>
          <w:r w:rsidRPr="00DF3771">
            <w:rPr>
              <w:rFonts w:ascii="Arial" w:hAnsi="Arial" w:cs="Arial"/>
            </w:rPr>
            <w:fldChar w:fldCharType="separate"/>
          </w:r>
        </w:p>
        <w:p w14:paraId="2B5ED253" w14:textId="2E0594B1" w:rsidR="004F4883" w:rsidRPr="004F4883" w:rsidRDefault="004F4883" w:rsidP="004F4883">
          <w:pPr>
            <w:pStyle w:val="TOC2"/>
            <w:tabs>
              <w:tab w:val="left" w:pos="360"/>
            </w:tabs>
            <w:spacing w:line="276" w:lineRule="auto"/>
            <w:rPr>
              <w:rFonts w:ascii="Arial" w:eastAsiaTheme="minorEastAsia" w:hAnsi="Arial" w:cs="Arial"/>
              <w:noProof/>
              <w:kern w:val="2"/>
              <w:sz w:val="24"/>
              <w:szCs w:val="24"/>
              <w:lang w:val="en-US"/>
              <w14:ligatures w14:val="standardContextual"/>
            </w:rPr>
          </w:pPr>
          <w:hyperlink w:anchor="_Toc234833724" w:history="1">
            <w:r w:rsidRPr="004F4883">
              <w:rPr>
                <w:rStyle w:val="Hyperlink"/>
                <w:rFonts w:ascii="Arial" w:eastAsia="Times New Roman" w:hAnsi="Arial" w:cs="Arial"/>
                <w:noProof/>
                <w:sz w:val="24"/>
                <w:szCs w:val="24"/>
                <w:lang w:eastAsia="en-GB"/>
              </w:rPr>
              <w:t>LCLM6001 STRATEGIC MANAGEMENT FOR BUSINESS</w:t>
            </w:r>
            <w:r w:rsidRPr="004F4883">
              <w:rPr>
                <w:rFonts w:ascii="Arial" w:hAnsi="Arial" w:cs="Arial"/>
                <w:noProof/>
                <w:webHidden/>
                <w:sz w:val="24"/>
                <w:szCs w:val="24"/>
              </w:rPr>
              <w:tab/>
            </w:r>
            <w:r w:rsidRPr="004F4883">
              <w:rPr>
                <w:rFonts w:ascii="Arial" w:hAnsi="Arial" w:cs="Arial"/>
                <w:noProof/>
                <w:webHidden/>
                <w:sz w:val="24"/>
                <w:szCs w:val="24"/>
              </w:rPr>
              <w:fldChar w:fldCharType="begin"/>
            </w:r>
            <w:r w:rsidRPr="004F4883">
              <w:rPr>
                <w:rFonts w:ascii="Arial" w:hAnsi="Arial" w:cs="Arial"/>
                <w:noProof/>
                <w:webHidden/>
                <w:sz w:val="24"/>
                <w:szCs w:val="24"/>
              </w:rPr>
              <w:instrText xml:space="preserve"> PAGEREF _Toc234833724 \h </w:instrText>
            </w:r>
            <w:r w:rsidRPr="004F4883">
              <w:rPr>
                <w:rFonts w:ascii="Arial" w:hAnsi="Arial" w:cs="Arial"/>
                <w:noProof/>
                <w:webHidden/>
                <w:sz w:val="24"/>
                <w:szCs w:val="24"/>
              </w:rPr>
            </w:r>
            <w:r w:rsidRPr="004F4883">
              <w:rPr>
                <w:rFonts w:ascii="Arial" w:hAnsi="Arial" w:cs="Arial"/>
                <w:noProof/>
                <w:webHidden/>
                <w:sz w:val="24"/>
                <w:szCs w:val="24"/>
              </w:rPr>
              <w:fldChar w:fldCharType="separate"/>
            </w:r>
            <w:r w:rsidRPr="004F4883">
              <w:rPr>
                <w:rFonts w:ascii="Arial" w:hAnsi="Arial" w:cs="Arial"/>
                <w:noProof/>
                <w:webHidden/>
                <w:sz w:val="24"/>
                <w:szCs w:val="24"/>
              </w:rPr>
              <w:t>1</w:t>
            </w:r>
            <w:r w:rsidRPr="004F4883">
              <w:rPr>
                <w:rFonts w:ascii="Arial" w:hAnsi="Arial" w:cs="Arial"/>
                <w:noProof/>
                <w:webHidden/>
                <w:sz w:val="24"/>
                <w:szCs w:val="24"/>
              </w:rPr>
              <w:fldChar w:fldCharType="end"/>
            </w:r>
          </w:hyperlink>
        </w:p>
        <w:p w14:paraId="6FB78C1F" w14:textId="796882BD"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25" w:history="1">
            <w:r w:rsidRPr="004F4883">
              <w:rPr>
                <w:rStyle w:val="Hyperlink"/>
                <w:rFonts w:ascii="Arial" w:eastAsia="Times New Roman" w:hAnsi="Arial" w:cs="Arial"/>
                <w:noProof/>
                <w:lang w:eastAsia="en-GB"/>
              </w:rPr>
              <w:t>1. Executiv</w:t>
            </w:r>
            <w:r w:rsidRPr="004F4883">
              <w:rPr>
                <w:rStyle w:val="Hyperlink"/>
                <w:rFonts w:ascii="Arial" w:eastAsia="Times New Roman" w:hAnsi="Arial" w:cs="Arial"/>
                <w:noProof/>
                <w:lang w:eastAsia="en-GB"/>
              </w:rPr>
              <w:t>e</w:t>
            </w:r>
            <w:r w:rsidRPr="004F4883">
              <w:rPr>
                <w:rStyle w:val="Hyperlink"/>
                <w:rFonts w:ascii="Arial" w:eastAsia="Times New Roman" w:hAnsi="Arial" w:cs="Arial"/>
                <w:noProof/>
                <w:lang w:eastAsia="en-GB"/>
              </w:rPr>
              <w:t xml:space="preserve"> Summary</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_Toc234833725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2</w:t>
            </w:r>
            <w:r w:rsidRPr="004F4883">
              <w:rPr>
                <w:rFonts w:ascii="Arial" w:hAnsi="Arial" w:cs="Arial"/>
                <w:noProof/>
                <w:webHidden/>
              </w:rPr>
              <w:fldChar w:fldCharType="end"/>
            </w:r>
          </w:hyperlink>
        </w:p>
        <w:p w14:paraId="6F877686" w14:textId="1080C8E2"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26" w:history="1">
            <w:r w:rsidRPr="004F4883">
              <w:rPr>
                <w:rStyle w:val="Hyperlink"/>
                <w:rFonts w:ascii="Arial" w:eastAsia="Times New Roman" w:hAnsi="Arial" w:cs="Arial"/>
                <w:noProof/>
                <w:lang w:eastAsia="en-GB"/>
              </w:rPr>
              <w:t>2. Introduction</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_Toc234833726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3</w:t>
            </w:r>
            <w:r w:rsidRPr="004F4883">
              <w:rPr>
                <w:rFonts w:ascii="Arial" w:hAnsi="Arial" w:cs="Arial"/>
                <w:noProof/>
                <w:webHidden/>
              </w:rPr>
              <w:fldChar w:fldCharType="end"/>
            </w:r>
          </w:hyperlink>
        </w:p>
        <w:p w14:paraId="3ADAD6DC" w14:textId="281EB47F"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27" w:history="1">
            <w:r w:rsidRPr="004F4883">
              <w:rPr>
                <w:rStyle w:val="Hyperlink"/>
                <w:rFonts w:ascii="Arial" w:hAnsi="Arial" w:cs="Arial"/>
                <w:noProof/>
              </w:rPr>
              <w:t>3. Evaluation of Current Market Situation</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_Toc234833727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4</w:t>
            </w:r>
            <w:r w:rsidRPr="004F4883">
              <w:rPr>
                <w:rFonts w:ascii="Arial" w:hAnsi="Arial" w:cs="Arial"/>
                <w:noProof/>
                <w:webHidden/>
              </w:rPr>
              <w:fldChar w:fldCharType="end"/>
            </w:r>
          </w:hyperlink>
        </w:p>
        <w:p w14:paraId="78718A37" w14:textId="250A5D93" w:rsidR="004F4883" w:rsidRPr="004F4883" w:rsidRDefault="004F4883" w:rsidP="004F4883">
          <w:pPr>
            <w:pStyle w:val="TOC3"/>
            <w:tabs>
              <w:tab w:val="left" w:pos="360"/>
              <w:tab w:val="right" w:leader="dot" w:pos="9016"/>
            </w:tabs>
            <w:spacing w:line="276" w:lineRule="auto"/>
            <w:ind w:left="0"/>
            <w:rPr>
              <w:rFonts w:ascii="Arial" w:eastAsiaTheme="minorEastAsia" w:hAnsi="Arial" w:cs="Arial"/>
              <w:noProof/>
              <w:kern w:val="2"/>
              <w:sz w:val="24"/>
              <w:szCs w:val="24"/>
              <w:lang w:val="en-US"/>
              <w14:ligatures w14:val="standardContextual"/>
            </w:rPr>
          </w:pPr>
          <w:hyperlink w:anchor="_Toc234833728" w:history="1">
            <w:r w:rsidRPr="004F4883">
              <w:rPr>
                <w:rStyle w:val="Hyperlink"/>
                <w:rFonts w:ascii="Arial" w:eastAsia="Times New Roman" w:hAnsi="Arial" w:cs="Arial"/>
                <w:b/>
                <w:bCs/>
                <w:noProof/>
                <w:sz w:val="24"/>
                <w:szCs w:val="24"/>
                <w:lang w:eastAsia="en-GB"/>
              </w:rPr>
              <w:t>3.1 SWOT Analysis</w:t>
            </w:r>
            <w:r w:rsidRPr="004F4883">
              <w:rPr>
                <w:rFonts w:ascii="Arial" w:hAnsi="Arial" w:cs="Arial"/>
                <w:noProof/>
                <w:webHidden/>
                <w:sz w:val="24"/>
                <w:szCs w:val="24"/>
              </w:rPr>
              <w:tab/>
            </w:r>
            <w:r w:rsidRPr="004F4883">
              <w:rPr>
                <w:rFonts w:ascii="Arial" w:hAnsi="Arial" w:cs="Arial"/>
                <w:noProof/>
                <w:webHidden/>
                <w:sz w:val="24"/>
                <w:szCs w:val="24"/>
              </w:rPr>
              <w:fldChar w:fldCharType="begin"/>
            </w:r>
            <w:r w:rsidRPr="004F4883">
              <w:rPr>
                <w:rFonts w:ascii="Arial" w:hAnsi="Arial" w:cs="Arial"/>
                <w:noProof/>
                <w:webHidden/>
                <w:sz w:val="24"/>
                <w:szCs w:val="24"/>
              </w:rPr>
              <w:instrText xml:space="preserve"> PAGEREF _Toc234833728 \h </w:instrText>
            </w:r>
            <w:r w:rsidRPr="004F4883">
              <w:rPr>
                <w:rFonts w:ascii="Arial" w:hAnsi="Arial" w:cs="Arial"/>
                <w:noProof/>
                <w:webHidden/>
                <w:sz w:val="24"/>
                <w:szCs w:val="24"/>
              </w:rPr>
            </w:r>
            <w:r w:rsidRPr="004F4883">
              <w:rPr>
                <w:rFonts w:ascii="Arial" w:hAnsi="Arial" w:cs="Arial"/>
                <w:noProof/>
                <w:webHidden/>
                <w:sz w:val="24"/>
                <w:szCs w:val="24"/>
              </w:rPr>
              <w:fldChar w:fldCharType="separate"/>
            </w:r>
            <w:r w:rsidRPr="004F4883">
              <w:rPr>
                <w:rFonts w:ascii="Arial" w:hAnsi="Arial" w:cs="Arial"/>
                <w:noProof/>
                <w:webHidden/>
                <w:sz w:val="24"/>
                <w:szCs w:val="24"/>
              </w:rPr>
              <w:t>4</w:t>
            </w:r>
            <w:r w:rsidRPr="004F4883">
              <w:rPr>
                <w:rFonts w:ascii="Arial" w:hAnsi="Arial" w:cs="Arial"/>
                <w:noProof/>
                <w:webHidden/>
                <w:sz w:val="24"/>
                <w:szCs w:val="24"/>
              </w:rPr>
              <w:fldChar w:fldCharType="end"/>
            </w:r>
          </w:hyperlink>
        </w:p>
        <w:p w14:paraId="36D04715" w14:textId="42B780E9" w:rsidR="004F4883" w:rsidRPr="004F4883" w:rsidRDefault="004F4883" w:rsidP="004F4883">
          <w:pPr>
            <w:pStyle w:val="TOC2"/>
            <w:tabs>
              <w:tab w:val="left" w:pos="360"/>
            </w:tabs>
            <w:spacing w:line="276" w:lineRule="auto"/>
            <w:rPr>
              <w:rFonts w:ascii="Arial" w:eastAsiaTheme="minorEastAsia" w:hAnsi="Arial" w:cs="Arial"/>
              <w:noProof/>
              <w:kern w:val="2"/>
              <w:sz w:val="24"/>
              <w:szCs w:val="24"/>
              <w:lang w:val="en-US"/>
              <w14:ligatures w14:val="standardContextual"/>
            </w:rPr>
          </w:pPr>
          <w:hyperlink w:anchor="_Toc234833729" w:history="1">
            <w:r w:rsidRPr="004F4883">
              <w:rPr>
                <w:rStyle w:val="Hyperlink"/>
                <w:rFonts w:ascii="Arial" w:hAnsi="Arial" w:cs="Arial"/>
                <w:noProof/>
                <w:sz w:val="24"/>
                <w:szCs w:val="24"/>
              </w:rPr>
              <w:t>3.2 Porter</w:t>
            </w:r>
            <w:r w:rsidRPr="004F4883">
              <w:rPr>
                <w:rStyle w:val="Hyperlink"/>
                <w:rFonts w:ascii="Arial" w:hAnsi="Arial" w:cs="Arial"/>
                <w:noProof/>
                <w:sz w:val="24"/>
                <w:szCs w:val="24"/>
              </w:rPr>
              <w:t>’</w:t>
            </w:r>
            <w:r w:rsidRPr="004F4883">
              <w:rPr>
                <w:rStyle w:val="Hyperlink"/>
                <w:rFonts w:ascii="Arial" w:hAnsi="Arial" w:cs="Arial"/>
                <w:noProof/>
                <w:sz w:val="24"/>
                <w:szCs w:val="24"/>
              </w:rPr>
              <w:t>s Five Forces</w:t>
            </w:r>
            <w:r w:rsidRPr="004F4883">
              <w:rPr>
                <w:rFonts w:ascii="Arial" w:hAnsi="Arial" w:cs="Arial"/>
                <w:noProof/>
                <w:webHidden/>
                <w:sz w:val="24"/>
                <w:szCs w:val="24"/>
              </w:rPr>
              <w:tab/>
            </w:r>
            <w:r w:rsidRPr="004F4883">
              <w:rPr>
                <w:rFonts w:ascii="Arial" w:hAnsi="Arial" w:cs="Arial"/>
                <w:noProof/>
                <w:webHidden/>
                <w:sz w:val="24"/>
                <w:szCs w:val="24"/>
              </w:rPr>
              <w:fldChar w:fldCharType="begin"/>
            </w:r>
            <w:r w:rsidRPr="004F4883">
              <w:rPr>
                <w:rFonts w:ascii="Arial" w:hAnsi="Arial" w:cs="Arial"/>
                <w:noProof/>
                <w:webHidden/>
                <w:sz w:val="24"/>
                <w:szCs w:val="24"/>
              </w:rPr>
              <w:instrText xml:space="preserve"> PAGEREF _Toc234833729 \h </w:instrText>
            </w:r>
            <w:r w:rsidRPr="004F4883">
              <w:rPr>
                <w:rFonts w:ascii="Arial" w:hAnsi="Arial" w:cs="Arial"/>
                <w:noProof/>
                <w:webHidden/>
                <w:sz w:val="24"/>
                <w:szCs w:val="24"/>
              </w:rPr>
            </w:r>
            <w:r w:rsidRPr="004F4883">
              <w:rPr>
                <w:rFonts w:ascii="Arial" w:hAnsi="Arial" w:cs="Arial"/>
                <w:noProof/>
                <w:webHidden/>
                <w:sz w:val="24"/>
                <w:szCs w:val="24"/>
              </w:rPr>
              <w:fldChar w:fldCharType="separate"/>
            </w:r>
            <w:r w:rsidRPr="004F4883">
              <w:rPr>
                <w:rFonts w:ascii="Arial" w:hAnsi="Arial" w:cs="Arial"/>
                <w:noProof/>
                <w:webHidden/>
                <w:sz w:val="24"/>
                <w:szCs w:val="24"/>
              </w:rPr>
              <w:t>5</w:t>
            </w:r>
            <w:r w:rsidRPr="004F4883">
              <w:rPr>
                <w:rFonts w:ascii="Arial" w:hAnsi="Arial" w:cs="Arial"/>
                <w:noProof/>
                <w:webHidden/>
                <w:sz w:val="24"/>
                <w:szCs w:val="24"/>
              </w:rPr>
              <w:fldChar w:fldCharType="end"/>
            </w:r>
          </w:hyperlink>
        </w:p>
        <w:p w14:paraId="6F43C811" w14:textId="6F8C6A8D"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0" w:history="1">
            <w:r w:rsidRPr="004F4883">
              <w:rPr>
                <w:rStyle w:val="Hyperlink"/>
                <w:rFonts w:ascii="Arial" w:eastAsia="Times New Roman" w:hAnsi="Arial" w:cs="Arial"/>
                <w:noProof/>
                <w:lang w:eastAsia="en-GB"/>
              </w:rPr>
              <w:t>4. Strategic Growth Options and Proposed Strategy</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_Toc234833730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6</w:t>
            </w:r>
            <w:r w:rsidRPr="004F4883">
              <w:rPr>
                <w:rFonts w:ascii="Arial" w:hAnsi="Arial" w:cs="Arial"/>
                <w:noProof/>
                <w:webHidden/>
              </w:rPr>
              <w:fldChar w:fldCharType="end"/>
            </w:r>
          </w:hyperlink>
        </w:p>
        <w:p w14:paraId="165F3368" w14:textId="5A639B84"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1" w:history="1">
            <w:r w:rsidRPr="004F4883">
              <w:rPr>
                <w:rStyle w:val="Hyperlink"/>
                <w:rFonts w:ascii="Arial" w:hAnsi="Arial" w:cs="Arial"/>
                <w:noProof/>
              </w:rPr>
              <w:t>5. Strategy Evaluation</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_Toc234833731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8</w:t>
            </w:r>
            <w:r w:rsidRPr="004F4883">
              <w:rPr>
                <w:rFonts w:ascii="Arial" w:hAnsi="Arial" w:cs="Arial"/>
                <w:noProof/>
                <w:webHidden/>
              </w:rPr>
              <w:fldChar w:fldCharType="end"/>
            </w:r>
          </w:hyperlink>
        </w:p>
        <w:p w14:paraId="5D43E0BD" w14:textId="7791CAC1"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2" w:history="1">
            <w:r w:rsidRPr="004F4883">
              <w:rPr>
                <w:rStyle w:val="Hyperlink"/>
                <w:rFonts w:ascii="Arial" w:hAnsi="Arial" w:cs="Arial"/>
                <w:noProof/>
              </w:rPr>
              <w:t>6. Stakeholder Analysis</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_Toc234833732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9</w:t>
            </w:r>
            <w:r w:rsidRPr="004F4883">
              <w:rPr>
                <w:rFonts w:ascii="Arial" w:hAnsi="Arial" w:cs="Arial"/>
                <w:noProof/>
                <w:webHidden/>
              </w:rPr>
              <w:fldChar w:fldCharType="end"/>
            </w:r>
          </w:hyperlink>
        </w:p>
        <w:p w14:paraId="1011A933" w14:textId="6D1A7DFB"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3" w:history="1">
            <w:r w:rsidRPr="004F4883">
              <w:rPr>
                <w:rStyle w:val="Hyperlink"/>
                <w:rFonts w:ascii="Arial" w:hAnsi="Arial" w:cs="Arial"/>
                <w:noProof/>
              </w:rPr>
              <w:t>7. Imple</w:t>
            </w:r>
            <w:r w:rsidRPr="004F4883">
              <w:rPr>
                <w:rStyle w:val="Hyperlink"/>
                <w:rFonts w:ascii="Arial" w:hAnsi="Arial" w:cs="Arial"/>
                <w:noProof/>
              </w:rPr>
              <w:t>m</w:t>
            </w:r>
            <w:r w:rsidRPr="004F4883">
              <w:rPr>
                <w:rStyle w:val="Hyperlink"/>
                <w:rFonts w:ascii="Arial" w:hAnsi="Arial" w:cs="Arial"/>
                <w:noProof/>
              </w:rPr>
              <w:t>entation and Monitoring</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_Toc234833733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11</w:t>
            </w:r>
            <w:r w:rsidRPr="004F4883">
              <w:rPr>
                <w:rFonts w:ascii="Arial" w:hAnsi="Arial" w:cs="Arial"/>
                <w:noProof/>
                <w:webHidden/>
              </w:rPr>
              <w:fldChar w:fldCharType="end"/>
            </w:r>
          </w:hyperlink>
        </w:p>
        <w:p w14:paraId="1094CAA5" w14:textId="765B69C1"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4" w:history="1">
            <w:r w:rsidRPr="004F4883">
              <w:rPr>
                <w:rStyle w:val="Hyperlink"/>
                <w:rFonts w:ascii="Arial" w:hAnsi="Arial" w:cs="Arial"/>
                <w:noProof/>
              </w:rPr>
              <w:t>8. Conclusion</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_Toc234833734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15</w:t>
            </w:r>
            <w:r w:rsidRPr="004F4883">
              <w:rPr>
                <w:rFonts w:ascii="Arial" w:hAnsi="Arial" w:cs="Arial"/>
                <w:noProof/>
                <w:webHidden/>
              </w:rPr>
              <w:fldChar w:fldCharType="end"/>
            </w:r>
          </w:hyperlink>
        </w:p>
        <w:p w14:paraId="372EC980" w14:textId="6F8171F7"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5" w:history="1">
            <w:r w:rsidRPr="004F4883">
              <w:rPr>
                <w:rStyle w:val="Hyperlink"/>
                <w:rFonts w:ascii="Arial" w:hAnsi="Arial" w:cs="Arial"/>
                <w:noProof/>
              </w:rPr>
              <w:t>List of References</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_Toc234833735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16</w:t>
            </w:r>
            <w:r w:rsidRPr="004F4883">
              <w:rPr>
                <w:rFonts w:ascii="Arial" w:hAnsi="Arial" w:cs="Arial"/>
                <w:noProof/>
                <w:webHidden/>
              </w:rPr>
              <w:fldChar w:fldCharType="end"/>
            </w:r>
          </w:hyperlink>
        </w:p>
        <w:p w14:paraId="18F4F7C3" w14:textId="54CE134B" w:rsidR="004F4883" w:rsidRPr="004F4883" w:rsidRDefault="004F4883" w:rsidP="004F4883">
          <w:pPr>
            <w:pStyle w:val="TOC1"/>
            <w:tabs>
              <w:tab w:val="left" w:pos="360"/>
              <w:tab w:val="right" w:leader="dot" w:pos="9016"/>
            </w:tabs>
            <w:spacing w:line="276" w:lineRule="auto"/>
            <w:rPr>
              <w:rFonts w:ascii="Arial" w:eastAsiaTheme="minorEastAsia" w:hAnsi="Arial" w:cs="Arial"/>
              <w:b w:val="0"/>
              <w:bCs w:val="0"/>
              <w:i w:val="0"/>
              <w:iCs w:val="0"/>
              <w:noProof/>
              <w:kern w:val="2"/>
              <w:lang w:val="en-US"/>
              <w14:ligatures w14:val="standardContextual"/>
            </w:rPr>
          </w:pPr>
          <w:hyperlink w:anchor="_Toc234833736" w:history="1">
            <w:r w:rsidRPr="004F4883">
              <w:rPr>
                <w:rStyle w:val="Hyperlink"/>
                <w:rFonts w:ascii="Arial" w:hAnsi="Arial" w:cs="Arial"/>
                <w:noProof/>
              </w:rPr>
              <w:t>Appendices</w:t>
            </w:r>
            <w:r w:rsidRPr="004F4883">
              <w:rPr>
                <w:rFonts w:ascii="Arial" w:hAnsi="Arial" w:cs="Arial"/>
                <w:noProof/>
                <w:webHidden/>
              </w:rPr>
              <w:tab/>
            </w:r>
            <w:r w:rsidRPr="004F4883">
              <w:rPr>
                <w:rFonts w:ascii="Arial" w:hAnsi="Arial" w:cs="Arial"/>
                <w:noProof/>
                <w:webHidden/>
              </w:rPr>
              <w:fldChar w:fldCharType="begin"/>
            </w:r>
            <w:r w:rsidRPr="004F4883">
              <w:rPr>
                <w:rFonts w:ascii="Arial" w:hAnsi="Arial" w:cs="Arial"/>
                <w:noProof/>
                <w:webHidden/>
              </w:rPr>
              <w:instrText xml:space="preserve"> PAGEREF _Toc234833736 \h </w:instrText>
            </w:r>
            <w:r w:rsidRPr="004F4883">
              <w:rPr>
                <w:rFonts w:ascii="Arial" w:hAnsi="Arial" w:cs="Arial"/>
                <w:noProof/>
                <w:webHidden/>
              </w:rPr>
            </w:r>
            <w:r w:rsidRPr="004F4883">
              <w:rPr>
                <w:rFonts w:ascii="Arial" w:hAnsi="Arial" w:cs="Arial"/>
                <w:noProof/>
                <w:webHidden/>
              </w:rPr>
              <w:fldChar w:fldCharType="separate"/>
            </w:r>
            <w:r w:rsidRPr="004F4883">
              <w:rPr>
                <w:rFonts w:ascii="Arial" w:hAnsi="Arial" w:cs="Arial"/>
                <w:noProof/>
                <w:webHidden/>
              </w:rPr>
              <w:t>19</w:t>
            </w:r>
            <w:r w:rsidRPr="004F4883">
              <w:rPr>
                <w:rFonts w:ascii="Arial" w:hAnsi="Arial" w:cs="Arial"/>
                <w:noProof/>
                <w:webHidden/>
              </w:rPr>
              <w:fldChar w:fldCharType="end"/>
            </w:r>
          </w:hyperlink>
        </w:p>
        <w:p w14:paraId="08D1B987" w14:textId="6C6A8B09" w:rsidR="004F4883" w:rsidRPr="004F4883" w:rsidRDefault="004F4883" w:rsidP="004F4883">
          <w:pPr>
            <w:pStyle w:val="TOC2"/>
            <w:tabs>
              <w:tab w:val="left" w:pos="360"/>
            </w:tabs>
            <w:spacing w:line="276" w:lineRule="auto"/>
            <w:rPr>
              <w:rFonts w:ascii="Arial" w:eastAsiaTheme="minorEastAsia" w:hAnsi="Arial" w:cs="Arial"/>
              <w:noProof/>
              <w:kern w:val="2"/>
              <w:sz w:val="24"/>
              <w:szCs w:val="24"/>
              <w:lang w:val="en-US"/>
              <w14:ligatures w14:val="standardContextual"/>
            </w:rPr>
          </w:pPr>
          <w:hyperlink w:anchor="_Toc234833737" w:history="1">
            <w:r w:rsidRPr="004F4883">
              <w:rPr>
                <w:rStyle w:val="Hyperlink"/>
                <w:rFonts w:ascii="Arial" w:hAnsi="Arial" w:cs="Arial"/>
                <w:noProof/>
                <w:sz w:val="24"/>
                <w:szCs w:val="24"/>
              </w:rPr>
              <w:t>SWO</w:t>
            </w:r>
            <w:r w:rsidRPr="004F4883">
              <w:rPr>
                <w:rStyle w:val="Hyperlink"/>
                <w:rFonts w:ascii="Arial" w:hAnsi="Arial" w:cs="Arial"/>
                <w:noProof/>
                <w:sz w:val="24"/>
                <w:szCs w:val="24"/>
              </w:rPr>
              <w:t>T</w:t>
            </w:r>
            <w:r w:rsidRPr="004F4883">
              <w:rPr>
                <w:rStyle w:val="Hyperlink"/>
                <w:rFonts w:ascii="Arial" w:hAnsi="Arial" w:cs="Arial"/>
                <w:noProof/>
                <w:sz w:val="24"/>
                <w:szCs w:val="24"/>
              </w:rPr>
              <w:t xml:space="preserve"> ANALYSIS TABLE</w:t>
            </w:r>
            <w:r w:rsidRPr="004F4883">
              <w:rPr>
                <w:rFonts w:ascii="Arial" w:hAnsi="Arial" w:cs="Arial"/>
                <w:noProof/>
                <w:webHidden/>
                <w:sz w:val="24"/>
                <w:szCs w:val="24"/>
              </w:rPr>
              <w:tab/>
            </w:r>
            <w:r w:rsidRPr="004F4883">
              <w:rPr>
                <w:rFonts w:ascii="Arial" w:hAnsi="Arial" w:cs="Arial"/>
                <w:noProof/>
                <w:webHidden/>
                <w:sz w:val="24"/>
                <w:szCs w:val="24"/>
              </w:rPr>
              <w:fldChar w:fldCharType="begin"/>
            </w:r>
            <w:r w:rsidRPr="004F4883">
              <w:rPr>
                <w:rFonts w:ascii="Arial" w:hAnsi="Arial" w:cs="Arial"/>
                <w:noProof/>
                <w:webHidden/>
                <w:sz w:val="24"/>
                <w:szCs w:val="24"/>
              </w:rPr>
              <w:instrText xml:space="preserve"> PAGEREF _Toc234833737 \h </w:instrText>
            </w:r>
            <w:r w:rsidRPr="004F4883">
              <w:rPr>
                <w:rFonts w:ascii="Arial" w:hAnsi="Arial" w:cs="Arial"/>
                <w:noProof/>
                <w:webHidden/>
                <w:sz w:val="24"/>
                <w:szCs w:val="24"/>
              </w:rPr>
            </w:r>
            <w:r w:rsidRPr="004F4883">
              <w:rPr>
                <w:rFonts w:ascii="Arial" w:hAnsi="Arial" w:cs="Arial"/>
                <w:noProof/>
                <w:webHidden/>
                <w:sz w:val="24"/>
                <w:szCs w:val="24"/>
              </w:rPr>
              <w:fldChar w:fldCharType="separate"/>
            </w:r>
            <w:r w:rsidRPr="004F4883">
              <w:rPr>
                <w:rFonts w:ascii="Arial" w:hAnsi="Arial" w:cs="Arial"/>
                <w:noProof/>
                <w:webHidden/>
                <w:sz w:val="24"/>
                <w:szCs w:val="24"/>
              </w:rPr>
              <w:t>19</w:t>
            </w:r>
            <w:r w:rsidRPr="004F4883">
              <w:rPr>
                <w:rFonts w:ascii="Arial" w:hAnsi="Arial" w:cs="Arial"/>
                <w:noProof/>
                <w:webHidden/>
                <w:sz w:val="24"/>
                <w:szCs w:val="24"/>
              </w:rPr>
              <w:fldChar w:fldCharType="end"/>
            </w:r>
          </w:hyperlink>
        </w:p>
        <w:p w14:paraId="70C720AB" w14:textId="08B59204" w:rsidR="004F4883" w:rsidRPr="004F4883" w:rsidRDefault="004F4883" w:rsidP="004F4883">
          <w:pPr>
            <w:pStyle w:val="TOC2"/>
            <w:tabs>
              <w:tab w:val="left" w:pos="360"/>
            </w:tabs>
            <w:spacing w:line="276" w:lineRule="auto"/>
            <w:rPr>
              <w:rFonts w:ascii="Arial" w:eastAsiaTheme="minorEastAsia" w:hAnsi="Arial" w:cs="Arial"/>
              <w:noProof/>
              <w:kern w:val="2"/>
              <w:sz w:val="24"/>
              <w:szCs w:val="24"/>
              <w:lang w:val="en-US"/>
              <w14:ligatures w14:val="standardContextual"/>
            </w:rPr>
          </w:pPr>
          <w:hyperlink w:anchor="_Toc234833738" w:history="1">
            <w:r w:rsidRPr="004F4883">
              <w:rPr>
                <w:rStyle w:val="Hyperlink"/>
                <w:rFonts w:ascii="Arial" w:hAnsi="Arial" w:cs="Arial"/>
                <w:noProof/>
                <w:sz w:val="24"/>
                <w:szCs w:val="24"/>
              </w:rPr>
              <w:t>PORTER’S FIVE FORCES TABLE</w:t>
            </w:r>
            <w:r w:rsidRPr="004F4883">
              <w:rPr>
                <w:rFonts w:ascii="Arial" w:hAnsi="Arial" w:cs="Arial"/>
                <w:noProof/>
                <w:webHidden/>
                <w:sz w:val="24"/>
                <w:szCs w:val="24"/>
              </w:rPr>
              <w:tab/>
            </w:r>
            <w:r w:rsidRPr="004F4883">
              <w:rPr>
                <w:rFonts w:ascii="Arial" w:hAnsi="Arial" w:cs="Arial"/>
                <w:noProof/>
                <w:webHidden/>
                <w:sz w:val="24"/>
                <w:szCs w:val="24"/>
              </w:rPr>
              <w:fldChar w:fldCharType="begin"/>
            </w:r>
            <w:r w:rsidRPr="004F4883">
              <w:rPr>
                <w:rFonts w:ascii="Arial" w:hAnsi="Arial" w:cs="Arial"/>
                <w:noProof/>
                <w:webHidden/>
                <w:sz w:val="24"/>
                <w:szCs w:val="24"/>
              </w:rPr>
              <w:instrText xml:space="preserve"> PAGEREF _Toc234833738 \h </w:instrText>
            </w:r>
            <w:r w:rsidRPr="004F4883">
              <w:rPr>
                <w:rFonts w:ascii="Arial" w:hAnsi="Arial" w:cs="Arial"/>
                <w:noProof/>
                <w:webHidden/>
                <w:sz w:val="24"/>
                <w:szCs w:val="24"/>
              </w:rPr>
            </w:r>
            <w:r w:rsidRPr="004F4883">
              <w:rPr>
                <w:rFonts w:ascii="Arial" w:hAnsi="Arial" w:cs="Arial"/>
                <w:noProof/>
                <w:webHidden/>
                <w:sz w:val="24"/>
                <w:szCs w:val="24"/>
              </w:rPr>
              <w:fldChar w:fldCharType="separate"/>
            </w:r>
            <w:r w:rsidRPr="004F4883">
              <w:rPr>
                <w:rFonts w:ascii="Arial" w:hAnsi="Arial" w:cs="Arial"/>
                <w:noProof/>
                <w:webHidden/>
                <w:sz w:val="24"/>
                <w:szCs w:val="24"/>
              </w:rPr>
              <w:t>20</w:t>
            </w:r>
            <w:r w:rsidRPr="004F4883">
              <w:rPr>
                <w:rFonts w:ascii="Arial" w:hAnsi="Arial" w:cs="Arial"/>
                <w:noProof/>
                <w:webHidden/>
                <w:sz w:val="24"/>
                <w:szCs w:val="24"/>
              </w:rPr>
              <w:fldChar w:fldCharType="end"/>
            </w:r>
          </w:hyperlink>
        </w:p>
        <w:p w14:paraId="2AF475AB" w14:textId="223D3BE8" w:rsidR="002C3CA1" w:rsidRPr="00DF3771" w:rsidRDefault="002C3CA1" w:rsidP="004F4883">
          <w:pPr>
            <w:tabs>
              <w:tab w:val="left" w:pos="360"/>
            </w:tabs>
            <w:rPr>
              <w:rFonts w:ascii="Arial" w:hAnsi="Arial" w:cs="Arial"/>
            </w:rPr>
          </w:pPr>
          <w:r w:rsidRPr="00DF3771">
            <w:rPr>
              <w:rFonts w:ascii="Arial" w:hAnsi="Arial" w:cs="Arial"/>
              <w:b/>
              <w:bCs/>
              <w:noProof/>
              <w:sz w:val="22"/>
              <w:szCs w:val="22"/>
            </w:rPr>
            <w:fldChar w:fldCharType="end"/>
          </w:r>
        </w:p>
      </w:sdtContent>
    </w:sdt>
    <w:p w14:paraId="7A893B52" w14:textId="77777777" w:rsidR="002C3CA1" w:rsidRPr="00DF3771" w:rsidRDefault="002C3CA1" w:rsidP="004F4883">
      <w:pPr>
        <w:tabs>
          <w:tab w:val="left" w:pos="360"/>
        </w:tabs>
        <w:spacing w:before="100" w:beforeAutospacing="1" w:after="100" w:afterAutospacing="1" w:line="360" w:lineRule="auto"/>
        <w:jc w:val="both"/>
        <w:outlineLvl w:val="1"/>
        <w:rPr>
          <w:rFonts w:ascii="Arial" w:eastAsia="Times New Roman" w:hAnsi="Arial" w:cs="Arial"/>
          <w:b/>
          <w:bCs/>
          <w:sz w:val="36"/>
          <w:szCs w:val="36"/>
          <w:lang w:eastAsia="en-GB"/>
        </w:rPr>
      </w:pPr>
    </w:p>
    <w:p w14:paraId="74B0B0C6" w14:textId="77777777"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301DB22A" w14:textId="77777777"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4A5D6255" w14:textId="1D0E6DFE"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4D9E6750" w14:textId="50EE5130" w:rsidR="002C3CA1" w:rsidRPr="00DF3771" w:rsidRDefault="002C3CA1" w:rsidP="002C3CA1">
      <w:pPr>
        <w:spacing w:before="100" w:beforeAutospacing="1" w:after="100" w:afterAutospacing="1" w:line="360" w:lineRule="auto"/>
        <w:jc w:val="both"/>
        <w:outlineLvl w:val="1"/>
        <w:rPr>
          <w:rFonts w:ascii="Arial" w:eastAsia="Times New Roman" w:hAnsi="Arial" w:cs="Arial"/>
          <w:b/>
          <w:bCs/>
          <w:sz w:val="36"/>
          <w:szCs w:val="36"/>
          <w:lang w:eastAsia="en-GB"/>
        </w:rPr>
      </w:pPr>
    </w:p>
    <w:p w14:paraId="3F994EA3" w14:textId="7D47F32B" w:rsidR="002C3CA1" w:rsidRPr="00DF3771" w:rsidRDefault="002C3CA1" w:rsidP="000E3F74">
      <w:pPr>
        <w:pStyle w:val="Heading1"/>
        <w:rPr>
          <w:rFonts w:ascii="Arial" w:eastAsia="Times New Roman" w:hAnsi="Arial" w:cs="Arial"/>
          <w:lang w:eastAsia="en-GB"/>
        </w:rPr>
      </w:pPr>
    </w:p>
    <w:p w14:paraId="4C48A292" w14:textId="77777777" w:rsidR="00DE3A9E" w:rsidRPr="00DF3771" w:rsidRDefault="00DE3A9E" w:rsidP="00DE3A9E">
      <w:pPr>
        <w:rPr>
          <w:rFonts w:ascii="Arial" w:hAnsi="Arial" w:cs="Arial"/>
          <w:lang w:eastAsia="en-GB"/>
        </w:rPr>
      </w:pPr>
    </w:p>
    <w:p w14:paraId="6B209DD9" w14:textId="7E48CFEB" w:rsidR="002C3CA1" w:rsidRPr="00DF3771" w:rsidRDefault="002C3CA1" w:rsidP="00DF3771">
      <w:pPr>
        <w:pStyle w:val="Heading1"/>
        <w:spacing w:line="360" w:lineRule="auto"/>
        <w:rPr>
          <w:rFonts w:ascii="Arial" w:eastAsia="Times New Roman" w:hAnsi="Arial" w:cs="Arial"/>
          <w:sz w:val="24"/>
          <w:szCs w:val="24"/>
          <w:lang w:eastAsia="en-GB"/>
        </w:rPr>
      </w:pPr>
      <w:bookmarkStart w:id="2" w:name="_Toc234833725"/>
      <w:r w:rsidRPr="00DF3771">
        <w:rPr>
          <w:rFonts w:ascii="Arial" w:eastAsia="Times New Roman" w:hAnsi="Arial" w:cs="Arial"/>
          <w:sz w:val="24"/>
          <w:szCs w:val="24"/>
          <w:lang w:eastAsia="en-GB"/>
        </w:rPr>
        <w:lastRenderedPageBreak/>
        <w:t>1. Executive Summary</w:t>
      </w:r>
      <w:bookmarkEnd w:id="2"/>
    </w:p>
    <w:p w14:paraId="5D547621"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This report evaluates Vodafone UK during a major period of strategic transformation following the merger between Vodafone UK and Three UK. The merger, completed on 31 May 2025, created VodafoneThree, with Vodafone holding 51% and CK Hutchison holding 49% of the new joint venture (Vodafone, 2025). The combined business now has approximately 27 million customers and is supported by an £11 billion investment programme designed to improve the UK’s mobile infrastructure over the next decade (VodafoneThree, 2025).</w:t>
      </w:r>
    </w:p>
    <w:p w14:paraId="0C44CA33"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analysis finds that VodafoneThree has gained a stronger competitive position through scale, spectrum, network assets and a larger customer base. However, the business also faces significant risks. These include regulatory pressure from the Competition and Markets Authority, integration challenges, strong rivalry from BT/EE and Virgin Media O2, and ongoing customer service issues in parts of its broadband business. Ofcom’s Q4 2025 complaints data showed that Vodafone was one of the most complained-about broadband providers, demonstrating that customer experience remains a key weakness despite the company’s wider strategic progress (Ofcom, 2026).</w:t>
      </w:r>
    </w:p>
    <w:p w14:paraId="32B58456" w14:textId="6015A1D3" w:rsidR="002C3CA1" w:rsidRPr="00C90B0D" w:rsidRDefault="002C3CA1" w:rsidP="00DF3771">
      <w:pPr>
        <w:pStyle w:val="Heading1"/>
        <w:spacing w:line="360" w:lineRule="auto"/>
        <w:rPr>
          <w:rFonts w:ascii="Arial" w:eastAsia="Times New Roman" w:hAnsi="Arial" w:cs="Arial"/>
          <w:sz w:val="24"/>
          <w:szCs w:val="24"/>
          <w:lang w:eastAsia="en-GB"/>
        </w:rPr>
      </w:pPr>
      <w:bookmarkStart w:id="3" w:name="_Toc234833726"/>
      <w:r w:rsidRPr="00C90B0D">
        <w:rPr>
          <w:rFonts w:ascii="Arial" w:eastAsia="Times New Roman" w:hAnsi="Arial" w:cs="Arial"/>
          <w:sz w:val="24"/>
          <w:szCs w:val="24"/>
          <w:lang w:eastAsia="en-GB"/>
        </w:rPr>
        <w:t>2. Introduction</w:t>
      </w:r>
      <w:bookmarkEnd w:id="3"/>
      <w:r w:rsidRPr="00C90B0D">
        <w:rPr>
          <w:rFonts w:ascii="Arial" w:eastAsia="Times New Roman" w:hAnsi="Arial" w:cs="Arial"/>
          <w:sz w:val="24"/>
          <w:szCs w:val="24"/>
          <w:lang w:eastAsia="en-GB"/>
        </w:rPr>
        <w:t xml:space="preserve"> </w:t>
      </w:r>
    </w:p>
    <w:p w14:paraId="4AE9EE04" w14:textId="77777777"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Vodafone UK is currently operating through one of the most significant periods of strategic change in its recent history. The completion of the Vodafone UK and Three UK merger in May 2025 created VodafoneThree, a new joint venture with around 27 million customers and a planned £11 billion investment programme over the next decade (Vodafone, 2025; VodafoneThree, 2025). This has strengthened Vodafone’s scale in the UK mobile market and created an opportunity to build a more powerful national digital infrastructure platform. However, the merger also brings significant strategic challenges, including integration risk, regulatory scrutiny, customer service expectations and intense competition from BT/EE, Virgin Media O2 and mobile virtual network operators.</w:t>
      </w:r>
    </w:p>
    <w:p w14:paraId="0B5CE58D" w14:textId="77777777"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purpose of this report is to evaluate VodafoneThree’s current strategic position and recommend a suitable growth strategy for the board of directors. The report argues that VodafoneThree should not rely only on consumer mobile growth or price-based competition. The UK telecommunications market is highly competitive, and Porter’s Five Forces suggests that rivalry and buyer power place pressure on margins (Porter, 1980). Therefore, VodafoneThree needs a strategy that uses its enlarged network, enterprise capabilities and investment commitment to create higher-value sources of growth.</w:t>
      </w:r>
    </w:p>
    <w:p w14:paraId="62874D36" w14:textId="7AD95884" w:rsidR="002C3CA1"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lastRenderedPageBreak/>
        <w:t>The report will first introduce Vodafone by outlining its mission, values and strategic direction. It will then evaluate the company’s current market situation using SWOT analysis and Porter’s Five Forces. These frameworks will assess VodafoneThree’s internal strengths and weaknesses, as well as the external competitive pressures shaping the UK telecoms sector. The report will then examine strategic growth options using Ansoff’s Matrix and Porter’s Generic Strategies before proposing an ecosystem-led growth strategy. This strategy recommends that VodafoneThree should reposition itself as a digital infrastructure partner for businesses, public services, local authorities and communities through services such as private 5G, IoT, cybersecurity, SME digital packages and smart city partnerships.</w:t>
      </w:r>
    </w:p>
    <w:p w14:paraId="44890F32" w14:textId="77777777" w:rsidR="002C3CA1" w:rsidRPr="00C90B0D" w:rsidRDefault="002C3CA1" w:rsidP="00DF3771">
      <w:pPr>
        <w:pStyle w:val="Heading1"/>
        <w:spacing w:line="360" w:lineRule="auto"/>
        <w:rPr>
          <w:rFonts w:ascii="Arial" w:hAnsi="Arial" w:cs="Arial"/>
          <w:sz w:val="24"/>
          <w:szCs w:val="24"/>
        </w:rPr>
      </w:pPr>
      <w:bookmarkStart w:id="4" w:name="_Toc234833727"/>
      <w:r w:rsidRPr="00C90B0D">
        <w:rPr>
          <w:rFonts w:ascii="Arial" w:hAnsi="Arial" w:cs="Arial"/>
          <w:sz w:val="24"/>
          <w:szCs w:val="24"/>
        </w:rPr>
        <w:t>3. Evaluation of Current Market Situation</w:t>
      </w:r>
      <w:bookmarkEnd w:id="4"/>
    </w:p>
    <w:p w14:paraId="5918CEF9" w14:textId="129F5C6B" w:rsidR="002C3CA1" w:rsidRPr="00DF3771" w:rsidRDefault="002C3CA1" w:rsidP="00DF3771">
      <w:pPr>
        <w:spacing w:before="100" w:beforeAutospacing="1" w:after="100" w:afterAutospacing="1" w:line="360" w:lineRule="auto"/>
        <w:jc w:val="both"/>
        <w:outlineLvl w:val="2"/>
        <w:rPr>
          <w:rFonts w:ascii="Arial" w:eastAsia="Times New Roman" w:hAnsi="Arial" w:cs="Arial"/>
          <w:b/>
          <w:bCs/>
          <w:sz w:val="22"/>
          <w:szCs w:val="22"/>
          <w:lang w:eastAsia="en-GB"/>
        </w:rPr>
      </w:pPr>
      <w:bookmarkStart w:id="5" w:name="_Toc234833728"/>
      <w:r w:rsidRPr="00DF3771">
        <w:rPr>
          <w:rFonts w:ascii="Arial" w:eastAsia="Times New Roman" w:hAnsi="Arial" w:cs="Arial"/>
          <w:b/>
          <w:bCs/>
          <w:sz w:val="22"/>
          <w:szCs w:val="22"/>
          <w:lang w:eastAsia="en-GB"/>
        </w:rPr>
        <w:t>3.1 SWOT Analysis</w:t>
      </w:r>
      <w:bookmarkEnd w:id="5"/>
    </w:p>
    <w:p w14:paraId="27C9102F"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A SWOT analysis helps identify VodafoneThree’s internal strengths and weaknesses, as well as the external opportunities and threats in the UK telecoms market.</w:t>
      </w:r>
    </w:p>
    <w:p w14:paraId="677E99DD"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One of VodafoneThree’s main strengths is its enlarged market scale. The merger created the UK’s largest mobile operator, serving around 27 million customers (IG, 2025). This gives the company a stronger national footprint, improved spectrum position and greater ability to fund long-term infrastructure investment. In telecoms, scale is a major advantage because networks require heavy capital expenditure, long payback periods and continuous investment in upgrades.</w:t>
      </w:r>
    </w:p>
    <w:p w14:paraId="7EE1955D"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A second strength is the company’s guaranteed network investment plan. VodafoneThree has committed to an £11 billion investment programme, with a goal of building a stronger UK network and reaching 99% 5G Standalone population coverage by 2030 and 99.96% by 2034 (VodafoneThree, 2025). This creates a strong foundation for future services such as industrial IoT, autonomous mobility, smart energy systems and advanced enterprise connectivity.</w:t>
      </w:r>
    </w:p>
    <w:p w14:paraId="473E7AF9"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However, VodafoneThree also has weaknesses. The first is integration complexity. Combining two large mobile operators involves merging networks, systems, employees, suppliers, customer data, retail processes and organisational cultures. Although the merger creates scale, it also creates execution risk. If integration is poorly managed, the company may experience service disruption, slow decision-making or delayed cost savings.</w:t>
      </w:r>
    </w:p>
    <w:p w14:paraId="43007388"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A second weakness is customer service performance. Ofcom’s Q4 2025 complaints report showed that Vodafone was among the most complained-about broadband providers, with </w:t>
      </w:r>
      <w:r w:rsidRPr="00DF3771">
        <w:rPr>
          <w:rFonts w:ascii="Arial" w:eastAsia="Times New Roman" w:hAnsi="Arial" w:cs="Arial"/>
          <w:sz w:val="22"/>
          <w:szCs w:val="22"/>
          <w:lang w:eastAsia="en-GB"/>
        </w:rPr>
        <w:lastRenderedPageBreak/>
        <w:t>complaints increasing compared with the previous quarter (Ofcom, 2026). This is strategically important because a company cannot successfully position itself as a trusted digital infrastructure partner if customers associate the brand with poor complaint handling, faults or unclear communication.</w:t>
      </w:r>
    </w:p>
    <w:p w14:paraId="1F7FDB57"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biggest opportunity is the growth of the UK digital economy. Businesses, councils, transport providers, healthcare organisations and manufacturers increasingly need secure, reliable and low-latency connectivity. VodafoneThree can use its 5G Standalone investment to support smart cities, connected logistics, remote healthcare, smart manufacturing and public-sector digital services. This creates an opportunity to shift from being viewed as a mobile network operator to being seen as a digital transformation partner.</w:t>
      </w:r>
    </w:p>
    <w:p w14:paraId="4DB9EE92"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main threats are intense competition and regulation. BT/EE and Virgin Media O2 remain powerful competitors with strong brands, fixed-mobile bundles and large customer bases. The CMA also approved the Vodafone/Three merger only after final undertakings were accepted in March 2025, showing that VodafoneThree will operate under close regulatory scrutiny (CMA, 2025). This means the company must show that its strategy benefits customers, not only shareholders.</w:t>
      </w:r>
    </w:p>
    <w:p w14:paraId="2BD59DD3" w14:textId="2ACAAD3F" w:rsidR="002C3CA1" w:rsidRPr="00DF3771" w:rsidRDefault="002C3CA1" w:rsidP="00DF3771">
      <w:pPr>
        <w:pStyle w:val="Heading2"/>
        <w:spacing w:line="360" w:lineRule="auto"/>
        <w:rPr>
          <w:rFonts w:ascii="Arial" w:hAnsi="Arial" w:cs="Arial"/>
          <w:sz w:val="22"/>
          <w:szCs w:val="22"/>
        </w:rPr>
      </w:pPr>
      <w:bookmarkStart w:id="6" w:name="_Toc234833729"/>
      <w:r w:rsidRPr="00DF3771">
        <w:rPr>
          <w:rFonts w:ascii="Arial" w:hAnsi="Arial" w:cs="Arial"/>
          <w:sz w:val="22"/>
          <w:szCs w:val="22"/>
        </w:rPr>
        <w:t>3</w:t>
      </w:r>
      <w:r w:rsidR="000E3F74" w:rsidRPr="00DF3771">
        <w:rPr>
          <w:rFonts w:ascii="Arial" w:hAnsi="Arial" w:cs="Arial"/>
          <w:sz w:val="22"/>
          <w:szCs w:val="22"/>
        </w:rPr>
        <w:t>.2</w:t>
      </w:r>
      <w:r w:rsidRPr="00DF3771">
        <w:rPr>
          <w:rFonts w:ascii="Arial" w:hAnsi="Arial" w:cs="Arial"/>
          <w:sz w:val="22"/>
          <w:szCs w:val="22"/>
        </w:rPr>
        <w:t xml:space="preserve"> Porter’s Five Forces</w:t>
      </w:r>
      <w:bookmarkEnd w:id="6"/>
    </w:p>
    <w:p w14:paraId="4C42BE42" w14:textId="46A81CBB"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Porter’s Five Forces is useful for evaluating VodafoneThree because it shows the level of competitive pressure in the UK telecommunications industry and helps explain why the company needs to move beyond traditional mobile competition. Porter (1980) argues that industry attractiveness depends on the strength of five competitive forces, which influence profitability and strategic positioning. </w:t>
      </w:r>
    </w:p>
    <w:p w14:paraId="3789C5C4" w14:textId="02747760"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The first force is </w:t>
      </w:r>
      <w:r w:rsidRPr="00DF3771">
        <w:rPr>
          <w:rFonts w:ascii="Arial" w:eastAsia="Times New Roman" w:hAnsi="Arial" w:cs="Arial"/>
          <w:b/>
          <w:bCs/>
          <w:sz w:val="22"/>
          <w:szCs w:val="22"/>
          <w:lang w:eastAsia="en-GB"/>
        </w:rPr>
        <w:t>competitive rivalry</w:t>
      </w:r>
      <w:r w:rsidRPr="00DF3771">
        <w:rPr>
          <w:rFonts w:ascii="Arial" w:eastAsia="Times New Roman" w:hAnsi="Arial" w:cs="Arial"/>
          <w:sz w:val="22"/>
          <w:szCs w:val="22"/>
          <w:lang w:eastAsia="en-GB"/>
        </w:rPr>
        <w:t xml:space="preserve">, which is very high. VodafoneThree competes directly with BT/EE and Virgin Media O2, while also facing pressure from mobile virtual network operators such as Tesco Mobile, Sky Mobile, Giffgaff, </w:t>
      </w:r>
      <w:proofErr w:type="spellStart"/>
      <w:r w:rsidRPr="00DF3771">
        <w:rPr>
          <w:rFonts w:ascii="Arial" w:eastAsia="Times New Roman" w:hAnsi="Arial" w:cs="Arial"/>
          <w:sz w:val="22"/>
          <w:szCs w:val="22"/>
          <w:lang w:eastAsia="en-GB"/>
        </w:rPr>
        <w:t>Lebara</w:t>
      </w:r>
      <w:proofErr w:type="spellEnd"/>
      <w:r w:rsidRPr="00DF3771">
        <w:rPr>
          <w:rFonts w:ascii="Arial" w:eastAsia="Times New Roman" w:hAnsi="Arial" w:cs="Arial"/>
          <w:sz w:val="22"/>
          <w:szCs w:val="22"/>
          <w:lang w:eastAsia="en-GB"/>
        </w:rPr>
        <w:t xml:space="preserve"> and Smarty. These competitors often use low-cost SIM-only deals, flexible contracts and promotional pricing to attract price-sensitive customers. Although the Vodafone and Three merger created a larger operator with around 27 million customers, scale does not remove rivalry; it changes the basis of competition (Vodafone, 2025). Competitors are likely to respond through stronger bundles, loyalty offers, network-quality advertising and aggressive retention deals. Instead, the company must convert its larger network and £11 billion investment plan into clear value for customers and businesses (VodafoneThree, 2025). </w:t>
      </w:r>
    </w:p>
    <w:p w14:paraId="3B74B73C" w14:textId="491459F8"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lastRenderedPageBreak/>
        <w:t xml:space="preserve">The second force is the </w:t>
      </w:r>
      <w:r w:rsidRPr="00DF3771">
        <w:rPr>
          <w:rFonts w:ascii="Arial" w:eastAsia="Times New Roman" w:hAnsi="Arial" w:cs="Arial"/>
          <w:b/>
          <w:bCs/>
          <w:sz w:val="22"/>
          <w:szCs w:val="22"/>
          <w:lang w:eastAsia="en-GB"/>
        </w:rPr>
        <w:t>bargaining power of buyers</w:t>
      </w:r>
      <w:r w:rsidRPr="00DF3771">
        <w:rPr>
          <w:rFonts w:ascii="Arial" w:eastAsia="Times New Roman" w:hAnsi="Arial" w:cs="Arial"/>
          <w:sz w:val="22"/>
          <w:szCs w:val="22"/>
          <w:lang w:eastAsia="en-GB"/>
        </w:rPr>
        <w:t xml:space="preserve">, which is also high. UK telecoms customers can compare providers easily through comparison websites and switch between SIM-only contracts, handset deals, broadband packages and bundled services. Ofcom’s market reporting shows that the UK communications sector is closely monitored and highly transparent, which increases consumer awareness and makes it harder for providers to hide weak value propositions (Ofcom, 2025). Buyer power is particularly strong because many customers view mobile and broadband services as essential utilities rather than luxury products. This makes them sensitive to price increases, service failures and poor complaint handling. Vodafone’s position is weakened further by Ofcom’s Q4 2025 complaints data, which identified Vodafone as one of the most complained-about broadband providers (Ofcom, 2026). </w:t>
      </w:r>
    </w:p>
    <w:p w14:paraId="07A65A22" w14:textId="2CCC4C80"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The third force is the </w:t>
      </w:r>
      <w:r w:rsidRPr="00DF3771">
        <w:rPr>
          <w:rFonts w:ascii="Arial" w:eastAsia="Times New Roman" w:hAnsi="Arial" w:cs="Arial"/>
          <w:b/>
          <w:bCs/>
          <w:sz w:val="22"/>
          <w:szCs w:val="22"/>
          <w:lang w:eastAsia="en-GB"/>
        </w:rPr>
        <w:t>bargaining power of suppliers</w:t>
      </w:r>
      <w:r w:rsidRPr="00DF3771">
        <w:rPr>
          <w:rFonts w:ascii="Arial" w:eastAsia="Times New Roman" w:hAnsi="Arial" w:cs="Arial"/>
          <w:sz w:val="22"/>
          <w:szCs w:val="22"/>
          <w:lang w:eastAsia="en-GB"/>
        </w:rPr>
        <w:t xml:space="preserve">, which is moderate to high. VodafoneThree depends on network equipment suppliers, software providers, handset manufacturers, cloud partners, construction contractors and cybersecurity vendors. This supplier power is important because VodafoneThree’s strategy depends on delivering a large-scale network investment programme. The company’s £11 billion investment commitment requires reliable access to equipment, engineering capacity and technical expertise (VodafoneThree, 2025). If supplier costs rise or rollout partners fail to meet deadlines, VodafoneThree’s ability to deliver nationwide 5G Standalone coverage could be </w:t>
      </w:r>
      <w:proofErr w:type="gramStart"/>
      <w:r w:rsidRPr="00DF3771">
        <w:rPr>
          <w:rFonts w:ascii="Arial" w:eastAsia="Times New Roman" w:hAnsi="Arial" w:cs="Arial"/>
          <w:sz w:val="22"/>
          <w:szCs w:val="22"/>
          <w:lang w:eastAsia="en-GB"/>
        </w:rPr>
        <w:t>delayed..</w:t>
      </w:r>
      <w:proofErr w:type="gramEnd"/>
      <w:r w:rsidRPr="00DF3771">
        <w:rPr>
          <w:rFonts w:ascii="Arial" w:eastAsia="Times New Roman" w:hAnsi="Arial" w:cs="Arial"/>
          <w:sz w:val="22"/>
          <w:szCs w:val="22"/>
          <w:lang w:eastAsia="en-GB"/>
        </w:rPr>
        <w:t xml:space="preserve"> </w:t>
      </w:r>
    </w:p>
    <w:p w14:paraId="13DC7BF5" w14:textId="349F86F8" w:rsidR="000E3F74"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The fourth force is the </w:t>
      </w:r>
      <w:r w:rsidRPr="00DF3771">
        <w:rPr>
          <w:rFonts w:ascii="Arial" w:eastAsia="Times New Roman" w:hAnsi="Arial" w:cs="Arial"/>
          <w:b/>
          <w:bCs/>
          <w:sz w:val="22"/>
          <w:szCs w:val="22"/>
          <w:lang w:eastAsia="en-GB"/>
        </w:rPr>
        <w:t>threat of substitutes</w:t>
      </w:r>
      <w:r w:rsidRPr="00DF3771">
        <w:rPr>
          <w:rFonts w:ascii="Arial" w:eastAsia="Times New Roman" w:hAnsi="Arial" w:cs="Arial"/>
          <w:sz w:val="22"/>
          <w:szCs w:val="22"/>
          <w:lang w:eastAsia="en-GB"/>
        </w:rPr>
        <w:t xml:space="preserve">, which is moderate but strategically important. Customers still need connectivity, so there is no direct substitute for mobile and broadband access. However, the value created by connectivity is increasingly captured by digital platforms such as WhatsApp, Microsoft Teams, Zoom, Netflix, cloud applications and social media services. This means telecoms providers carry the data traffic, while platform businesses often control the customer relationship and capture higher margins. This creates a strategic problem for VodafoneThree: if it remains only a connectivity provider, it risks becoming a low-margin infrastructure utility. </w:t>
      </w:r>
    </w:p>
    <w:p w14:paraId="09BC9BE8" w14:textId="6709A1F9" w:rsidR="002C3CA1" w:rsidRPr="00DF3771" w:rsidRDefault="000E3F74"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The fifth force is the </w:t>
      </w:r>
      <w:r w:rsidRPr="00DF3771">
        <w:rPr>
          <w:rFonts w:ascii="Arial" w:eastAsia="Times New Roman" w:hAnsi="Arial" w:cs="Arial"/>
          <w:b/>
          <w:bCs/>
          <w:sz w:val="22"/>
          <w:szCs w:val="22"/>
          <w:lang w:eastAsia="en-GB"/>
        </w:rPr>
        <w:t>threat of new entrants</w:t>
      </w:r>
      <w:r w:rsidRPr="00DF3771">
        <w:rPr>
          <w:rFonts w:ascii="Arial" w:eastAsia="Times New Roman" w:hAnsi="Arial" w:cs="Arial"/>
          <w:sz w:val="22"/>
          <w:szCs w:val="22"/>
          <w:lang w:eastAsia="en-GB"/>
        </w:rPr>
        <w:t xml:space="preserve">, which is low in traditional mobile network operations. The barriers to entry are high because a new mobile network operator would need spectrum, masts, infrastructure, regulatory approval, major capital investment and national coverage. The CMA’s detailed review of the Vodafone and Three merger also </w:t>
      </w:r>
      <w:proofErr w:type="gramStart"/>
      <w:r w:rsidRPr="00DF3771">
        <w:rPr>
          <w:rFonts w:ascii="Arial" w:eastAsia="Times New Roman" w:hAnsi="Arial" w:cs="Arial"/>
          <w:sz w:val="22"/>
          <w:szCs w:val="22"/>
          <w:lang w:eastAsia="en-GB"/>
        </w:rPr>
        <w:t>demonstrates</w:t>
      </w:r>
      <w:proofErr w:type="gramEnd"/>
      <w:r w:rsidRPr="00DF3771">
        <w:rPr>
          <w:rFonts w:ascii="Arial" w:eastAsia="Times New Roman" w:hAnsi="Arial" w:cs="Arial"/>
          <w:sz w:val="22"/>
          <w:szCs w:val="22"/>
          <w:lang w:eastAsia="en-GB"/>
        </w:rPr>
        <w:t xml:space="preserve"> the regulatory complexity of the UK mobile market (CMA, 2025). These barriers protect VodafoneThree from new physical network competitors. However, the threat of new entrants is higher in adjacent digital markets. Technology firms, cloud providers, cybersecurity </w:t>
      </w:r>
      <w:r w:rsidRPr="00DF3771">
        <w:rPr>
          <w:rFonts w:ascii="Arial" w:eastAsia="Times New Roman" w:hAnsi="Arial" w:cs="Arial"/>
          <w:sz w:val="22"/>
          <w:szCs w:val="22"/>
          <w:lang w:eastAsia="en-GB"/>
        </w:rPr>
        <w:lastRenderedPageBreak/>
        <w:t xml:space="preserve">companies and IoT platform providers can compete for enterprise digital budgets without owning a mobile network. </w:t>
      </w:r>
    </w:p>
    <w:p w14:paraId="0DF8E4C6" w14:textId="77777777" w:rsidR="002C3CA1" w:rsidRPr="00C90B0D" w:rsidRDefault="002C3CA1" w:rsidP="00DF3771">
      <w:pPr>
        <w:pStyle w:val="Heading1"/>
        <w:spacing w:line="360" w:lineRule="auto"/>
        <w:rPr>
          <w:rFonts w:ascii="Arial" w:eastAsia="Times New Roman" w:hAnsi="Arial" w:cs="Arial"/>
          <w:sz w:val="24"/>
          <w:szCs w:val="24"/>
          <w:lang w:eastAsia="en-GB"/>
        </w:rPr>
      </w:pPr>
      <w:bookmarkStart w:id="7" w:name="_Toc234833730"/>
      <w:r w:rsidRPr="00C90B0D">
        <w:rPr>
          <w:rFonts w:ascii="Arial" w:eastAsia="Times New Roman" w:hAnsi="Arial" w:cs="Arial"/>
          <w:sz w:val="24"/>
          <w:szCs w:val="24"/>
          <w:lang w:eastAsia="en-GB"/>
        </w:rPr>
        <w:t>4. Strategic Growth Options and Proposed Strategy</w:t>
      </w:r>
      <w:bookmarkEnd w:id="7"/>
    </w:p>
    <w:p w14:paraId="206D44F1" w14:textId="108999D1"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has several possible strategic growth options. Using Ansoff’s Matrix, the first option is market penetration. This would involve using the merger to win more consumer mobile and broadband customers from BT/EE, Virgin Media O2 and smaller providers. This option is realistic because VodafoneThree now has a larger network and customer base. However, market penetration in consumer telecoms can easily become </w:t>
      </w:r>
      <w:r w:rsidR="000E3F74" w:rsidRPr="00DF3771">
        <w:rPr>
          <w:rFonts w:ascii="Arial" w:eastAsia="Times New Roman" w:hAnsi="Arial" w:cs="Arial"/>
          <w:sz w:val="22"/>
          <w:szCs w:val="22"/>
          <w:lang w:eastAsia="en-GB"/>
        </w:rPr>
        <w:t>price led</w:t>
      </w:r>
      <w:r w:rsidRPr="00DF3771">
        <w:rPr>
          <w:rFonts w:ascii="Arial" w:eastAsia="Times New Roman" w:hAnsi="Arial" w:cs="Arial"/>
          <w:sz w:val="22"/>
          <w:szCs w:val="22"/>
          <w:lang w:eastAsia="en-GB"/>
        </w:rPr>
        <w:t>. This would not be ideal because VodafoneThree needs strong margins to fund its £11 billion network investment.</w:t>
      </w:r>
    </w:p>
    <w:p w14:paraId="1AFA9032"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second option is product development. VodafoneThree could create new services for existing consumer and business customers, including cybersecurity products, smart home bundles, business cloud support, IoT packages, private 5G networks and advanced connectivity for SMEs. This is more attractive because it allows VodafoneThree to increase value per customer rather than only chasing customer numbers.</w:t>
      </w:r>
    </w:p>
    <w:p w14:paraId="197A7BF3"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third option is market development. VodafoneThree could target new markets such as local authorities, healthcare providers, logistics companies, manufacturers, rural communities and public-sector organisations. These customers need reliable and secure connectivity, especially as services become more digital. This option fits well with Vodafone’s capabilities because the company has both consumer network scale and enterprise experience.</w:t>
      </w:r>
    </w:p>
    <w:p w14:paraId="0AF1CC15"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fourth option is related diversification. VodafoneThree could move further into digital infrastructure ecosystems, including smart cities, connected transport, industrial IoT and public-sector digital transformation. This is riskier than simple market penetration, but it offers greater long-term growth potential because it moves the company away from low-margin telecoms competition.</w:t>
      </w:r>
    </w:p>
    <w:p w14:paraId="792EFAF2"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recommended strategy is therefore an ecosystem-led growth strategy. This strategy combines product development, market development and related diversification. Rather than positioning VodafoneThree only as a mobile provider, the company should become a national digital infrastructure partner for the UK.</w:t>
      </w:r>
    </w:p>
    <w:p w14:paraId="1A5E1465"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Under Porter’s Generic Strategies, this would be a focused differentiation strategy. VodafoneThree should differentiate itself by serving high-value customer groups that need </w:t>
      </w:r>
      <w:r w:rsidRPr="00DF3771">
        <w:rPr>
          <w:rFonts w:ascii="Arial" w:eastAsia="Times New Roman" w:hAnsi="Arial" w:cs="Arial"/>
          <w:sz w:val="22"/>
          <w:szCs w:val="22"/>
          <w:lang w:eastAsia="en-GB"/>
        </w:rPr>
        <w:lastRenderedPageBreak/>
        <w:t>secure, reliable and advanced connectivity. These include SMEs, local councils, transport providers, healthcare organisations and industrial firms. This is different from a basic consumer differentiation strategy because it focuses on building digital ecosystems rather than simply offering better coverage.</w:t>
      </w:r>
    </w:p>
    <w:p w14:paraId="2641318C"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strategy should have four main pillars. First, VodafoneThree should develop private 5G and IoT solutions for sectors such as logistics, manufacturing, healthcare and transport. Second, it should create smart city partnerships with local authorities, using 5G and IoT to support traffic management, energy monitoring, public safety and environmental data collection. Third, it should build a stronger SME digital package, combining mobile, broadband, cybersecurity, cloud support and device management. Fourth, it should develop a rural connectivity programme that links commercial growth with social value and digital inclusion.</w:t>
      </w:r>
    </w:p>
    <w:p w14:paraId="2E168CF2"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This strategy is justified because it makes better use of VodafoneThree’s new scale. If the company competes mainly on consumer price, the merger could simply create a larger operator in a low-margin market. However, if VodafoneThree uses its network to support business transformation, public services and smart infrastructure, it can create higher-value revenue streams and stronger competitive advantage.</w:t>
      </w:r>
    </w:p>
    <w:p w14:paraId="3229E586" w14:textId="77777777" w:rsidR="002C3CA1" w:rsidRPr="00DF3771" w:rsidRDefault="002C3CA1" w:rsidP="00DF3771">
      <w:pPr>
        <w:spacing w:before="100" w:beforeAutospacing="1" w:after="100" w:afterAutospacing="1" w:line="360" w:lineRule="auto"/>
        <w:jc w:val="both"/>
        <w:rPr>
          <w:rFonts w:ascii="Arial" w:eastAsia="Times New Roman" w:hAnsi="Arial" w:cs="Arial"/>
          <w:sz w:val="22"/>
          <w:szCs w:val="22"/>
          <w:lang w:eastAsia="en-GB"/>
        </w:rPr>
      </w:pPr>
      <w:r w:rsidRPr="00DF3771">
        <w:rPr>
          <w:rFonts w:ascii="Arial" w:eastAsia="Times New Roman" w:hAnsi="Arial" w:cs="Arial"/>
          <w:sz w:val="22"/>
          <w:szCs w:val="22"/>
          <w:lang w:eastAsia="en-GB"/>
        </w:rPr>
        <w:t>The strategy also aligns with Vodafone’s values and strategic priorities. It supports “create the future” by investing in 5G, IoT and smart infrastructure. It supports “earn customer loyalty” by solving practical problems for businesses and communities. It supports “get it done together” because ecosystem growth requires partnerships with councils, technology suppliers and enterprise customers. It also supports Vodafone Group’s priorities of Customers, Simplicity and Growth by creating clearer, higher-value digital solutions for defined customer groups (Vodafone Group, 2025).</w:t>
      </w:r>
    </w:p>
    <w:p w14:paraId="089B2625" w14:textId="77777777" w:rsidR="002C3CA1" w:rsidRPr="00C90B0D" w:rsidRDefault="002C3CA1" w:rsidP="00DF3771">
      <w:pPr>
        <w:pStyle w:val="Heading1"/>
        <w:spacing w:line="360" w:lineRule="auto"/>
        <w:rPr>
          <w:rFonts w:ascii="Arial" w:hAnsi="Arial" w:cs="Arial"/>
          <w:sz w:val="24"/>
          <w:szCs w:val="24"/>
        </w:rPr>
      </w:pPr>
      <w:bookmarkStart w:id="8" w:name="_Toc234833731"/>
      <w:r w:rsidRPr="00C90B0D">
        <w:rPr>
          <w:rFonts w:ascii="Arial" w:hAnsi="Arial" w:cs="Arial"/>
          <w:sz w:val="24"/>
          <w:szCs w:val="24"/>
        </w:rPr>
        <w:t>5. Strategy Evaluation</w:t>
      </w:r>
      <w:bookmarkEnd w:id="8"/>
    </w:p>
    <w:p w14:paraId="43130952" w14:textId="77777777"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The proposed ecosystem-led growth strategy can be evaluated using the </w:t>
      </w:r>
      <w:r w:rsidRPr="00C90B0D">
        <w:rPr>
          <w:rStyle w:val="Strong"/>
          <w:rFonts w:ascii="Arial" w:hAnsi="Arial" w:cs="Arial"/>
          <w:b w:val="0"/>
          <w:bCs w:val="0"/>
          <w:sz w:val="22"/>
          <w:szCs w:val="22"/>
        </w:rPr>
        <w:t>SFA</w:t>
      </w:r>
      <w:r w:rsidRPr="00DF3771">
        <w:rPr>
          <w:rStyle w:val="Strong"/>
          <w:rFonts w:ascii="Arial" w:hAnsi="Arial" w:cs="Arial"/>
          <w:b w:val="0"/>
          <w:bCs w:val="0"/>
          <w:sz w:val="22"/>
          <w:szCs w:val="22"/>
        </w:rPr>
        <w:t xml:space="preserve"> framework: Suitability, Feasibility and Acceptability</w:t>
      </w:r>
      <w:r w:rsidRPr="00DF3771">
        <w:rPr>
          <w:rFonts w:ascii="Arial" w:hAnsi="Arial" w:cs="Arial"/>
          <w:sz w:val="22"/>
          <w:szCs w:val="22"/>
        </w:rPr>
        <w:t>. This framework is useful because it assesses whether the strategy fits VodafoneThree’s external environment, whether it can realistically be delivered, and whether key stakeholders are likely to support it.</w:t>
      </w:r>
    </w:p>
    <w:p w14:paraId="4C596B40" w14:textId="77777777"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In terms of </w:t>
      </w:r>
      <w:r w:rsidRPr="00DF3771">
        <w:rPr>
          <w:rStyle w:val="Strong"/>
          <w:rFonts w:ascii="Arial" w:hAnsi="Arial" w:cs="Arial"/>
          <w:b w:val="0"/>
          <w:bCs w:val="0"/>
          <w:sz w:val="22"/>
          <w:szCs w:val="22"/>
        </w:rPr>
        <w:t>suitability</w:t>
      </w:r>
      <w:r w:rsidRPr="00DF3771">
        <w:rPr>
          <w:rFonts w:ascii="Arial" w:hAnsi="Arial" w:cs="Arial"/>
          <w:sz w:val="22"/>
          <w:szCs w:val="22"/>
        </w:rPr>
        <w:t xml:space="preserve">, the strategy is appropriate because the UK telecoms market is highly competitive and traditional mobile services are increasingly commoditised. Competing only through cheaper SIM-only deals or basic consumer mobile contracts would expose VodafoneThree to price pressure and reduce its ability to fund long-term infrastructure </w:t>
      </w:r>
      <w:r w:rsidRPr="00DF3771">
        <w:rPr>
          <w:rFonts w:ascii="Arial" w:hAnsi="Arial" w:cs="Arial"/>
          <w:sz w:val="22"/>
          <w:szCs w:val="22"/>
        </w:rPr>
        <w:lastRenderedPageBreak/>
        <w:t xml:space="preserve">investment. Vodafone Group’s annual reporting identifies its strategic priorities as </w:t>
      </w:r>
      <w:r w:rsidRPr="00DF3771">
        <w:rPr>
          <w:rStyle w:val="Strong"/>
          <w:rFonts w:ascii="Arial" w:hAnsi="Arial" w:cs="Arial"/>
          <w:b w:val="0"/>
          <w:bCs w:val="0"/>
          <w:sz w:val="22"/>
          <w:szCs w:val="22"/>
        </w:rPr>
        <w:t>Customers, Simplicity and Growth</w:t>
      </w:r>
      <w:r w:rsidRPr="00DF3771">
        <w:rPr>
          <w:rFonts w:ascii="Arial" w:hAnsi="Arial" w:cs="Arial"/>
          <w:sz w:val="22"/>
          <w:szCs w:val="22"/>
        </w:rPr>
        <w:t>, and states that the company has been reshaping its European footprint, simplifying operations and growing digital services (Vodafone Group, 2025). An ecosystem-led strategy fits this direction because it uses VodafoneThree’s enlarged network to create new digital services for businesses, local authorities and communities.</w:t>
      </w:r>
    </w:p>
    <w:p w14:paraId="1D7455A3" w14:textId="77777777"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The strategy is also suitable because VodafoneThree has committed to an £11 billion network investment programme, with the aim of reaching 99% 5G Standalone population coverage by 2030 and 99.96% by 2034 (VodafoneThree, 2025). This creates the infrastructure base needed for services such as private 5G networks, IoT, smart city solutions, connected transport, digital healthcare and SME cybersecurity packages. Therefore, the strategy is not disconnected from Vodafone’s current direction; it builds directly on the merger and network investment plan.</w:t>
      </w:r>
    </w:p>
    <w:p w14:paraId="13060A76" w14:textId="77777777"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In terms of </w:t>
      </w:r>
      <w:r w:rsidRPr="00DF3771">
        <w:rPr>
          <w:rStyle w:val="Strong"/>
          <w:rFonts w:ascii="Arial" w:hAnsi="Arial" w:cs="Arial"/>
          <w:b w:val="0"/>
          <w:bCs w:val="0"/>
          <w:sz w:val="22"/>
          <w:szCs w:val="22"/>
        </w:rPr>
        <w:t>feasibility</w:t>
      </w:r>
      <w:r w:rsidRPr="00DF3771">
        <w:rPr>
          <w:rFonts w:ascii="Arial" w:hAnsi="Arial" w:cs="Arial"/>
          <w:sz w:val="22"/>
          <w:szCs w:val="22"/>
        </w:rPr>
        <w:t>, the strategy is challenging but realistic. Vodafone already has business capabilities in IoT, enterprise connectivity and digital services. The merger with Three increases the company’s network scale and customer base, giving VodafoneThree a stronger platform for B2B expansion. However, feasibility depends on careful execution. The company will need investment in technical staff, enterprise sales teams, cybersecurity expertise, local authority partnerships and service innovation. It must also manage integration risk because combining Vodafone UK and Three UK systems, employees and networks may create short-term disruption.</w:t>
      </w:r>
    </w:p>
    <w:p w14:paraId="5308F30E" w14:textId="0757E6CC"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In terms of </w:t>
      </w:r>
      <w:r w:rsidRPr="00DF3771">
        <w:rPr>
          <w:rStyle w:val="Strong"/>
          <w:rFonts w:ascii="Arial" w:hAnsi="Arial" w:cs="Arial"/>
          <w:b w:val="0"/>
          <w:bCs w:val="0"/>
          <w:sz w:val="22"/>
          <w:szCs w:val="22"/>
        </w:rPr>
        <w:t>acceptability</w:t>
      </w:r>
      <w:r w:rsidRPr="00DF3771">
        <w:rPr>
          <w:rFonts w:ascii="Arial" w:hAnsi="Arial" w:cs="Arial"/>
          <w:sz w:val="22"/>
          <w:szCs w:val="22"/>
        </w:rPr>
        <w:t>, the strategy is likely to be attractive to shareholders because it targets higher-value services rather than relying only on consumer mobile margins. It is also likely to be acceptable to government and regulators because it supports digital inclusion, regional growth and improved infrastructure. The CMA approved the Vodafone and Three merger after accepting final undertakings, meaning VodafoneThree must continue to demonstrate consumer and public-interest benefits (CMA, 2025). An ecosystem-led strategy strengthens this case because it links commercial growth with national digital development.</w:t>
      </w:r>
    </w:p>
    <w:p w14:paraId="410C5560" w14:textId="77777777" w:rsidR="002C3CA1" w:rsidRPr="00C90B0D" w:rsidRDefault="002C3CA1" w:rsidP="00DF3771">
      <w:pPr>
        <w:pStyle w:val="Heading1"/>
        <w:spacing w:line="360" w:lineRule="auto"/>
        <w:rPr>
          <w:rFonts w:ascii="Arial" w:hAnsi="Arial" w:cs="Arial"/>
          <w:sz w:val="24"/>
          <w:szCs w:val="24"/>
        </w:rPr>
      </w:pPr>
      <w:bookmarkStart w:id="9" w:name="_Toc234833732"/>
      <w:r w:rsidRPr="00C90B0D">
        <w:rPr>
          <w:rFonts w:ascii="Arial" w:hAnsi="Arial" w:cs="Arial"/>
          <w:sz w:val="24"/>
          <w:szCs w:val="24"/>
        </w:rPr>
        <w:t>6. Stakeholder Analysis</w:t>
      </w:r>
      <w:bookmarkEnd w:id="9"/>
    </w:p>
    <w:p w14:paraId="5F320249" w14:textId="77777777" w:rsidR="00AC1CEB" w:rsidRPr="00DF3771" w:rsidRDefault="00AC1CEB"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The proposed ecosystem-led growth strategy would affect several stakeholder groups. Stakeholder theory argues that organisations should recognise the interests of all parties that contribute to, are affected by or can influence corporate activity, rather than concentrating exclusively on shareholder returns (Donaldson and Preston, 1995). Therefore, VodafoneThree should consider customers, employees, regulators, suppliers, communities, </w:t>
      </w:r>
      <w:r w:rsidRPr="00DF3771">
        <w:rPr>
          <w:rFonts w:ascii="Arial" w:hAnsi="Arial" w:cs="Arial"/>
          <w:sz w:val="22"/>
          <w:szCs w:val="22"/>
        </w:rPr>
        <w:lastRenderedPageBreak/>
        <w:t>investors and business partners when implementing the strategy. Mendelow’s Matrix, based on stakeholder power and interest, can then be used to determine how closely each group should be managed. Power–interest mapping helps organisations identify influential stakeholders and allocate management attention more effectively (Ackermann and Eden, 2011).</w:t>
      </w:r>
    </w:p>
    <w:p w14:paraId="1C8E8F9A" w14:textId="77777777" w:rsidR="00AC1CEB" w:rsidRPr="00DF3771" w:rsidRDefault="00AC1CEB" w:rsidP="00DF3771">
      <w:pPr>
        <w:pStyle w:val="NormalWeb"/>
        <w:spacing w:line="360" w:lineRule="auto"/>
        <w:jc w:val="both"/>
        <w:rPr>
          <w:rFonts w:ascii="Arial" w:hAnsi="Arial" w:cs="Arial"/>
          <w:sz w:val="22"/>
          <w:szCs w:val="22"/>
        </w:rPr>
      </w:pPr>
      <w:r w:rsidRPr="00C90B0D">
        <w:rPr>
          <w:rFonts w:ascii="Arial" w:hAnsi="Arial" w:cs="Arial"/>
          <w:b/>
          <w:bCs/>
          <w:sz w:val="22"/>
          <w:szCs w:val="22"/>
        </w:rPr>
        <w:t>The first group is shareholders and investors</w:t>
      </w:r>
      <w:r w:rsidRPr="00DF3771">
        <w:rPr>
          <w:rFonts w:ascii="Arial" w:hAnsi="Arial" w:cs="Arial"/>
          <w:sz w:val="22"/>
          <w:szCs w:val="22"/>
        </w:rPr>
        <w:t>. They have high power and high interest because they provide capital, exercise voting rights and expect the merger to generate growth, operational synergies, cash flow and sustainable long-term returns. The proposed strategy could benefit them by expanding VodafoneThree into higher-value business connectivity, private networks, IoT and digital infrastructure services rather than relying primarily on the highly price-sensitive consumer mobile market. Private mobile networks and large-scale IoT services have been identified as important opportunities for telecommunications operators seeking to support business productivity and develop new sources of revenue (GSMA, 2024). VodafoneThree should manage shareholders closely through regular performance updates, investment milestones and transparent financial reporting. This approach is consistent with the OECD’s emphasis on disclosure, accountability and the protection of shareholder rights (OECD, 2023).</w:t>
      </w:r>
    </w:p>
    <w:p w14:paraId="2427BBB2" w14:textId="5E419967" w:rsidR="00AC1CEB" w:rsidRPr="00DF3771" w:rsidRDefault="00AC1CEB" w:rsidP="00DF3771">
      <w:pPr>
        <w:pStyle w:val="NormalWeb"/>
        <w:spacing w:line="360" w:lineRule="auto"/>
        <w:jc w:val="both"/>
        <w:rPr>
          <w:rFonts w:ascii="Arial" w:hAnsi="Arial" w:cs="Arial"/>
          <w:sz w:val="22"/>
          <w:szCs w:val="22"/>
        </w:rPr>
      </w:pPr>
      <w:r w:rsidRPr="00C90B0D">
        <w:rPr>
          <w:rFonts w:ascii="Arial" w:hAnsi="Arial" w:cs="Arial"/>
          <w:b/>
          <w:bCs/>
          <w:sz w:val="22"/>
          <w:szCs w:val="22"/>
        </w:rPr>
        <w:t>The second group is customers</w:t>
      </w:r>
      <w:r w:rsidRPr="00DF3771">
        <w:rPr>
          <w:rFonts w:ascii="Arial" w:hAnsi="Arial" w:cs="Arial"/>
          <w:sz w:val="22"/>
          <w:szCs w:val="22"/>
        </w:rPr>
        <w:t xml:space="preserve">, including consumers, SMEs, large businesses and public-sector organisations. Consumers may benefit from better coverage, faster speeds and more reliable services, while business customers could gain access to private 5G, IoT, cybersecurity and cloud-connected solutions. Standalone 5G can support enterprise applications through features such as lower latency, dedicated network capacity and greater IoT scalability (GSMA, 2025). However, there is a risk that consumer customers feel neglected if VodafoneThree concentrates too heavily on enterprise </w:t>
      </w:r>
      <w:r w:rsidR="00C90B0D" w:rsidRPr="00DF3771">
        <w:rPr>
          <w:rFonts w:ascii="Arial" w:hAnsi="Arial" w:cs="Arial"/>
          <w:sz w:val="22"/>
          <w:szCs w:val="22"/>
        </w:rPr>
        <w:t>growth (</w:t>
      </w:r>
      <w:r w:rsidRPr="00DF3771">
        <w:rPr>
          <w:rFonts w:ascii="Arial" w:hAnsi="Arial" w:cs="Arial"/>
          <w:sz w:val="22"/>
          <w:szCs w:val="22"/>
        </w:rPr>
        <w:t xml:space="preserve">Good Things Foundation, 2025). </w:t>
      </w:r>
    </w:p>
    <w:p w14:paraId="235870B6" w14:textId="6DC642CB" w:rsidR="00AC1CEB" w:rsidRPr="00DF3771" w:rsidRDefault="00AC1CEB" w:rsidP="00DF3771">
      <w:pPr>
        <w:pStyle w:val="NormalWeb"/>
        <w:spacing w:line="360" w:lineRule="auto"/>
        <w:jc w:val="both"/>
        <w:rPr>
          <w:rFonts w:ascii="Arial" w:hAnsi="Arial" w:cs="Arial"/>
          <w:sz w:val="22"/>
          <w:szCs w:val="22"/>
        </w:rPr>
      </w:pPr>
      <w:r w:rsidRPr="00C90B0D">
        <w:rPr>
          <w:rFonts w:ascii="Arial" w:hAnsi="Arial" w:cs="Arial"/>
          <w:b/>
          <w:bCs/>
          <w:sz w:val="22"/>
          <w:szCs w:val="22"/>
        </w:rPr>
        <w:t>The third group is employees.</w:t>
      </w:r>
      <w:r w:rsidRPr="00DF3771">
        <w:rPr>
          <w:rFonts w:ascii="Arial" w:hAnsi="Arial" w:cs="Arial"/>
          <w:sz w:val="22"/>
          <w:szCs w:val="22"/>
        </w:rPr>
        <w:t xml:space="preserve"> Employees have high interest because the merger and ecosystem strategy may affect job security, responsibilities, working practices and organisational culture. At the same time, the strategy could create opportunities for employees to move into higher-skilled roles involving network engineering, data analytics, cybersecurity, IoT and enterprise account management. Nevertheless, organisational integration can create uncertainty and resistance when employees receive insufficient information. Research by Schweiger and DeNisi (1991) found that realistic and regular communication following a merger can reduce employee uncertainty and improve attitudes towards organisational change. </w:t>
      </w:r>
    </w:p>
    <w:p w14:paraId="12E8AFD1" w14:textId="2B5EC55D" w:rsidR="00AC1CEB" w:rsidRPr="00DF3771" w:rsidRDefault="00AC1CEB" w:rsidP="00DF3771">
      <w:pPr>
        <w:pStyle w:val="NormalWeb"/>
        <w:spacing w:line="360" w:lineRule="auto"/>
        <w:jc w:val="both"/>
        <w:rPr>
          <w:rFonts w:ascii="Arial" w:hAnsi="Arial" w:cs="Arial"/>
          <w:sz w:val="22"/>
          <w:szCs w:val="22"/>
        </w:rPr>
      </w:pPr>
      <w:r w:rsidRPr="00C90B0D">
        <w:rPr>
          <w:rFonts w:ascii="Arial" w:hAnsi="Arial" w:cs="Arial"/>
          <w:b/>
          <w:bCs/>
          <w:sz w:val="22"/>
          <w:szCs w:val="22"/>
        </w:rPr>
        <w:lastRenderedPageBreak/>
        <w:t>The fourth group is regulators and government</w:t>
      </w:r>
      <w:r w:rsidRPr="00DF3771">
        <w:rPr>
          <w:rFonts w:ascii="Arial" w:hAnsi="Arial" w:cs="Arial"/>
          <w:sz w:val="22"/>
          <w:szCs w:val="22"/>
        </w:rPr>
        <w:t xml:space="preserve">, particularly the CMA, Ofcom and the Department for Science, Innovation and Technology. These stakeholders possess high power because they can influence VodafoneThree through competition rules, spectrum licences, consumer-protection obligations, security requirements and merger conditions. Ofcom incorporated the merger’s Network Commitment into the relevant spectrum licences in April 2025, demonstrating its ability to impose and supervise operational requirements (Ofcom, 2025). Regulatory oversight therefore extends beyond the original merger approval and will continue throughout the network-investment programme. </w:t>
      </w:r>
    </w:p>
    <w:p w14:paraId="0483D66B" w14:textId="77777777" w:rsidR="002C3CA1" w:rsidRPr="00C90B0D" w:rsidRDefault="002C3CA1" w:rsidP="00DF3771">
      <w:pPr>
        <w:pStyle w:val="Heading1"/>
        <w:spacing w:line="360" w:lineRule="auto"/>
        <w:rPr>
          <w:rFonts w:ascii="Arial" w:hAnsi="Arial" w:cs="Arial"/>
          <w:sz w:val="24"/>
          <w:szCs w:val="24"/>
        </w:rPr>
      </w:pPr>
      <w:bookmarkStart w:id="10" w:name="_Toc234833733"/>
      <w:r w:rsidRPr="00C90B0D">
        <w:rPr>
          <w:rFonts w:ascii="Arial" w:hAnsi="Arial" w:cs="Arial"/>
          <w:sz w:val="24"/>
          <w:szCs w:val="24"/>
        </w:rPr>
        <w:t>7. Implementation and Monitoring</w:t>
      </w:r>
      <w:bookmarkEnd w:id="10"/>
    </w:p>
    <w:p w14:paraId="33B99530" w14:textId="5A06E68B" w:rsidR="000E3F74" w:rsidRPr="00DF3771" w:rsidRDefault="000E3F74" w:rsidP="00DF3771">
      <w:pPr>
        <w:pStyle w:val="isselectedend"/>
        <w:spacing w:line="360" w:lineRule="auto"/>
        <w:jc w:val="both"/>
        <w:rPr>
          <w:rFonts w:ascii="Arial" w:hAnsi="Arial" w:cs="Arial"/>
          <w:sz w:val="22"/>
          <w:szCs w:val="22"/>
        </w:rPr>
      </w:pPr>
      <w:r w:rsidRPr="00DF3771">
        <w:rPr>
          <w:rFonts w:ascii="Arial" w:hAnsi="Arial" w:cs="Arial"/>
          <w:sz w:val="22"/>
          <w:szCs w:val="22"/>
        </w:rPr>
        <w:t xml:space="preserve">The implementation of the proposed ecosystem-led growth strategy should be phased over three years. This phased approach is important because the SWOT analysis identified </w:t>
      </w:r>
      <w:r w:rsidRPr="00DF3771">
        <w:rPr>
          <w:rStyle w:val="Strong"/>
          <w:rFonts w:ascii="Arial" w:hAnsi="Arial" w:cs="Arial"/>
          <w:b w:val="0"/>
          <w:bCs w:val="0"/>
          <w:sz w:val="22"/>
          <w:szCs w:val="22"/>
        </w:rPr>
        <w:t>integration complexity, customer service weaknesses and high investment pressure</w:t>
      </w:r>
      <w:r w:rsidRPr="00DF3771">
        <w:rPr>
          <w:rFonts w:ascii="Arial" w:hAnsi="Arial" w:cs="Arial"/>
          <w:sz w:val="22"/>
          <w:szCs w:val="22"/>
        </w:rPr>
        <w:t xml:space="preserve"> as major internal risks. Porter’s Five Forces also showed that VodafoneThree operates in a market with </w:t>
      </w:r>
      <w:r w:rsidR="00DE3A9E" w:rsidRPr="00DF3771">
        <w:rPr>
          <w:rStyle w:val="Strong"/>
          <w:rFonts w:ascii="Arial" w:hAnsi="Arial" w:cs="Arial"/>
          <w:b w:val="0"/>
          <w:bCs w:val="0"/>
          <w:sz w:val="22"/>
          <w:szCs w:val="22"/>
        </w:rPr>
        <w:t>highly</w:t>
      </w:r>
      <w:r w:rsidRPr="00DF3771">
        <w:rPr>
          <w:rStyle w:val="Strong"/>
          <w:rFonts w:ascii="Arial" w:hAnsi="Arial" w:cs="Arial"/>
          <w:b w:val="0"/>
          <w:bCs w:val="0"/>
          <w:sz w:val="22"/>
          <w:szCs w:val="22"/>
        </w:rPr>
        <w:t xml:space="preserve"> competitive rivalry, strong buyer power and moderate-to-high supplier power</w:t>
      </w:r>
      <w:r w:rsidRPr="00DF3771">
        <w:rPr>
          <w:rFonts w:ascii="Arial" w:hAnsi="Arial" w:cs="Arial"/>
          <w:sz w:val="22"/>
          <w:szCs w:val="22"/>
        </w:rPr>
        <w:t xml:space="preserve"> (Porter, 1980). Therefore, the strategy should not be implemented too quickly or too broadly. VodafoneThree should begin with focused pilots, measure performance carefully, and then </w:t>
      </w:r>
      <w:r w:rsidR="00DE3A9E" w:rsidRPr="00DF3771">
        <w:rPr>
          <w:rFonts w:ascii="Arial" w:hAnsi="Arial" w:cs="Arial"/>
          <w:sz w:val="22"/>
          <w:szCs w:val="22"/>
        </w:rPr>
        <w:t>scales</w:t>
      </w:r>
      <w:r w:rsidRPr="00DF3771">
        <w:rPr>
          <w:rFonts w:ascii="Arial" w:hAnsi="Arial" w:cs="Arial"/>
          <w:sz w:val="22"/>
          <w:szCs w:val="22"/>
        </w:rPr>
        <w:t xml:space="preserve"> the most successful services.</w:t>
      </w:r>
    </w:p>
    <w:p w14:paraId="665F9E8E" w14:textId="510937AB" w:rsidR="00DE3A9E" w:rsidRPr="00DF3771" w:rsidRDefault="00DE3A9E" w:rsidP="00DF3771">
      <w:pPr>
        <w:pStyle w:val="Heading3"/>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2084"/>
        <w:gridCol w:w="1806"/>
        <w:gridCol w:w="1944"/>
        <w:gridCol w:w="1493"/>
        <w:gridCol w:w="1689"/>
      </w:tblGrid>
      <w:tr w:rsidR="00DE3A9E" w:rsidRPr="00DF3771" w14:paraId="2FBD508D" w14:textId="77777777" w:rsidTr="00DE3A9E">
        <w:tc>
          <w:tcPr>
            <w:tcW w:w="0" w:type="auto"/>
            <w:shd w:val="clear" w:color="auto" w:fill="00B0F0"/>
            <w:hideMark/>
          </w:tcPr>
          <w:p w14:paraId="7D528FE3" w14:textId="77777777" w:rsidR="00DE3A9E" w:rsidRPr="00DF3771" w:rsidRDefault="00DE3A9E" w:rsidP="00DF3771">
            <w:pPr>
              <w:spacing w:line="360" w:lineRule="auto"/>
              <w:jc w:val="center"/>
              <w:rPr>
                <w:rFonts w:ascii="Arial" w:hAnsi="Arial" w:cs="Arial"/>
                <w:b/>
                <w:bCs/>
                <w:sz w:val="22"/>
                <w:szCs w:val="22"/>
              </w:rPr>
            </w:pPr>
            <w:r w:rsidRPr="00DF3771">
              <w:rPr>
                <w:rFonts w:ascii="Arial" w:hAnsi="Arial" w:cs="Arial"/>
                <w:b/>
                <w:bCs/>
                <w:sz w:val="22"/>
                <w:szCs w:val="22"/>
              </w:rPr>
              <w:t>Year</w:t>
            </w:r>
          </w:p>
        </w:tc>
        <w:tc>
          <w:tcPr>
            <w:tcW w:w="0" w:type="auto"/>
            <w:shd w:val="clear" w:color="auto" w:fill="00B0F0"/>
            <w:hideMark/>
          </w:tcPr>
          <w:p w14:paraId="636703A7" w14:textId="77777777" w:rsidR="00DE3A9E" w:rsidRPr="00DF3771" w:rsidRDefault="00DE3A9E" w:rsidP="00DF3771">
            <w:pPr>
              <w:spacing w:line="360" w:lineRule="auto"/>
              <w:jc w:val="center"/>
              <w:rPr>
                <w:rFonts w:ascii="Arial" w:hAnsi="Arial" w:cs="Arial"/>
                <w:b/>
                <w:bCs/>
                <w:sz w:val="22"/>
                <w:szCs w:val="22"/>
              </w:rPr>
            </w:pPr>
            <w:r w:rsidRPr="00DF3771">
              <w:rPr>
                <w:rFonts w:ascii="Arial" w:hAnsi="Arial" w:cs="Arial"/>
                <w:b/>
                <w:bCs/>
                <w:sz w:val="22"/>
                <w:szCs w:val="22"/>
              </w:rPr>
              <w:t>Key tasks</w:t>
            </w:r>
          </w:p>
        </w:tc>
        <w:tc>
          <w:tcPr>
            <w:tcW w:w="0" w:type="auto"/>
            <w:shd w:val="clear" w:color="auto" w:fill="00B0F0"/>
            <w:hideMark/>
          </w:tcPr>
          <w:p w14:paraId="0204182E" w14:textId="77777777" w:rsidR="00DE3A9E" w:rsidRPr="00DF3771" w:rsidRDefault="00DE3A9E" w:rsidP="00DF3771">
            <w:pPr>
              <w:spacing w:line="360" w:lineRule="auto"/>
              <w:jc w:val="center"/>
              <w:rPr>
                <w:rFonts w:ascii="Arial" w:hAnsi="Arial" w:cs="Arial"/>
                <w:b/>
                <w:bCs/>
                <w:sz w:val="22"/>
                <w:szCs w:val="22"/>
              </w:rPr>
            </w:pPr>
            <w:r w:rsidRPr="00DF3771">
              <w:rPr>
                <w:rFonts w:ascii="Arial" w:hAnsi="Arial" w:cs="Arial"/>
                <w:b/>
                <w:bCs/>
                <w:sz w:val="22"/>
                <w:szCs w:val="22"/>
              </w:rPr>
              <w:t>Strategic focus</w:t>
            </w:r>
          </w:p>
        </w:tc>
        <w:tc>
          <w:tcPr>
            <w:tcW w:w="0" w:type="auto"/>
            <w:shd w:val="clear" w:color="auto" w:fill="00B0F0"/>
            <w:hideMark/>
          </w:tcPr>
          <w:p w14:paraId="72204F82" w14:textId="77777777" w:rsidR="00DE3A9E" w:rsidRPr="00DF3771" w:rsidRDefault="00DE3A9E" w:rsidP="00DF3771">
            <w:pPr>
              <w:spacing w:line="360" w:lineRule="auto"/>
              <w:jc w:val="center"/>
              <w:rPr>
                <w:rFonts w:ascii="Arial" w:hAnsi="Arial" w:cs="Arial"/>
                <w:b/>
                <w:bCs/>
                <w:sz w:val="22"/>
                <w:szCs w:val="22"/>
              </w:rPr>
            </w:pPr>
            <w:r w:rsidRPr="00DF3771">
              <w:rPr>
                <w:rFonts w:ascii="Arial" w:hAnsi="Arial" w:cs="Arial"/>
                <w:b/>
                <w:bCs/>
                <w:sz w:val="22"/>
                <w:szCs w:val="22"/>
              </w:rPr>
              <w:t>Key Performance Indicators (KPIs)</w:t>
            </w:r>
          </w:p>
        </w:tc>
        <w:tc>
          <w:tcPr>
            <w:tcW w:w="0" w:type="auto"/>
            <w:shd w:val="clear" w:color="auto" w:fill="00B0F0"/>
            <w:hideMark/>
          </w:tcPr>
          <w:p w14:paraId="5C973446" w14:textId="77777777" w:rsidR="00DE3A9E" w:rsidRPr="00DF3771" w:rsidRDefault="00DE3A9E" w:rsidP="00DF3771">
            <w:pPr>
              <w:spacing w:line="360" w:lineRule="auto"/>
              <w:jc w:val="center"/>
              <w:rPr>
                <w:rFonts w:ascii="Arial" w:hAnsi="Arial" w:cs="Arial"/>
                <w:b/>
                <w:bCs/>
                <w:sz w:val="22"/>
                <w:szCs w:val="22"/>
              </w:rPr>
            </w:pPr>
            <w:r w:rsidRPr="00DF3771">
              <w:rPr>
                <w:rFonts w:ascii="Arial" w:hAnsi="Arial" w:cs="Arial"/>
                <w:b/>
                <w:bCs/>
                <w:sz w:val="22"/>
                <w:szCs w:val="22"/>
              </w:rPr>
              <w:t>Responsibility</w:t>
            </w:r>
          </w:p>
        </w:tc>
      </w:tr>
      <w:tr w:rsidR="00DE3A9E" w:rsidRPr="00DF3771" w14:paraId="67540DD9" w14:textId="77777777" w:rsidTr="00DE3A9E">
        <w:tc>
          <w:tcPr>
            <w:tcW w:w="0" w:type="auto"/>
            <w:hideMark/>
          </w:tcPr>
          <w:p w14:paraId="0CC7F303"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sz w:val="22"/>
                <w:szCs w:val="22"/>
              </w:rPr>
              <w:t>Year 1: Foundation and pilot development</w:t>
            </w:r>
          </w:p>
        </w:tc>
        <w:tc>
          <w:tcPr>
            <w:tcW w:w="0" w:type="auto"/>
            <w:hideMark/>
          </w:tcPr>
          <w:p w14:paraId="6DC27FFF"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t xml:space="preserve">Establish a dedicated </w:t>
            </w:r>
            <w:r w:rsidRPr="00DF3771">
              <w:rPr>
                <w:rStyle w:val="Strong"/>
                <w:rFonts w:ascii="Arial" w:hAnsi="Arial" w:cs="Arial"/>
                <w:b w:val="0"/>
                <w:bCs w:val="0"/>
                <w:sz w:val="22"/>
                <w:szCs w:val="22"/>
              </w:rPr>
              <w:t>Digital Infrastructure and Enterprise Solutions Unit</w:t>
            </w:r>
            <w:r w:rsidRPr="00DF3771">
              <w:rPr>
                <w:rFonts w:ascii="Arial" w:hAnsi="Arial" w:cs="Arial"/>
                <w:sz w:val="22"/>
                <w:szCs w:val="22"/>
              </w:rPr>
              <w:t xml:space="preserve">. Recruit or assign specialists in private 5G, IoT, cybersecurity, </w:t>
            </w:r>
            <w:r w:rsidRPr="00DF3771">
              <w:rPr>
                <w:rFonts w:ascii="Arial" w:hAnsi="Arial" w:cs="Arial"/>
                <w:sz w:val="22"/>
                <w:szCs w:val="22"/>
              </w:rPr>
              <w:lastRenderedPageBreak/>
              <w:t>cloud services and smart-city solutions. Identify priority sectors, including logistics, healthcare, manufacturing, transport and local government. Develop partnerships with technology suppliers, business customers and local authorities. Launch selected pilot projects and provide relevant employee training.</w:t>
            </w:r>
          </w:p>
        </w:tc>
        <w:tc>
          <w:tcPr>
            <w:tcW w:w="0" w:type="auto"/>
            <w:hideMark/>
          </w:tcPr>
          <w:p w14:paraId="59B54588"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 xml:space="preserve">Build the organisational and technical foundations for ecosystem-led growth. Use VodafoneThree’s enlarged customer base, network scale and enterprise </w:t>
            </w:r>
            <w:r w:rsidRPr="00DF3771">
              <w:rPr>
                <w:rFonts w:ascii="Arial" w:hAnsi="Arial" w:cs="Arial"/>
                <w:sz w:val="22"/>
                <w:szCs w:val="22"/>
              </w:rPr>
              <w:lastRenderedPageBreak/>
              <w:t>capabilities while limiting the risks associated with merger integration, customer service weaknesses and high investment requirements. Test customer demand, service delivery and pricing models before wider commercialisation.</w:t>
            </w:r>
          </w:p>
        </w:tc>
        <w:tc>
          <w:tcPr>
            <w:tcW w:w="0" w:type="auto"/>
            <w:hideMark/>
          </w:tcPr>
          <w:p w14:paraId="1A3961D4"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 xml:space="preserve">Number of pilot projects launched; number of enterprise and public-sector partners signed; pilot customer satisfaction </w:t>
            </w:r>
            <w:r w:rsidRPr="00DF3771">
              <w:rPr>
                <w:rFonts w:ascii="Arial" w:hAnsi="Arial" w:cs="Arial"/>
                <w:sz w:val="22"/>
                <w:szCs w:val="22"/>
              </w:rPr>
              <w:lastRenderedPageBreak/>
              <w:t>score; percentage of relevant employees completing training; pilot delivery within budget and schedule; progress against 5G Standalone rollout milestones; number of technical or service issues resolved during pilots.</w:t>
            </w:r>
          </w:p>
        </w:tc>
        <w:tc>
          <w:tcPr>
            <w:tcW w:w="0" w:type="auto"/>
            <w:hideMark/>
          </w:tcPr>
          <w:p w14:paraId="266AB951"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b w:val="0"/>
                <w:bCs w:val="0"/>
                <w:sz w:val="22"/>
                <w:szCs w:val="22"/>
              </w:rPr>
              <w:lastRenderedPageBreak/>
              <w:t>Chief Enterprise Officer</w:t>
            </w:r>
            <w:r w:rsidRPr="00DF3771">
              <w:rPr>
                <w:rFonts w:ascii="Arial" w:hAnsi="Arial" w:cs="Arial"/>
                <w:sz w:val="22"/>
                <w:szCs w:val="22"/>
              </w:rPr>
              <w:t xml:space="preserve"> – overall leadership. </w:t>
            </w:r>
            <w:r w:rsidRPr="00DF3771">
              <w:rPr>
                <w:rStyle w:val="Strong"/>
                <w:rFonts w:ascii="Arial" w:hAnsi="Arial" w:cs="Arial"/>
                <w:b w:val="0"/>
                <w:bCs w:val="0"/>
                <w:sz w:val="22"/>
                <w:szCs w:val="22"/>
              </w:rPr>
              <w:t>Digital Infrastructure and Enterprise Solutions Unit</w:t>
            </w:r>
            <w:r w:rsidRPr="00DF3771">
              <w:rPr>
                <w:rFonts w:ascii="Arial" w:hAnsi="Arial" w:cs="Arial"/>
                <w:sz w:val="22"/>
                <w:szCs w:val="22"/>
              </w:rPr>
              <w:t xml:space="preserve"> – programme delivery. </w:t>
            </w:r>
            <w:r w:rsidRPr="00DF3771">
              <w:rPr>
                <w:rStyle w:val="Strong"/>
                <w:rFonts w:ascii="Arial" w:hAnsi="Arial" w:cs="Arial"/>
                <w:b w:val="0"/>
                <w:bCs w:val="0"/>
                <w:sz w:val="22"/>
                <w:szCs w:val="22"/>
              </w:rPr>
              <w:t xml:space="preserve">Chief </w:t>
            </w:r>
            <w:r w:rsidRPr="00DF3771">
              <w:rPr>
                <w:rStyle w:val="Strong"/>
                <w:rFonts w:ascii="Arial" w:hAnsi="Arial" w:cs="Arial"/>
                <w:b w:val="0"/>
                <w:bCs w:val="0"/>
                <w:sz w:val="22"/>
                <w:szCs w:val="22"/>
              </w:rPr>
              <w:lastRenderedPageBreak/>
              <w:t>Technology Officer and Network Team</w:t>
            </w:r>
            <w:r w:rsidRPr="00DF3771">
              <w:rPr>
                <w:rFonts w:ascii="Arial" w:hAnsi="Arial" w:cs="Arial"/>
                <w:sz w:val="22"/>
                <w:szCs w:val="22"/>
              </w:rPr>
              <w:t xml:space="preserve"> – 5G and IoT infrastructure. </w:t>
            </w:r>
            <w:r w:rsidRPr="00DF3771">
              <w:rPr>
                <w:rStyle w:val="Strong"/>
                <w:rFonts w:ascii="Arial" w:hAnsi="Arial" w:cs="Arial"/>
                <w:b w:val="0"/>
                <w:bCs w:val="0"/>
                <w:sz w:val="22"/>
                <w:szCs w:val="22"/>
              </w:rPr>
              <w:t>HR and Learning and Development Team</w:t>
            </w:r>
            <w:r w:rsidRPr="00DF3771">
              <w:rPr>
                <w:rFonts w:ascii="Arial" w:hAnsi="Arial" w:cs="Arial"/>
                <w:sz w:val="22"/>
                <w:szCs w:val="22"/>
              </w:rPr>
              <w:t xml:space="preserve"> – employee training. </w:t>
            </w:r>
            <w:r w:rsidRPr="00DF3771">
              <w:rPr>
                <w:rStyle w:val="Strong"/>
                <w:rFonts w:ascii="Arial" w:hAnsi="Arial" w:cs="Arial"/>
                <w:b w:val="0"/>
                <w:bCs w:val="0"/>
                <w:sz w:val="22"/>
                <w:szCs w:val="22"/>
              </w:rPr>
              <w:t>Finance and Risk Teams</w:t>
            </w:r>
            <w:r w:rsidRPr="00DF3771">
              <w:rPr>
                <w:rFonts w:ascii="Arial" w:hAnsi="Arial" w:cs="Arial"/>
                <w:sz w:val="22"/>
                <w:szCs w:val="22"/>
              </w:rPr>
              <w:t xml:space="preserve"> – budget control and risk monitoring.</w:t>
            </w:r>
          </w:p>
        </w:tc>
      </w:tr>
      <w:tr w:rsidR="00DE3A9E" w:rsidRPr="00DF3771" w14:paraId="4FD545B1" w14:textId="77777777" w:rsidTr="00DE3A9E">
        <w:tc>
          <w:tcPr>
            <w:tcW w:w="0" w:type="auto"/>
            <w:hideMark/>
          </w:tcPr>
          <w:p w14:paraId="1EA42B3B"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sz w:val="22"/>
                <w:szCs w:val="22"/>
              </w:rPr>
              <w:lastRenderedPageBreak/>
              <w:t>Year 2: Commercialisation and market development</w:t>
            </w:r>
          </w:p>
        </w:tc>
        <w:tc>
          <w:tcPr>
            <w:tcW w:w="0" w:type="auto"/>
            <w:hideMark/>
          </w:tcPr>
          <w:p w14:paraId="1B1B3168"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t xml:space="preserve">Evaluate Year 1 pilots and select commercially viable services. Launch packaged SME solutions combining mobile connectivity, broadband, </w:t>
            </w:r>
            <w:r w:rsidRPr="00DF3771">
              <w:rPr>
                <w:rFonts w:ascii="Arial" w:hAnsi="Arial" w:cs="Arial"/>
                <w:sz w:val="22"/>
                <w:szCs w:val="22"/>
              </w:rPr>
              <w:lastRenderedPageBreak/>
              <w:t>cybersecurity, device management and cloud support. Expand private 5G and IoT solutions for larger organisations. Introduce sector-specific pricing and service packages. Strengthen customer support and account management for business customers. Conduct targeted marketing campaigns and develop additional technology partnerships.</w:t>
            </w:r>
          </w:p>
        </w:tc>
        <w:tc>
          <w:tcPr>
            <w:tcW w:w="0" w:type="auto"/>
            <w:hideMark/>
          </w:tcPr>
          <w:p w14:paraId="7D431461"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 xml:space="preserve">Commercialise the strongest pilot services and create clear added value for customers. Reduce the effect of high buyer power by differentiating VodafoneThree </w:t>
            </w:r>
            <w:r w:rsidRPr="00DF3771">
              <w:rPr>
                <w:rFonts w:ascii="Arial" w:hAnsi="Arial" w:cs="Arial"/>
                <w:sz w:val="22"/>
                <w:szCs w:val="22"/>
              </w:rPr>
              <w:lastRenderedPageBreak/>
              <w:t>through integrated digital solutions rather than competing mainly on price. Increase higher-margin B2B revenue and reduce dependence on mature consumer mobile services.</w:t>
            </w:r>
          </w:p>
        </w:tc>
        <w:tc>
          <w:tcPr>
            <w:tcW w:w="0" w:type="auto"/>
            <w:hideMark/>
          </w:tcPr>
          <w:p w14:paraId="1171D6E2"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 xml:space="preserve">Percentage growth in B2B revenue; number of SME digital-service customers; average revenue per business </w:t>
            </w:r>
            <w:r w:rsidRPr="00DF3771">
              <w:rPr>
                <w:rFonts w:ascii="Arial" w:hAnsi="Arial" w:cs="Arial"/>
                <w:sz w:val="22"/>
                <w:szCs w:val="22"/>
              </w:rPr>
              <w:lastRenderedPageBreak/>
              <w:t>customer; number of active IoT connections; customer retention and renewal rates; gross margin from new digital services; customer satisfaction and Net Promoter Score; service adoption and cross-selling rates.</w:t>
            </w:r>
          </w:p>
        </w:tc>
        <w:tc>
          <w:tcPr>
            <w:tcW w:w="0" w:type="auto"/>
            <w:hideMark/>
          </w:tcPr>
          <w:p w14:paraId="574D6980"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b w:val="0"/>
                <w:bCs w:val="0"/>
                <w:sz w:val="22"/>
                <w:szCs w:val="22"/>
              </w:rPr>
              <w:lastRenderedPageBreak/>
              <w:t>Chief Commercial Officer and Enterprise Sales Team</w:t>
            </w:r>
            <w:r w:rsidRPr="00DF3771">
              <w:rPr>
                <w:rFonts w:ascii="Arial" w:hAnsi="Arial" w:cs="Arial"/>
                <w:sz w:val="22"/>
                <w:szCs w:val="22"/>
              </w:rPr>
              <w:t xml:space="preserve"> – commercial launch and revenue growth. </w:t>
            </w:r>
            <w:r w:rsidRPr="00DF3771">
              <w:rPr>
                <w:rStyle w:val="Strong"/>
                <w:rFonts w:ascii="Arial" w:hAnsi="Arial" w:cs="Arial"/>
                <w:b w:val="0"/>
                <w:bCs w:val="0"/>
                <w:sz w:val="22"/>
                <w:szCs w:val="22"/>
              </w:rPr>
              <w:t xml:space="preserve">Product Development </w:t>
            </w:r>
            <w:r w:rsidRPr="00DF3771">
              <w:rPr>
                <w:rStyle w:val="Strong"/>
                <w:rFonts w:ascii="Arial" w:hAnsi="Arial" w:cs="Arial"/>
                <w:b w:val="0"/>
                <w:bCs w:val="0"/>
                <w:sz w:val="22"/>
                <w:szCs w:val="22"/>
              </w:rPr>
              <w:lastRenderedPageBreak/>
              <w:t>Team</w:t>
            </w:r>
            <w:r w:rsidRPr="00DF3771">
              <w:rPr>
                <w:rFonts w:ascii="Arial" w:hAnsi="Arial" w:cs="Arial"/>
                <w:sz w:val="22"/>
                <w:szCs w:val="22"/>
              </w:rPr>
              <w:t xml:space="preserve"> – creation of service packages. </w:t>
            </w:r>
            <w:r w:rsidRPr="00DF3771">
              <w:rPr>
                <w:rStyle w:val="Strong"/>
                <w:rFonts w:ascii="Arial" w:hAnsi="Arial" w:cs="Arial"/>
                <w:b w:val="0"/>
                <w:bCs w:val="0"/>
                <w:sz w:val="22"/>
                <w:szCs w:val="22"/>
              </w:rPr>
              <w:t>Marketing Team</w:t>
            </w:r>
            <w:r w:rsidRPr="00DF3771">
              <w:rPr>
                <w:rFonts w:ascii="Arial" w:hAnsi="Arial" w:cs="Arial"/>
                <w:sz w:val="22"/>
                <w:szCs w:val="22"/>
              </w:rPr>
              <w:t xml:space="preserve"> – promotion and customer acquisition. </w:t>
            </w:r>
            <w:r w:rsidRPr="00DF3771">
              <w:rPr>
                <w:rStyle w:val="Strong"/>
                <w:rFonts w:ascii="Arial" w:hAnsi="Arial" w:cs="Arial"/>
                <w:b w:val="0"/>
                <w:bCs w:val="0"/>
                <w:sz w:val="22"/>
                <w:szCs w:val="22"/>
              </w:rPr>
              <w:t>Customer Experience Team</w:t>
            </w:r>
            <w:r w:rsidRPr="00DF3771">
              <w:rPr>
                <w:rFonts w:ascii="Arial" w:hAnsi="Arial" w:cs="Arial"/>
                <w:sz w:val="22"/>
                <w:szCs w:val="22"/>
              </w:rPr>
              <w:t xml:space="preserve"> – service quality and retention. </w:t>
            </w:r>
            <w:r w:rsidRPr="00DF3771">
              <w:rPr>
                <w:rStyle w:val="Strong"/>
                <w:rFonts w:ascii="Arial" w:hAnsi="Arial" w:cs="Arial"/>
                <w:b w:val="0"/>
                <w:bCs w:val="0"/>
                <w:sz w:val="22"/>
                <w:szCs w:val="22"/>
              </w:rPr>
              <w:t>Technology Partners and Account Managers</w:t>
            </w:r>
            <w:r w:rsidRPr="00DF3771">
              <w:rPr>
                <w:rFonts w:ascii="Arial" w:hAnsi="Arial" w:cs="Arial"/>
                <w:sz w:val="22"/>
                <w:szCs w:val="22"/>
              </w:rPr>
              <w:t xml:space="preserve"> – implementation and customer support.</w:t>
            </w:r>
          </w:p>
        </w:tc>
      </w:tr>
      <w:tr w:rsidR="00DE3A9E" w:rsidRPr="00DF3771" w14:paraId="3E4C81D5" w14:textId="77777777" w:rsidTr="00DE3A9E">
        <w:tc>
          <w:tcPr>
            <w:tcW w:w="0" w:type="auto"/>
            <w:hideMark/>
          </w:tcPr>
          <w:p w14:paraId="43DF6A3F"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sz w:val="22"/>
                <w:szCs w:val="22"/>
              </w:rPr>
              <w:t>Year 3: National scaling and optimisation</w:t>
            </w:r>
          </w:p>
        </w:tc>
        <w:tc>
          <w:tcPr>
            <w:tcW w:w="0" w:type="auto"/>
            <w:hideMark/>
          </w:tcPr>
          <w:p w14:paraId="6CFBCFA5"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t xml:space="preserve">Expand successful digital solutions across UK regions and priority sectors. </w:t>
            </w:r>
            <w:r w:rsidRPr="00DF3771">
              <w:rPr>
                <w:rFonts w:ascii="Arial" w:hAnsi="Arial" w:cs="Arial"/>
                <w:sz w:val="22"/>
                <w:szCs w:val="22"/>
              </w:rPr>
              <w:lastRenderedPageBreak/>
              <w:t>Increase private 5G, IoT, smart-city and public-sector partnerships. Extend services into rural and underserved areas where commercially and technically viable. Integrate ecosystem services with VodafoneThree’s wider £11 billion network investment programme. Review underperforming services and redirect investment towards solutions with proven demand. Establish continuous performance monitoring and improvement processes.</w:t>
            </w:r>
          </w:p>
        </w:tc>
        <w:tc>
          <w:tcPr>
            <w:tcW w:w="0" w:type="auto"/>
            <w:hideMark/>
          </w:tcPr>
          <w:p w14:paraId="1359E834"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 xml:space="preserve">Scale the ecosystem model nationally using evidence from the first two years. Use </w:t>
            </w:r>
            <w:r w:rsidRPr="00DF3771">
              <w:rPr>
                <w:rFonts w:ascii="Arial" w:hAnsi="Arial" w:cs="Arial"/>
                <w:sz w:val="22"/>
                <w:szCs w:val="22"/>
              </w:rPr>
              <w:lastRenderedPageBreak/>
              <w:t>network investment as a platform for revenue growth, regional connectivity and digital inclusion. Ensure expansion is evidence-led to manage high capital expenditure and avoid investing in services or locations with insufficient demand.</w:t>
            </w:r>
          </w:p>
        </w:tc>
        <w:tc>
          <w:tcPr>
            <w:tcW w:w="0" w:type="auto"/>
            <w:hideMark/>
          </w:tcPr>
          <w:p w14:paraId="7B2DBEB8" w14:textId="77777777" w:rsidR="00DE3A9E" w:rsidRPr="00DF3771" w:rsidRDefault="00DE3A9E" w:rsidP="00DF3771">
            <w:pPr>
              <w:spacing w:line="360" w:lineRule="auto"/>
              <w:rPr>
                <w:rFonts w:ascii="Arial" w:hAnsi="Arial" w:cs="Arial"/>
                <w:sz w:val="22"/>
                <w:szCs w:val="22"/>
              </w:rPr>
            </w:pPr>
            <w:r w:rsidRPr="00DF3771">
              <w:rPr>
                <w:rFonts w:ascii="Arial" w:hAnsi="Arial" w:cs="Arial"/>
                <w:sz w:val="22"/>
                <w:szCs w:val="22"/>
              </w:rPr>
              <w:lastRenderedPageBreak/>
              <w:t>Enterprise market share; growth in public-sector and local-</w:t>
            </w:r>
            <w:r w:rsidRPr="00DF3771">
              <w:rPr>
                <w:rFonts w:ascii="Arial" w:hAnsi="Arial" w:cs="Arial"/>
                <w:sz w:val="22"/>
                <w:szCs w:val="22"/>
              </w:rPr>
              <w:lastRenderedPageBreak/>
              <w:t>authority partnerships; return on investment from ecosystem services; percentage improvement in rural and regional coverage; percentage of total revenue generated by new digital services; national customer adoption rates; profitability by service and region; achievement of network investment milestones.</w:t>
            </w:r>
          </w:p>
        </w:tc>
        <w:tc>
          <w:tcPr>
            <w:tcW w:w="0" w:type="auto"/>
            <w:hideMark/>
          </w:tcPr>
          <w:p w14:paraId="24FAA303" w14:textId="77777777" w:rsidR="00DE3A9E" w:rsidRPr="00DF3771" w:rsidRDefault="00DE3A9E" w:rsidP="00DF3771">
            <w:pPr>
              <w:spacing w:line="360" w:lineRule="auto"/>
              <w:rPr>
                <w:rFonts w:ascii="Arial" w:hAnsi="Arial" w:cs="Arial"/>
                <w:sz w:val="22"/>
                <w:szCs w:val="22"/>
              </w:rPr>
            </w:pPr>
            <w:r w:rsidRPr="00DF3771">
              <w:rPr>
                <w:rStyle w:val="Strong"/>
                <w:rFonts w:ascii="Arial" w:hAnsi="Arial" w:cs="Arial"/>
                <w:b w:val="0"/>
                <w:bCs w:val="0"/>
                <w:sz w:val="22"/>
                <w:szCs w:val="22"/>
              </w:rPr>
              <w:lastRenderedPageBreak/>
              <w:t>VodafoneThree Executive Board</w:t>
            </w:r>
            <w:r w:rsidRPr="00DF3771">
              <w:rPr>
                <w:rFonts w:ascii="Arial" w:hAnsi="Arial" w:cs="Arial"/>
                <w:sz w:val="22"/>
                <w:szCs w:val="22"/>
              </w:rPr>
              <w:t xml:space="preserve"> – approval of national expansion and </w:t>
            </w:r>
            <w:r w:rsidRPr="00DF3771">
              <w:rPr>
                <w:rFonts w:ascii="Arial" w:hAnsi="Arial" w:cs="Arial"/>
                <w:sz w:val="22"/>
                <w:szCs w:val="22"/>
              </w:rPr>
              <w:lastRenderedPageBreak/>
              <w:t xml:space="preserve">investment. </w:t>
            </w:r>
            <w:r w:rsidRPr="00DF3771">
              <w:rPr>
                <w:rStyle w:val="Strong"/>
                <w:rFonts w:ascii="Arial" w:hAnsi="Arial" w:cs="Arial"/>
                <w:b w:val="0"/>
                <w:bCs w:val="0"/>
                <w:sz w:val="22"/>
                <w:szCs w:val="22"/>
              </w:rPr>
              <w:t>Chief Strategy Officer</w:t>
            </w:r>
            <w:r w:rsidRPr="00DF3771">
              <w:rPr>
                <w:rFonts w:ascii="Arial" w:hAnsi="Arial" w:cs="Arial"/>
                <w:sz w:val="22"/>
                <w:szCs w:val="22"/>
              </w:rPr>
              <w:t xml:space="preserve"> – strategic coordination and performance review. </w:t>
            </w:r>
            <w:r w:rsidRPr="00DF3771">
              <w:rPr>
                <w:rStyle w:val="Strong"/>
                <w:rFonts w:ascii="Arial" w:hAnsi="Arial" w:cs="Arial"/>
                <w:b w:val="0"/>
                <w:bCs w:val="0"/>
                <w:sz w:val="22"/>
                <w:szCs w:val="22"/>
              </w:rPr>
              <w:t>Regional Operations Teams</w:t>
            </w:r>
            <w:r w:rsidRPr="00DF3771">
              <w:rPr>
                <w:rFonts w:ascii="Arial" w:hAnsi="Arial" w:cs="Arial"/>
                <w:sz w:val="22"/>
                <w:szCs w:val="22"/>
              </w:rPr>
              <w:t xml:space="preserve"> – local implementation. </w:t>
            </w:r>
            <w:r w:rsidRPr="00DF3771">
              <w:rPr>
                <w:rStyle w:val="Strong"/>
                <w:rFonts w:ascii="Arial" w:hAnsi="Arial" w:cs="Arial"/>
                <w:b w:val="0"/>
                <w:bCs w:val="0"/>
                <w:sz w:val="22"/>
                <w:szCs w:val="22"/>
              </w:rPr>
              <w:t>Network and Technology Teams</w:t>
            </w:r>
            <w:r w:rsidRPr="00DF3771">
              <w:rPr>
                <w:rFonts w:ascii="Arial" w:hAnsi="Arial" w:cs="Arial"/>
                <w:sz w:val="22"/>
                <w:szCs w:val="22"/>
              </w:rPr>
              <w:t xml:space="preserve"> – coverage expansion. </w:t>
            </w:r>
            <w:r w:rsidRPr="00DF3771">
              <w:rPr>
                <w:rStyle w:val="Strong"/>
                <w:rFonts w:ascii="Arial" w:hAnsi="Arial" w:cs="Arial"/>
                <w:b w:val="0"/>
                <w:bCs w:val="0"/>
                <w:sz w:val="22"/>
                <w:szCs w:val="22"/>
              </w:rPr>
              <w:t>Finance and Investment Committee</w:t>
            </w:r>
            <w:r w:rsidRPr="00DF3771">
              <w:rPr>
                <w:rFonts w:ascii="Arial" w:hAnsi="Arial" w:cs="Arial"/>
                <w:sz w:val="22"/>
                <w:szCs w:val="22"/>
              </w:rPr>
              <w:t xml:space="preserve"> – ROI evaluation and capital allocation. </w:t>
            </w:r>
            <w:r w:rsidRPr="00DF3771">
              <w:rPr>
                <w:rStyle w:val="Strong"/>
                <w:rFonts w:ascii="Arial" w:hAnsi="Arial" w:cs="Arial"/>
                <w:b w:val="0"/>
                <w:bCs w:val="0"/>
                <w:sz w:val="22"/>
                <w:szCs w:val="22"/>
              </w:rPr>
              <w:t>Public-Sector Partnership Team</w:t>
            </w:r>
            <w:r w:rsidRPr="00DF3771">
              <w:rPr>
                <w:rFonts w:ascii="Arial" w:hAnsi="Arial" w:cs="Arial"/>
                <w:sz w:val="22"/>
                <w:szCs w:val="22"/>
              </w:rPr>
              <w:t xml:space="preserve"> – government and local-authority engagement.</w:t>
            </w:r>
          </w:p>
        </w:tc>
      </w:tr>
    </w:tbl>
    <w:p w14:paraId="181D96C2" w14:textId="77777777" w:rsidR="00DE3A9E" w:rsidRPr="00DF3771" w:rsidRDefault="00DE3A9E"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Performance should be reviewed quarterly through a strategy implementation dashboard. VodafoneThree’s Executive Board should compare actual results against the KPIs, investigate significant variances and adjust investment, pricing or service delivery where necessary. A </w:t>
      </w:r>
      <w:r w:rsidRPr="00DF3771">
        <w:rPr>
          <w:rFonts w:ascii="Arial" w:hAnsi="Arial" w:cs="Arial"/>
          <w:sz w:val="22"/>
          <w:szCs w:val="22"/>
        </w:rPr>
        <w:lastRenderedPageBreak/>
        <w:t>formal annual review should determine whether each stage has achieved the required performance before further resources are committed to the next phase.</w:t>
      </w:r>
    </w:p>
    <w:p w14:paraId="268C39A3" w14:textId="18957DC0" w:rsidR="002C3CA1" w:rsidRPr="00C90B0D" w:rsidRDefault="002C3CA1" w:rsidP="00DF3771">
      <w:pPr>
        <w:pStyle w:val="Heading1"/>
        <w:spacing w:line="360" w:lineRule="auto"/>
        <w:rPr>
          <w:rFonts w:ascii="Arial" w:hAnsi="Arial" w:cs="Arial"/>
          <w:sz w:val="24"/>
          <w:szCs w:val="24"/>
        </w:rPr>
      </w:pPr>
      <w:bookmarkStart w:id="11" w:name="_Toc234833734"/>
      <w:r w:rsidRPr="00C90B0D">
        <w:rPr>
          <w:rFonts w:ascii="Arial" w:hAnsi="Arial" w:cs="Arial"/>
          <w:sz w:val="24"/>
          <w:szCs w:val="24"/>
        </w:rPr>
        <w:t>8. Conclusion</w:t>
      </w:r>
      <w:bookmarkEnd w:id="11"/>
    </w:p>
    <w:p w14:paraId="6C8BF036" w14:textId="25898282"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Vodafone UK’s transformation through the VodafoneThree merger has created a major strategic opportunity. The company now has greater scale, a larger customer base and a guaranteed £11 billion network investment programme. However, the UK telecoms market remains highly competitive, regulated and price sensitive. Therefore, VodafoneThree should not rely only on consumer mobile growth or cost synergies.</w:t>
      </w:r>
    </w:p>
    <w:p w14:paraId="4F8B4B31" w14:textId="27608015" w:rsidR="002C3CA1" w:rsidRPr="00DF3771" w:rsidRDefault="002C3CA1" w:rsidP="00DF3771">
      <w:pPr>
        <w:pStyle w:val="NormalWeb"/>
        <w:spacing w:line="360" w:lineRule="auto"/>
        <w:jc w:val="both"/>
        <w:rPr>
          <w:rFonts w:ascii="Arial" w:hAnsi="Arial" w:cs="Arial"/>
          <w:sz w:val="22"/>
          <w:szCs w:val="22"/>
        </w:rPr>
      </w:pPr>
      <w:r w:rsidRPr="00DF3771">
        <w:rPr>
          <w:rFonts w:ascii="Arial" w:hAnsi="Arial" w:cs="Arial"/>
          <w:sz w:val="22"/>
          <w:szCs w:val="22"/>
        </w:rPr>
        <w:t xml:space="preserve">The recommended strategy is an ecosystem-led growth strategy that positions VodafoneThree as a digital infrastructure partner for businesses, public services, local authorities and communities. This strategy is more sustainable because it uses 5G, IoT, cybersecurity and smart infrastructure to create higher-value services. It also aligns with Vodafone’s priorities of Customers, Simplicity and Growth. </w:t>
      </w:r>
    </w:p>
    <w:p w14:paraId="38E8F6EE" w14:textId="36775CE6" w:rsidR="002C3CA1" w:rsidRPr="00DF3771" w:rsidRDefault="002C3CA1" w:rsidP="00DF3771">
      <w:pPr>
        <w:spacing w:line="360" w:lineRule="auto"/>
        <w:rPr>
          <w:rFonts w:ascii="Arial" w:hAnsi="Arial" w:cs="Arial"/>
          <w:sz w:val="22"/>
          <w:szCs w:val="22"/>
        </w:rPr>
      </w:pPr>
    </w:p>
    <w:p w14:paraId="1C33C171" w14:textId="067DD028" w:rsidR="002C3CA1" w:rsidRPr="00DF3771" w:rsidRDefault="002C3CA1" w:rsidP="00DF3771">
      <w:pPr>
        <w:spacing w:line="360" w:lineRule="auto"/>
        <w:rPr>
          <w:rFonts w:ascii="Arial" w:hAnsi="Arial" w:cs="Arial"/>
          <w:sz w:val="22"/>
          <w:szCs w:val="22"/>
        </w:rPr>
      </w:pPr>
    </w:p>
    <w:p w14:paraId="23A73100" w14:textId="77777777" w:rsidR="000E3F74" w:rsidRPr="00DF3771" w:rsidRDefault="000E3F74" w:rsidP="00DF3771">
      <w:pPr>
        <w:spacing w:line="360" w:lineRule="auto"/>
        <w:rPr>
          <w:rFonts w:ascii="Arial" w:hAnsi="Arial" w:cs="Arial"/>
          <w:sz w:val="22"/>
          <w:szCs w:val="22"/>
        </w:rPr>
      </w:pPr>
    </w:p>
    <w:p w14:paraId="377D2845" w14:textId="577EC185" w:rsidR="002C3CA1" w:rsidRPr="00DF3771" w:rsidRDefault="002C3CA1" w:rsidP="00DF3771">
      <w:pPr>
        <w:spacing w:line="360" w:lineRule="auto"/>
        <w:rPr>
          <w:rFonts w:ascii="Arial" w:hAnsi="Arial" w:cs="Arial"/>
          <w:sz w:val="22"/>
          <w:szCs w:val="22"/>
        </w:rPr>
      </w:pPr>
    </w:p>
    <w:p w14:paraId="76223F1A" w14:textId="72443EE1" w:rsidR="002C3CA1" w:rsidRPr="00DF3771" w:rsidRDefault="002C3CA1" w:rsidP="00DF3771">
      <w:pPr>
        <w:spacing w:line="360" w:lineRule="auto"/>
        <w:rPr>
          <w:rFonts w:ascii="Arial" w:hAnsi="Arial" w:cs="Arial"/>
          <w:sz w:val="22"/>
          <w:szCs w:val="22"/>
        </w:rPr>
      </w:pPr>
    </w:p>
    <w:p w14:paraId="3F2D30C1" w14:textId="43B42F0F" w:rsidR="00AC1CEB" w:rsidRPr="00DF3771" w:rsidRDefault="00AC1CEB" w:rsidP="00DF3771">
      <w:pPr>
        <w:spacing w:line="360" w:lineRule="auto"/>
        <w:rPr>
          <w:rFonts w:ascii="Arial" w:hAnsi="Arial" w:cs="Arial"/>
          <w:sz w:val="22"/>
          <w:szCs w:val="22"/>
        </w:rPr>
      </w:pPr>
    </w:p>
    <w:p w14:paraId="727E2F35" w14:textId="6DE5FF82" w:rsidR="00AC1CEB" w:rsidRPr="00DF3771" w:rsidRDefault="00AC1CEB" w:rsidP="00DF3771">
      <w:pPr>
        <w:spacing w:line="360" w:lineRule="auto"/>
        <w:rPr>
          <w:rFonts w:ascii="Arial" w:hAnsi="Arial" w:cs="Arial"/>
          <w:sz w:val="22"/>
          <w:szCs w:val="22"/>
        </w:rPr>
      </w:pPr>
    </w:p>
    <w:p w14:paraId="2B8816CA" w14:textId="1EDF00E7" w:rsidR="00AC1CEB" w:rsidRPr="00DF3771" w:rsidRDefault="00AC1CEB" w:rsidP="00DF3771">
      <w:pPr>
        <w:spacing w:line="360" w:lineRule="auto"/>
        <w:rPr>
          <w:rFonts w:ascii="Arial" w:hAnsi="Arial" w:cs="Arial"/>
          <w:sz w:val="22"/>
          <w:szCs w:val="22"/>
        </w:rPr>
      </w:pPr>
    </w:p>
    <w:p w14:paraId="6C325643" w14:textId="622438F5" w:rsidR="00AC1CEB" w:rsidRPr="00DF3771" w:rsidRDefault="00AC1CEB" w:rsidP="00DF3771">
      <w:pPr>
        <w:spacing w:line="360" w:lineRule="auto"/>
        <w:rPr>
          <w:rFonts w:ascii="Arial" w:hAnsi="Arial" w:cs="Arial"/>
          <w:sz w:val="22"/>
          <w:szCs w:val="22"/>
        </w:rPr>
      </w:pPr>
    </w:p>
    <w:p w14:paraId="22A9E925" w14:textId="6B61F79F" w:rsidR="00AC1CEB" w:rsidRPr="00DF3771" w:rsidRDefault="00AC1CEB" w:rsidP="00DF3771">
      <w:pPr>
        <w:spacing w:line="360" w:lineRule="auto"/>
        <w:rPr>
          <w:rFonts w:ascii="Arial" w:hAnsi="Arial" w:cs="Arial"/>
          <w:sz w:val="22"/>
          <w:szCs w:val="22"/>
        </w:rPr>
      </w:pPr>
    </w:p>
    <w:p w14:paraId="28657E08" w14:textId="58A0C8B4" w:rsidR="00AC1CEB" w:rsidRPr="00DF3771" w:rsidRDefault="00AC1CEB" w:rsidP="00DF3771">
      <w:pPr>
        <w:spacing w:line="360" w:lineRule="auto"/>
        <w:rPr>
          <w:rFonts w:ascii="Arial" w:hAnsi="Arial" w:cs="Arial"/>
          <w:sz w:val="22"/>
          <w:szCs w:val="22"/>
        </w:rPr>
      </w:pPr>
    </w:p>
    <w:p w14:paraId="2B408C64" w14:textId="66569A7D" w:rsidR="00AC1CEB" w:rsidRPr="00DF3771" w:rsidRDefault="00AC1CEB" w:rsidP="00DF3771">
      <w:pPr>
        <w:spacing w:line="360" w:lineRule="auto"/>
        <w:rPr>
          <w:rFonts w:ascii="Arial" w:hAnsi="Arial" w:cs="Arial"/>
          <w:sz w:val="22"/>
          <w:szCs w:val="22"/>
        </w:rPr>
      </w:pPr>
    </w:p>
    <w:p w14:paraId="23719629" w14:textId="579A7A2F" w:rsidR="00AC1CEB" w:rsidRPr="00DF3771" w:rsidRDefault="00AC1CEB" w:rsidP="00DF3771">
      <w:pPr>
        <w:spacing w:line="360" w:lineRule="auto"/>
        <w:rPr>
          <w:rFonts w:ascii="Arial" w:hAnsi="Arial" w:cs="Arial"/>
          <w:sz w:val="22"/>
          <w:szCs w:val="22"/>
        </w:rPr>
      </w:pPr>
    </w:p>
    <w:p w14:paraId="5C4E4E5D" w14:textId="43213833" w:rsidR="00AC1CEB" w:rsidRPr="00DF3771" w:rsidRDefault="00AC1CEB" w:rsidP="00DF3771">
      <w:pPr>
        <w:spacing w:line="360" w:lineRule="auto"/>
        <w:rPr>
          <w:rFonts w:ascii="Arial" w:hAnsi="Arial" w:cs="Arial"/>
          <w:sz w:val="22"/>
          <w:szCs w:val="22"/>
        </w:rPr>
      </w:pPr>
    </w:p>
    <w:p w14:paraId="6C75E460" w14:textId="01C72DA4" w:rsidR="00AC1CEB" w:rsidRPr="00DF3771" w:rsidRDefault="00AC1CEB" w:rsidP="00DF3771">
      <w:pPr>
        <w:spacing w:line="360" w:lineRule="auto"/>
        <w:rPr>
          <w:rFonts w:ascii="Arial" w:hAnsi="Arial" w:cs="Arial"/>
          <w:sz w:val="22"/>
          <w:szCs w:val="22"/>
        </w:rPr>
      </w:pPr>
    </w:p>
    <w:p w14:paraId="512E9C4F" w14:textId="042F513B" w:rsidR="00AC1CEB" w:rsidRPr="00DF3771" w:rsidRDefault="00AC1CEB" w:rsidP="00DF3771">
      <w:pPr>
        <w:spacing w:line="360" w:lineRule="auto"/>
        <w:rPr>
          <w:rFonts w:ascii="Arial" w:hAnsi="Arial" w:cs="Arial"/>
          <w:sz w:val="22"/>
          <w:szCs w:val="22"/>
        </w:rPr>
      </w:pPr>
    </w:p>
    <w:p w14:paraId="264BF656" w14:textId="4B361A08" w:rsidR="00AC1CEB" w:rsidRPr="00DF3771" w:rsidRDefault="00AC1CEB" w:rsidP="00DF3771">
      <w:pPr>
        <w:spacing w:line="360" w:lineRule="auto"/>
        <w:rPr>
          <w:rFonts w:ascii="Arial" w:hAnsi="Arial" w:cs="Arial"/>
          <w:sz w:val="22"/>
          <w:szCs w:val="22"/>
        </w:rPr>
      </w:pPr>
    </w:p>
    <w:p w14:paraId="7591881C" w14:textId="6B1F86E4" w:rsidR="00AC1CEB" w:rsidRPr="00DF3771" w:rsidRDefault="00AC1CEB" w:rsidP="00DF3771">
      <w:pPr>
        <w:spacing w:line="360" w:lineRule="auto"/>
        <w:rPr>
          <w:rFonts w:ascii="Arial" w:hAnsi="Arial" w:cs="Arial"/>
          <w:sz w:val="22"/>
          <w:szCs w:val="22"/>
        </w:rPr>
      </w:pPr>
    </w:p>
    <w:p w14:paraId="3386C83F" w14:textId="54BCF69F" w:rsidR="00AC1CEB" w:rsidRPr="00DF3771" w:rsidRDefault="00AC1CEB" w:rsidP="00DF3771">
      <w:pPr>
        <w:spacing w:line="360" w:lineRule="auto"/>
        <w:rPr>
          <w:rFonts w:ascii="Arial" w:hAnsi="Arial" w:cs="Arial"/>
          <w:sz w:val="22"/>
          <w:szCs w:val="22"/>
        </w:rPr>
      </w:pPr>
    </w:p>
    <w:p w14:paraId="704E1484" w14:textId="7E75F539" w:rsidR="00AC1CEB" w:rsidRPr="00DF3771" w:rsidRDefault="00AC1CEB" w:rsidP="00DF3771">
      <w:pPr>
        <w:spacing w:line="360" w:lineRule="auto"/>
        <w:rPr>
          <w:rFonts w:ascii="Arial" w:hAnsi="Arial" w:cs="Arial"/>
          <w:sz w:val="22"/>
          <w:szCs w:val="22"/>
        </w:rPr>
      </w:pPr>
    </w:p>
    <w:p w14:paraId="0E4D93DB" w14:textId="512DEDAF" w:rsidR="00AC1CEB" w:rsidRPr="00DF3771" w:rsidRDefault="00AC1CEB" w:rsidP="00DF3771">
      <w:pPr>
        <w:spacing w:line="360" w:lineRule="auto"/>
        <w:rPr>
          <w:rFonts w:ascii="Arial" w:hAnsi="Arial" w:cs="Arial"/>
          <w:sz w:val="22"/>
          <w:szCs w:val="22"/>
        </w:rPr>
      </w:pPr>
    </w:p>
    <w:p w14:paraId="5040DF5D" w14:textId="6FA58291" w:rsidR="002C3CA1" w:rsidRPr="00DF3771" w:rsidRDefault="002C3CA1" w:rsidP="00DF3771">
      <w:pPr>
        <w:pStyle w:val="Heading1"/>
        <w:rPr>
          <w:rFonts w:ascii="Arial" w:hAnsi="Arial" w:cs="Arial"/>
          <w:b/>
          <w:bCs/>
          <w:sz w:val="22"/>
          <w:szCs w:val="22"/>
          <w:u w:val="single"/>
        </w:rPr>
      </w:pPr>
      <w:bookmarkStart w:id="12" w:name="_Toc234833735"/>
      <w:r w:rsidRPr="00DF3771">
        <w:rPr>
          <w:rFonts w:ascii="Arial" w:hAnsi="Arial" w:cs="Arial"/>
          <w:b/>
          <w:bCs/>
          <w:sz w:val="22"/>
          <w:szCs w:val="22"/>
          <w:u w:val="single"/>
        </w:rPr>
        <w:lastRenderedPageBreak/>
        <w:t>List of References</w:t>
      </w:r>
      <w:bookmarkEnd w:id="12"/>
    </w:p>
    <w:p w14:paraId="723A59F3" w14:textId="32474BAA" w:rsidR="000E3F74" w:rsidRPr="00DF3771" w:rsidRDefault="000E3F74" w:rsidP="00DF3771">
      <w:pPr>
        <w:pStyle w:val="pdq2pgselectionanchorcontainer"/>
        <w:rPr>
          <w:rFonts w:ascii="Arial" w:hAnsi="Arial" w:cs="Arial"/>
          <w:sz w:val="22"/>
          <w:szCs w:val="22"/>
        </w:rPr>
      </w:pPr>
      <w:r w:rsidRPr="00DF3771">
        <w:rPr>
          <w:rFonts w:ascii="Arial" w:hAnsi="Arial" w:cs="Arial"/>
          <w:sz w:val="22"/>
          <w:szCs w:val="22"/>
        </w:rPr>
        <w:t xml:space="preserve">Ansoff, H.I. (1957) ‘Strategies for diversification’, </w:t>
      </w:r>
      <w:r w:rsidRPr="00DF3771">
        <w:rPr>
          <w:rStyle w:val="Emphasis"/>
          <w:rFonts w:ascii="Arial" w:hAnsi="Arial" w:cs="Arial"/>
          <w:sz w:val="22"/>
          <w:szCs w:val="22"/>
        </w:rPr>
        <w:t>Harvard Business Review</w:t>
      </w:r>
      <w:r w:rsidRPr="00DF3771">
        <w:rPr>
          <w:rFonts w:ascii="Arial" w:hAnsi="Arial" w:cs="Arial"/>
          <w:sz w:val="22"/>
          <w:szCs w:val="22"/>
        </w:rPr>
        <w:t>, 35(5), pp. 113–124.</w:t>
      </w:r>
    </w:p>
    <w:p w14:paraId="383C7A74"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practice’, </w:t>
      </w:r>
      <w:r w:rsidRPr="00DF3771">
        <w:rPr>
          <w:rStyle w:val="Emphasis"/>
          <w:rFonts w:ascii="Arial" w:hAnsi="Arial" w:cs="Arial"/>
          <w:sz w:val="22"/>
          <w:szCs w:val="22"/>
        </w:rPr>
        <w:t>Long Range Planning</w:t>
      </w:r>
      <w:r w:rsidRPr="00DF3771">
        <w:rPr>
          <w:rFonts w:ascii="Arial" w:hAnsi="Arial" w:cs="Arial"/>
          <w:sz w:val="22"/>
          <w:szCs w:val="22"/>
        </w:rPr>
        <w:t xml:space="preserve">, 44(3), pp. 179–196. Available at: </w:t>
      </w:r>
      <w:hyperlink r:id="rId9" w:history="1">
        <w:r w:rsidRPr="00DF3771">
          <w:rPr>
            <w:rStyle w:val="Hyperlink"/>
            <w:rFonts w:ascii="Arial" w:eastAsiaTheme="majorEastAsia" w:hAnsi="Arial" w:cs="Arial"/>
            <w:sz w:val="22"/>
            <w:szCs w:val="22"/>
          </w:rPr>
          <w:t>https://doi.org/10.1016/j.lrp.2010.08.001</w:t>
        </w:r>
      </w:hyperlink>
      <w:r w:rsidRPr="00DF3771">
        <w:rPr>
          <w:rFonts w:ascii="Arial" w:hAnsi="Arial" w:cs="Arial"/>
          <w:sz w:val="22"/>
          <w:szCs w:val="22"/>
        </w:rPr>
        <w:t xml:space="preserve"> (Accessed: 12 July 2026).</w:t>
      </w:r>
    </w:p>
    <w:p w14:paraId="742E88A1" w14:textId="659F3D49"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Donaldson, T. and Preston, L.E. (1995) ‘The stakeholder theory of the corporation: Concepts, evidence and implications’, </w:t>
      </w:r>
      <w:r w:rsidRPr="00DF3771">
        <w:rPr>
          <w:rStyle w:val="Emphasis"/>
          <w:rFonts w:ascii="Arial" w:hAnsi="Arial" w:cs="Arial"/>
          <w:sz w:val="22"/>
          <w:szCs w:val="22"/>
        </w:rPr>
        <w:t>Academy of Management Review</w:t>
      </w:r>
      <w:r w:rsidRPr="00DF3771">
        <w:rPr>
          <w:rFonts w:ascii="Arial" w:hAnsi="Arial" w:cs="Arial"/>
          <w:sz w:val="22"/>
          <w:szCs w:val="22"/>
        </w:rPr>
        <w:t xml:space="preserve">, 20(1), pp. 65–91. Available at: </w:t>
      </w:r>
      <w:hyperlink r:id="rId10" w:history="1">
        <w:r w:rsidRPr="00DF3771">
          <w:rPr>
            <w:rStyle w:val="Hyperlink"/>
            <w:rFonts w:ascii="Arial" w:eastAsiaTheme="majorEastAsia" w:hAnsi="Arial" w:cs="Arial"/>
            <w:sz w:val="22"/>
            <w:szCs w:val="22"/>
          </w:rPr>
          <w:t>https://doi.org/10.5465/amr.1995.9503271992</w:t>
        </w:r>
      </w:hyperlink>
      <w:r w:rsidRPr="00DF3771">
        <w:rPr>
          <w:rFonts w:ascii="Arial" w:hAnsi="Arial" w:cs="Arial"/>
          <w:sz w:val="22"/>
          <w:szCs w:val="22"/>
        </w:rPr>
        <w:t xml:space="preserve"> (Accessed: 12 July 2026).</w:t>
      </w:r>
    </w:p>
    <w:p w14:paraId="4399B118" w14:textId="02AF072A"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Barney, J. (1991) ‘Firm resources and sustained competitive advantage’, </w:t>
      </w:r>
      <w:r w:rsidRPr="00DF3771">
        <w:rPr>
          <w:rStyle w:val="Emphasis"/>
          <w:rFonts w:ascii="Arial" w:hAnsi="Arial" w:cs="Arial"/>
          <w:sz w:val="22"/>
          <w:szCs w:val="22"/>
        </w:rPr>
        <w:t>Journal of Management</w:t>
      </w:r>
      <w:r w:rsidRPr="00DF3771">
        <w:rPr>
          <w:rFonts w:ascii="Arial" w:hAnsi="Arial" w:cs="Arial"/>
          <w:sz w:val="22"/>
          <w:szCs w:val="22"/>
        </w:rPr>
        <w:t>, 17(1), pp. 99–120.</w:t>
      </w:r>
    </w:p>
    <w:p w14:paraId="65C3D5E3" w14:textId="77777777"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Competition and Markets Authority (CMA) (2025) </w:t>
      </w:r>
      <w:r w:rsidRPr="00DF3771">
        <w:rPr>
          <w:rStyle w:val="Emphasis"/>
          <w:rFonts w:ascii="Arial" w:hAnsi="Arial" w:cs="Arial"/>
          <w:sz w:val="22"/>
          <w:szCs w:val="22"/>
        </w:rPr>
        <w:t>Vodafone / CK Hutchison JV merger inquiry</w:t>
      </w:r>
      <w:r w:rsidRPr="00DF3771">
        <w:rPr>
          <w:rFonts w:ascii="Arial" w:hAnsi="Arial" w:cs="Arial"/>
          <w:sz w:val="22"/>
          <w:szCs w:val="22"/>
        </w:rPr>
        <w:t xml:space="preserve">. Available at: </w:t>
      </w:r>
      <w:hyperlink r:id="rId11" w:history="1">
        <w:r w:rsidRPr="00DF3771">
          <w:rPr>
            <w:rStyle w:val="Hyperlink"/>
            <w:rFonts w:ascii="Arial" w:hAnsi="Arial" w:cs="Arial"/>
            <w:sz w:val="22"/>
            <w:szCs w:val="22"/>
          </w:rPr>
          <w:t>https://www.gov.uk/cma-cases/vodafone-slash-ck-hutchison-jv-merger-inquiry</w:t>
        </w:r>
      </w:hyperlink>
      <w:r w:rsidRPr="00DF3771">
        <w:rPr>
          <w:rFonts w:ascii="Arial" w:hAnsi="Arial" w:cs="Arial"/>
          <w:sz w:val="22"/>
          <w:szCs w:val="22"/>
        </w:rPr>
        <w:t xml:space="preserve"> (Accessed: 9 July 2026).</w:t>
      </w:r>
    </w:p>
    <w:p w14:paraId="45FBCD27" w14:textId="77777777"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Competition and Markets Authority (CMA) (2025) </w:t>
      </w:r>
      <w:r w:rsidRPr="00DF3771">
        <w:rPr>
          <w:rStyle w:val="Emphasis"/>
          <w:rFonts w:ascii="Arial" w:hAnsi="Arial" w:cs="Arial"/>
          <w:sz w:val="22"/>
          <w:szCs w:val="22"/>
        </w:rPr>
        <w:t>Final undertakings: Vodafone Group Plc / CK Hutchison Holdings Limited joint venture</w:t>
      </w:r>
      <w:r w:rsidRPr="00DF3771">
        <w:rPr>
          <w:rFonts w:ascii="Arial" w:hAnsi="Arial" w:cs="Arial"/>
          <w:sz w:val="22"/>
          <w:szCs w:val="22"/>
        </w:rPr>
        <w:t xml:space="preserve">. Available at: </w:t>
      </w:r>
      <w:hyperlink r:id="rId12" w:history="1">
        <w:r w:rsidRPr="00DF3771">
          <w:rPr>
            <w:rStyle w:val="Hyperlink"/>
            <w:rFonts w:ascii="Arial" w:hAnsi="Arial" w:cs="Arial"/>
            <w:sz w:val="22"/>
            <w:szCs w:val="22"/>
          </w:rPr>
          <w:t>https://assets.publishing.service.gov.uk/media/67e6630b87cebda7c4ca4d0c/Final_undertakings.pdf</w:t>
        </w:r>
      </w:hyperlink>
      <w:r w:rsidRPr="00DF3771">
        <w:rPr>
          <w:rFonts w:ascii="Arial" w:hAnsi="Arial" w:cs="Arial"/>
          <w:sz w:val="22"/>
          <w:szCs w:val="22"/>
        </w:rPr>
        <w:t xml:space="preserve"> (Accessed: 9 July 2026).</w:t>
      </w:r>
    </w:p>
    <w:p w14:paraId="5131541C" w14:textId="36C3BF87"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Freeman, R.E. (1984) </w:t>
      </w:r>
      <w:r w:rsidRPr="00DF3771">
        <w:rPr>
          <w:rStyle w:val="Emphasis"/>
          <w:rFonts w:ascii="Arial" w:hAnsi="Arial" w:cs="Arial"/>
          <w:sz w:val="22"/>
          <w:szCs w:val="22"/>
        </w:rPr>
        <w:t>Strategic Management: A Stakeholder Approach</w:t>
      </w:r>
      <w:r w:rsidRPr="00DF3771">
        <w:rPr>
          <w:rFonts w:ascii="Arial" w:hAnsi="Arial" w:cs="Arial"/>
          <w:sz w:val="22"/>
          <w:szCs w:val="22"/>
        </w:rPr>
        <w:t>. Boston: Pitman.</w:t>
      </w:r>
    </w:p>
    <w:p w14:paraId="0E976AFF" w14:textId="28FF039F"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IG (2025) </w:t>
      </w:r>
      <w:r w:rsidRPr="00DF3771">
        <w:rPr>
          <w:rStyle w:val="Emphasis"/>
          <w:rFonts w:ascii="Arial" w:hAnsi="Arial" w:cs="Arial"/>
          <w:sz w:val="22"/>
          <w:szCs w:val="22"/>
        </w:rPr>
        <w:t>Vodafone-Three merger: What next after the creation of the UK’s largest mobile operator?</w:t>
      </w:r>
      <w:r w:rsidRPr="00DF3771">
        <w:rPr>
          <w:rFonts w:ascii="Arial" w:hAnsi="Arial" w:cs="Arial"/>
          <w:sz w:val="22"/>
          <w:szCs w:val="22"/>
        </w:rPr>
        <w:t xml:space="preserve"> Available at: </w:t>
      </w:r>
      <w:hyperlink r:id="rId13" w:history="1">
        <w:r w:rsidRPr="00DF3771">
          <w:rPr>
            <w:rStyle w:val="Hyperlink"/>
            <w:rFonts w:ascii="Arial" w:hAnsi="Arial" w:cs="Arial"/>
            <w:sz w:val="22"/>
            <w:szCs w:val="22"/>
          </w:rPr>
          <w:t>https://www.ig.com/en/news-and-trade-ideas/vodafone-three-merger--what-next-after-the-creation-of-the-uk-s--250611</w:t>
        </w:r>
      </w:hyperlink>
      <w:r w:rsidRPr="00DF3771">
        <w:rPr>
          <w:rFonts w:ascii="Arial" w:hAnsi="Arial" w:cs="Arial"/>
          <w:sz w:val="22"/>
          <w:szCs w:val="22"/>
        </w:rPr>
        <w:t xml:space="preserve"> (Accessed: 9 July 2026).</w:t>
      </w:r>
    </w:p>
    <w:p w14:paraId="17004E63"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Good Things Foundation (2025) </w:t>
      </w:r>
      <w:r w:rsidRPr="00DF3771">
        <w:rPr>
          <w:rStyle w:val="Emphasis"/>
          <w:rFonts w:ascii="Arial" w:hAnsi="Arial" w:cs="Arial"/>
          <w:sz w:val="22"/>
          <w:szCs w:val="22"/>
        </w:rPr>
        <w:t>Digital Futures for Good: Final Report</w:t>
      </w:r>
      <w:r w:rsidRPr="00DF3771">
        <w:rPr>
          <w:rFonts w:ascii="Arial" w:hAnsi="Arial" w:cs="Arial"/>
          <w:sz w:val="22"/>
          <w:szCs w:val="22"/>
        </w:rPr>
        <w:t xml:space="preserve">. Sheffield: Good Things Foundation. Available at: </w:t>
      </w:r>
      <w:hyperlink r:id="rId14" w:history="1">
        <w:r w:rsidRPr="00DF3771">
          <w:rPr>
            <w:rStyle w:val="Hyperlink"/>
            <w:rFonts w:ascii="Arial" w:eastAsiaTheme="majorEastAsia" w:hAnsi="Arial" w:cs="Arial"/>
            <w:sz w:val="22"/>
            <w:szCs w:val="22"/>
          </w:rPr>
          <w:t>https://www.goodthingsfoundation.org/policy-and-research/research-and-evidence/research-2025/digital-futures-for-good-series-report</w:t>
        </w:r>
      </w:hyperlink>
      <w:r w:rsidRPr="00DF3771">
        <w:rPr>
          <w:rFonts w:ascii="Arial" w:hAnsi="Arial" w:cs="Arial"/>
          <w:sz w:val="22"/>
          <w:szCs w:val="22"/>
        </w:rPr>
        <w:t xml:space="preserve"> (Accessed: 12 July 2026).</w:t>
      </w:r>
    </w:p>
    <w:p w14:paraId="01CBD867"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GSMA (2024) </w:t>
      </w:r>
      <w:r w:rsidRPr="00DF3771">
        <w:rPr>
          <w:rStyle w:val="Emphasis"/>
          <w:rFonts w:ascii="Arial" w:hAnsi="Arial" w:cs="Arial"/>
          <w:sz w:val="22"/>
          <w:szCs w:val="22"/>
        </w:rPr>
        <w:t>Private Mobile Network Strategies Gain Momentum</w:t>
      </w:r>
      <w:r w:rsidRPr="00DF3771">
        <w:rPr>
          <w:rFonts w:ascii="Arial" w:hAnsi="Arial" w:cs="Arial"/>
          <w:sz w:val="22"/>
          <w:szCs w:val="22"/>
        </w:rPr>
        <w:t xml:space="preserve">. London: GSMA. Available at: </w:t>
      </w:r>
      <w:hyperlink r:id="rId15" w:history="1">
        <w:r w:rsidRPr="00DF3771">
          <w:rPr>
            <w:rStyle w:val="Hyperlink"/>
            <w:rFonts w:ascii="Arial" w:eastAsiaTheme="majorEastAsia" w:hAnsi="Arial" w:cs="Arial"/>
            <w:sz w:val="22"/>
            <w:szCs w:val="22"/>
          </w:rPr>
          <w:t>https://www.gsma.com/connectivity-for-good/spectrum/private-mobile-network-strategies-gain-momentum/</w:t>
        </w:r>
      </w:hyperlink>
      <w:r w:rsidRPr="00DF3771">
        <w:rPr>
          <w:rFonts w:ascii="Arial" w:hAnsi="Arial" w:cs="Arial"/>
          <w:sz w:val="22"/>
          <w:szCs w:val="22"/>
        </w:rPr>
        <w:t xml:space="preserve"> (Accessed: 12 July 2026).</w:t>
      </w:r>
    </w:p>
    <w:p w14:paraId="04398FE2"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GSMA (2025) </w:t>
      </w:r>
      <w:r w:rsidRPr="00DF3771">
        <w:rPr>
          <w:rStyle w:val="Emphasis"/>
          <w:rFonts w:ascii="Arial" w:hAnsi="Arial" w:cs="Arial"/>
          <w:sz w:val="22"/>
          <w:szCs w:val="22"/>
        </w:rPr>
        <w:t>Completing the 5G Journey to Transform Businesses</w:t>
      </w:r>
      <w:r w:rsidRPr="00DF3771">
        <w:rPr>
          <w:rFonts w:ascii="Arial" w:hAnsi="Arial" w:cs="Arial"/>
          <w:sz w:val="22"/>
          <w:szCs w:val="22"/>
        </w:rPr>
        <w:t xml:space="preserve">. London: GSMA. Available at: </w:t>
      </w:r>
      <w:hyperlink r:id="rId16" w:history="1">
        <w:r w:rsidRPr="00DF3771">
          <w:rPr>
            <w:rStyle w:val="Hyperlink"/>
            <w:rFonts w:ascii="Arial" w:eastAsiaTheme="majorEastAsia" w:hAnsi="Arial" w:cs="Arial"/>
            <w:sz w:val="22"/>
            <w:szCs w:val="22"/>
          </w:rPr>
          <w:t>https://www.gsma.com/solutions-and-impact/technologies/networks/gsma_resources/completeing-5g-journey-business-transformation/</w:t>
        </w:r>
      </w:hyperlink>
      <w:r w:rsidRPr="00DF3771">
        <w:rPr>
          <w:rFonts w:ascii="Arial" w:hAnsi="Arial" w:cs="Arial"/>
          <w:sz w:val="22"/>
          <w:szCs w:val="22"/>
        </w:rPr>
        <w:t xml:space="preserve"> (Accessed: 12 July 2026).</w:t>
      </w:r>
    </w:p>
    <w:p w14:paraId="5268EADC" w14:textId="5C444AC4"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Johnson, G., Scholes, K. and Whittington, R. (2008) </w:t>
      </w:r>
      <w:r w:rsidRPr="00DF3771">
        <w:rPr>
          <w:rStyle w:val="Emphasis"/>
          <w:rFonts w:ascii="Arial" w:hAnsi="Arial" w:cs="Arial"/>
          <w:sz w:val="22"/>
          <w:szCs w:val="22"/>
        </w:rPr>
        <w:t>Exploring Corporate Strategy</w:t>
      </w:r>
      <w:r w:rsidRPr="00DF3771">
        <w:rPr>
          <w:rFonts w:ascii="Arial" w:hAnsi="Arial" w:cs="Arial"/>
          <w:sz w:val="22"/>
          <w:szCs w:val="22"/>
        </w:rPr>
        <w:t xml:space="preserve">. 8th </w:t>
      </w:r>
      <w:proofErr w:type="spellStart"/>
      <w:r w:rsidRPr="00DF3771">
        <w:rPr>
          <w:rFonts w:ascii="Arial" w:hAnsi="Arial" w:cs="Arial"/>
          <w:sz w:val="22"/>
          <w:szCs w:val="22"/>
        </w:rPr>
        <w:t>edn</w:t>
      </w:r>
      <w:proofErr w:type="spellEnd"/>
      <w:r w:rsidRPr="00DF3771">
        <w:rPr>
          <w:rFonts w:ascii="Arial" w:hAnsi="Arial" w:cs="Arial"/>
          <w:sz w:val="22"/>
          <w:szCs w:val="22"/>
        </w:rPr>
        <w:t>. Harlow: Pearson Education.</w:t>
      </w:r>
    </w:p>
    <w:p w14:paraId="42F518A5" w14:textId="4DE91470"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Local Government Association (LGA) (2026) </w:t>
      </w:r>
      <w:r w:rsidRPr="00DF3771">
        <w:rPr>
          <w:rStyle w:val="Emphasis"/>
          <w:rFonts w:ascii="Arial" w:hAnsi="Arial" w:cs="Arial"/>
          <w:sz w:val="22"/>
          <w:szCs w:val="22"/>
        </w:rPr>
        <w:t>LGA Digital Connectivity Guide</w:t>
      </w:r>
      <w:r w:rsidRPr="00DF3771">
        <w:rPr>
          <w:rFonts w:ascii="Arial" w:hAnsi="Arial" w:cs="Arial"/>
          <w:sz w:val="22"/>
          <w:szCs w:val="22"/>
        </w:rPr>
        <w:t xml:space="preserve">. London: LGA. Available at: </w:t>
      </w:r>
      <w:hyperlink r:id="rId17" w:history="1">
        <w:r w:rsidRPr="00DF3771">
          <w:rPr>
            <w:rStyle w:val="Hyperlink"/>
            <w:rFonts w:ascii="Arial" w:eastAsiaTheme="majorEastAsia" w:hAnsi="Arial" w:cs="Arial"/>
            <w:sz w:val="22"/>
            <w:szCs w:val="22"/>
          </w:rPr>
          <w:t>https://www.local.gov.uk/publications/lga-digital-connectivity-guide</w:t>
        </w:r>
      </w:hyperlink>
      <w:r w:rsidRPr="00DF3771">
        <w:rPr>
          <w:rFonts w:ascii="Arial" w:hAnsi="Arial" w:cs="Arial"/>
          <w:sz w:val="22"/>
          <w:szCs w:val="22"/>
        </w:rPr>
        <w:t xml:space="preserve"> (Accessed: 12 July 2026).</w:t>
      </w:r>
    </w:p>
    <w:p w14:paraId="1E06DAF5" w14:textId="08554013"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Mendelow, A.L. (1991) ‘Stakeholder mapping’, </w:t>
      </w:r>
      <w:r w:rsidRPr="00DF3771">
        <w:rPr>
          <w:rStyle w:val="Emphasis"/>
          <w:rFonts w:ascii="Arial" w:hAnsi="Arial" w:cs="Arial"/>
          <w:sz w:val="22"/>
          <w:szCs w:val="22"/>
        </w:rPr>
        <w:t>Proceedings of the 2nd International Conference on Information Systems</w:t>
      </w:r>
      <w:r w:rsidRPr="00DF3771">
        <w:rPr>
          <w:rFonts w:ascii="Arial" w:hAnsi="Arial" w:cs="Arial"/>
          <w:sz w:val="22"/>
          <w:szCs w:val="22"/>
        </w:rPr>
        <w:t>. Cambridge, MA.</w:t>
      </w:r>
    </w:p>
    <w:p w14:paraId="785F866D" w14:textId="77777777" w:rsidR="00DE3A9E" w:rsidRPr="00DF3771" w:rsidRDefault="00DE3A9E" w:rsidP="00DF3771">
      <w:pPr>
        <w:pStyle w:val="NormalWeb"/>
        <w:rPr>
          <w:rFonts w:ascii="Arial" w:hAnsi="Arial" w:cs="Arial"/>
          <w:sz w:val="22"/>
          <w:szCs w:val="22"/>
        </w:rPr>
      </w:pPr>
      <w:r w:rsidRPr="00DF3771">
        <w:rPr>
          <w:rFonts w:ascii="Arial" w:hAnsi="Arial" w:cs="Arial"/>
          <w:sz w:val="22"/>
          <w:szCs w:val="22"/>
        </w:rPr>
        <w:lastRenderedPageBreak/>
        <w:t xml:space="preserve">Ofcom (2025) </w:t>
      </w:r>
      <w:r w:rsidRPr="00DF3771">
        <w:rPr>
          <w:rStyle w:val="Emphasis"/>
          <w:rFonts w:ascii="Arial" w:hAnsi="Arial" w:cs="Arial"/>
          <w:sz w:val="22"/>
          <w:szCs w:val="22"/>
        </w:rPr>
        <w:t>Comparing customer service: Mobile, home broadband and landline</w:t>
      </w:r>
      <w:r w:rsidRPr="00DF3771">
        <w:rPr>
          <w:rFonts w:ascii="Arial" w:hAnsi="Arial" w:cs="Arial"/>
          <w:sz w:val="22"/>
          <w:szCs w:val="22"/>
        </w:rPr>
        <w:t xml:space="preserve">. Available at: </w:t>
      </w:r>
      <w:hyperlink r:id="rId18" w:history="1">
        <w:r w:rsidRPr="00DF3771">
          <w:rPr>
            <w:rStyle w:val="Hyperlink"/>
            <w:rFonts w:ascii="Arial" w:hAnsi="Arial" w:cs="Arial"/>
            <w:sz w:val="22"/>
            <w:szCs w:val="22"/>
          </w:rPr>
          <w:t>https://www.ofcom.org.uk/siteassets/resources/documents/phones-telecoms-and-internet/comparing-service-quality/2025/comparing-customer-service-report-2025.pdf?v=397528</w:t>
        </w:r>
      </w:hyperlink>
      <w:r w:rsidRPr="00DF3771">
        <w:rPr>
          <w:rFonts w:ascii="Arial" w:hAnsi="Arial" w:cs="Arial"/>
          <w:sz w:val="22"/>
          <w:szCs w:val="22"/>
        </w:rPr>
        <w:t xml:space="preserve"> (Accessed: 9 July 2026).</w:t>
      </w:r>
    </w:p>
    <w:p w14:paraId="03B4FF29" w14:textId="77777777"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Ofcom (2025) </w:t>
      </w:r>
      <w:r w:rsidRPr="00DF3771">
        <w:rPr>
          <w:rStyle w:val="Emphasis"/>
          <w:rFonts w:ascii="Arial" w:hAnsi="Arial" w:cs="Arial"/>
          <w:sz w:val="22"/>
          <w:szCs w:val="22"/>
        </w:rPr>
        <w:t>Connected Nations 2025: UK report</w:t>
      </w:r>
      <w:r w:rsidRPr="00DF3771">
        <w:rPr>
          <w:rFonts w:ascii="Arial" w:hAnsi="Arial" w:cs="Arial"/>
          <w:sz w:val="22"/>
          <w:szCs w:val="22"/>
        </w:rPr>
        <w:t xml:space="preserve">. Available at: </w:t>
      </w:r>
      <w:hyperlink r:id="rId19" w:history="1">
        <w:r w:rsidRPr="00DF3771">
          <w:rPr>
            <w:rStyle w:val="Hyperlink"/>
            <w:rFonts w:ascii="Arial" w:hAnsi="Arial" w:cs="Arial"/>
            <w:sz w:val="22"/>
            <w:szCs w:val="22"/>
          </w:rPr>
          <w:t>https://www.ofcom.org.uk/siteassets/resources/documents/research-and-data/multi-sector/infrastructure-research/connected-nations-2025/connected-nations-uk-report-2025.pdf?v=407947</w:t>
        </w:r>
      </w:hyperlink>
      <w:r w:rsidRPr="00DF3771">
        <w:rPr>
          <w:rFonts w:ascii="Arial" w:hAnsi="Arial" w:cs="Arial"/>
          <w:sz w:val="22"/>
          <w:szCs w:val="22"/>
        </w:rPr>
        <w:t xml:space="preserve"> (Accessed: 9 July 2026).</w:t>
      </w:r>
    </w:p>
    <w:p w14:paraId="51AD693D" w14:textId="77777777"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Ofcom (2026) </w:t>
      </w:r>
      <w:r w:rsidRPr="00DF3771">
        <w:rPr>
          <w:rStyle w:val="Emphasis"/>
          <w:rFonts w:ascii="Arial" w:hAnsi="Arial" w:cs="Arial"/>
          <w:sz w:val="22"/>
          <w:szCs w:val="22"/>
        </w:rPr>
        <w:t>Connected Nations update: Spring 2026</w:t>
      </w:r>
      <w:r w:rsidRPr="00DF3771">
        <w:rPr>
          <w:rFonts w:ascii="Arial" w:hAnsi="Arial" w:cs="Arial"/>
          <w:sz w:val="22"/>
          <w:szCs w:val="22"/>
        </w:rPr>
        <w:t xml:space="preserve">. Available at: </w:t>
      </w:r>
      <w:hyperlink r:id="rId20" w:history="1">
        <w:r w:rsidRPr="00DF3771">
          <w:rPr>
            <w:rStyle w:val="Hyperlink"/>
            <w:rFonts w:ascii="Arial" w:hAnsi="Arial" w:cs="Arial"/>
            <w:sz w:val="22"/>
            <w:szCs w:val="22"/>
          </w:rPr>
          <w:t>https://www.ofcom.org.uk/phones-and-broadband/coverage-and-speeds/connected-nations-update-spring-2026</w:t>
        </w:r>
      </w:hyperlink>
      <w:r w:rsidRPr="00DF3771">
        <w:rPr>
          <w:rFonts w:ascii="Arial" w:hAnsi="Arial" w:cs="Arial"/>
          <w:sz w:val="22"/>
          <w:szCs w:val="22"/>
        </w:rPr>
        <w:t xml:space="preserve"> (Accessed: 9 July 2026).</w:t>
      </w:r>
    </w:p>
    <w:p w14:paraId="04AB1C7C" w14:textId="01C1E508"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Ofcom (2026) </w:t>
      </w:r>
      <w:r w:rsidRPr="00DF3771">
        <w:rPr>
          <w:rStyle w:val="Emphasis"/>
          <w:rFonts w:ascii="Arial" w:hAnsi="Arial" w:cs="Arial"/>
          <w:sz w:val="22"/>
          <w:szCs w:val="22"/>
        </w:rPr>
        <w:t xml:space="preserve">Latest telecoms and </w:t>
      </w:r>
      <w:proofErr w:type="spellStart"/>
      <w:r w:rsidRPr="00DF3771">
        <w:rPr>
          <w:rStyle w:val="Emphasis"/>
          <w:rFonts w:ascii="Arial" w:hAnsi="Arial" w:cs="Arial"/>
          <w:sz w:val="22"/>
          <w:szCs w:val="22"/>
        </w:rPr>
        <w:t>pay-TV</w:t>
      </w:r>
      <w:proofErr w:type="spellEnd"/>
      <w:r w:rsidRPr="00DF3771">
        <w:rPr>
          <w:rStyle w:val="Emphasis"/>
          <w:rFonts w:ascii="Arial" w:hAnsi="Arial" w:cs="Arial"/>
          <w:sz w:val="22"/>
          <w:szCs w:val="22"/>
        </w:rPr>
        <w:t xml:space="preserve"> complaints revealed: Q4 2025</w:t>
      </w:r>
      <w:r w:rsidRPr="00DF3771">
        <w:rPr>
          <w:rFonts w:ascii="Arial" w:hAnsi="Arial" w:cs="Arial"/>
          <w:sz w:val="22"/>
          <w:szCs w:val="22"/>
        </w:rPr>
        <w:t xml:space="preserve">. Available at: </w:t>
      </w:r>
      <w:hyperlink r:id="rId21" w:history="1">
        <w:r w:rsidRPr="00DF3771">
          <w:rPr>
            <w:rStyle w:val="Hyperlink"/>
            <w:rFonts w:ascii="Arial" w:hAnsi="Arial" w:cs="Arial"/>
            <w:sz w:val="22"/>
            <w:szCs w:val="22"/>
          </w:rPr>
          <w:t>https://www.ofcom.org.uk/phones-and-broadband/service-quality/latest-telecoms-and-pay-tv-complaints-revealed-q4-2025</w:t>
        </w:r>
      </w:hyperlink>
      <w:r w:rsidRPr="00DF3771">
        <w:rPr>
          <w:rFonts w:ascii="Arial" w:hAnsi="Arial" w:cs="Arial"/>
          <w:sz w:val="22"/>
          <w:szCs w:val="22"/>
        </w:rPr>
        <w:t xml:space="preserve"> (Accessed: 9 July 2026).</w:t>
      </w:r>
    </w:p>
    <w:p w14:paraId="627CF20F"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OECD (2023) </w:t>
      </w:r>
      <w:r w:rsidRPr="00DF3771">
        <w:rPr>
          <w:rStyle w:val="Emphasis"/>
          <w:rFonts w:ascii="Arial" w:hAnsi="Arial" w:cs="Arial"/>
          <w:sz w:val="22"/>
          <w:szCs w:val="22"/>
        </w:rPr>
        <w:t>G20/OECD Principles of Corporate Governance 2023</w:t>
      </w:r>
      <w:r w:rsidRPr="00DF3771">
        <w:rPr>
          <w:rFonts w:ascii="Arial" w:hAnsi="Arial" w:cs="Arial"/>
          <w:sz w:val="22"/>
          <w:szCs w:val="22"/>
        </w:rPr>
        <w:t xml:space="preserve">. Paris: OECD Publishing. Available at: </w:t>
      </w:r>
      <w:hyperlink r:id="rId22" w:history="1">
        <w:r w:rsidRPr="00DF3771">
          <w:rPr>
            <w:rStyle w:val="Hyperlink"/>
            <w:rFonts w:ascii="Arial" w:eastAsiaTheme="majorEastAsia" w:hAnsi="Arial" w:cs="Arial"/>
            <w:sz w:val="22"/>
            <w:szCs w:val="22"/>
          </w:rPr>
          <w:t>https://doi.org/10.1787/ed750b30-en</w:t>
        </w:r>
      </w:hyperlink>
      <w:r w:rsidRPr="00DF3771">
        <w:rPr>
          <w:rFonts w:ascii="Arial" w:hAnsi="Arial" w:cs="Arial"/>
          <w:sz w:val="22"/>
          <w:szCs w:val="22"/>
        </w:rPr>
        <w:t xml:space="preserve"> (Accessed: 12 July 2026).</w:t>
      </w:r>
    </w:p>
    <w:p w14:paraId="6E5F072C" w14:textId="77777777"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Ofcom (2025) </w:t>
      </w:r>
      <w:r w:rsidRPr="00DF3771">
        <w:rPr>
          <w:rStyle w:val="Emphasis"/>
          <w:rFonts w:ascii="Arial" w:hAnsi="Arial" w:cs="Arial"/>
          <w:sz w:val="22"/>
          <w:szCs w:val="22"/>
        </w:rPr>
        <w:t>Mobile and Wireless Broadband Below 5 GHz: Vodafone and Three Merger Variation Request</w:t>
      </w:r>
      <w:r w:rsidRPr="00DF3771">
        <w:rPr>
          <w:rFonts w:ascii="Arial" w:hAnsi="Arial" w:cs="Arial"/>
          <w:sz w:val="22"/>
          <w:szCs w:val="22"/>
        </w:rPr>
        <w:t xml:space="preserve">. London: Ofcom. Available at: </w:t>
      </w:r>
      <w:hyperlink r:id="rId23" w:history="1">
        <w:r w:rsidRPr="00DF3771">
          <w:rPr>
            <w:rStyle w:val="Hyperlink"/>
            <w:rFonts w:ascii="Arial" w:eastAsiaTheme="majorEastAsia" w:hAnsi="Arial" w:cs="Arial"/>
            <w:sz w:val="22"/>
            <w:szCs w:val="22"/>
          </w:rPr>
          <w:t>https://www.ofcom.org.uk/spectrum/frequencies/below-5ghz</w:t>
        </w:r>
      </w:hyperlink>
      <w:r w:rsidRPr="00DF3771">
        <w:rPr>
          <w:rFonts w:ascii="Arial" w:hAnsi="Arial" w:cs="Arial"/>
          <w:sz w:val="22"/>
          <w:szCs w:val="22"/>
        </w:rPr>
        <w:t xml:space="preserve"> (Accessed: 12 July 2026).</w:t>
      </w:r>
    </w:p>
    <w:p w14:paraId="067C1D4E" w14:textId="57A09E15"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Ofcom (2026) </w:t>
      </w:r>
      <w:r w:rsidRPr="00DF3771">
        <w:rPr>
          <w:rStyle w:val="Emphasis"/>
          <w:rFonts w:ascii="Arial" w:hAnsi="Arial" w:cs="Arial"/>
          <w:sz w:val="22"/>
          <w:szCs w:val="22"/>
        </w:rPr>
        <w:t>Connectivity You Can Count On</w:t>
      </w:r>
      <w:r w:rsidRPr="00DF3771">
        <w:rPr>
          <w:rFonts w:ascii="Arial" w:hAnsi="Arial" w:cs="Arial"/>
          <w:sz w:val="22"/>
          <w:szCs w:val="22"/>
        </w:rPr>
        <w:t xml:space="preserve">. London: Ofcom. Available at: </w:t>
      </w:r>
      <w:hyperlink r:id="rId24" w:history="1">
        <w:r w:rsidRPr="00DF3771">
          <w:rPr>
            <w:rStyle w:val="Hyperlink"/>
            <w:rFonts w:ascii="Arial" w:eastAsiaTheme="majorEastAsia" w:hAnsi="Arial" w:cs="Arial"/>
            <w:sz w:val="22"/>
            <w:szCs w:val="22"/>
          </w:rPr>
          <w:t>https://www.ofcom.org.uk/siteassets/resources/documents/consultations/category-3-4-weeks/mobile-connectivity-you-can-count-on/mobile-connectivity/connectivity-you-can-count-on.pdf</w:t>
        </w:r>
      </w:hyperlink>
      <w:r w:rsidRPr="00DF3771">
        <w:rPr>
          <w:rFonts w:ascii="Arial" w:hAnsi="Arial" w:cs="Arial"/>
          <w:sz w:val="22"/>
          <w:szCs w:val="22"/>
        </w:rPr>
        <w:t xml:space="preserve"> (Accessed: 12 July 2026).</w:t>
      </w:r>
    </w:p>
    <w:p w14:paraId="45144B8D" w14:textId="77777777"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Porter, M.E. (1980) </w:t>
      </w:r>
      <w:r w:rsidRPr="00DF3771">
        <w:rPr>
          <w:rStyle w:val="Emphasis"/>
          <w:rFonts w:ascii="Arial" w:hAnsi="Arial" w:cs="Arial"/>
          <w:sz w:val="22"/>
          <w:szCs w:val="22"/>
        </w:rPr>
        <w:t>Competitive Strategy: Techniques for Analysing Industries and Competitors</w:t>
      </w:r>
      <w:r w:rsidRPr="00DF3771">
        <w:rPr>
          <w:rFonts w:ascii="Arial" w:hAnsi="Arial" w:cs="Arial"/>
          <w:sz w:val="22"/>
          <w:szCs w:val="22"/>
        </w:rPr>
        <w:t>. New York: Free Press.</w:t>
      </w:r>
    </w:p>
    <w:p w14:paraId="36A3351E" w14:textId="47DD76ED" w:rsidR="000E3F74" w:rsidRPr="00DF3771" w:rsidRDefault="000E3F74" w:rsidP="00DF3771">
      <w:pPr>
        <w:pStyle w:val="NormalWeb"/>
        <w:rPr>
          <w:rFonts w:ascii="Arial" w:hAnsi="Arial" w:cs="Arial"/>
          <w:sz w:val="22"/>
          <w:szCs w:val="22"/>
        </w:rPr>
      </w:pPr>
      <w:r w:rsidRPr="00DF3771">
        <w:rPr>
          <w:rFonts w:ascii="Arial" w:hAnsi="Arial" w:cs="Arial"/>
          <w:sz w:val="22"/>
          <w:szCs w:val="22"/>
        </w:rPr>
        <w:t xml:space="preserve">Porter, M.E. (1985) </w:t>
      </w:r>
      <w:r w:rsidRPr="00DF3771">
        <w:rPr>
          <w:rStyle w:val="Emphasis"/>
          <w:rFonts w:ascii="Arial" w:hAnsi="Arial" w:cs="Arial"/>
          <w:sz w:val="22"/>
          <w:szCs w:val="22"/>
        </w:rPr>
        <w:t>Competitive Advantage: Creating and Sustaining Superior Performance</w:t>
      </w:r>
      <w:r w:rsidRPr="00DF3771">
        <w:rPr>
          <w:rFonts w:ascii="Arial" w:hAnsi="Arial" w:cs="Arial"/>
          <w:sz w:val="22"/>
          <w:szCs w:val="22"/>
        </w:rPr>
        <w:t>. New York: Free Press.</w:t>
      </w:r>
    </w:p>
    <w:p w14:paraId="16284023" w14:textId="7722F62F" w:rsidR="00AC1CEB" w:rsidRPr="00DF3771" w:rsidRDefault="00AC1CEB" w:rsidP="00DF3771">
      <w:pPr>
        <w:pStyle w:val="NormalWeb"/>
        <w:rPr>
          <w:rFonts w:ascii="Arial" w:hAnsi="Arial" w:cs="Arial"/>
          <w:sz w:val="22"/>
          <w:szCs w:val="22"/>
        </w:rPr>
      </w:pPr>
      <w:r w:rsidRPr="00DF3771">
        <w:rPr>
          <w:rFonts w:ascii="Arial" w:hAnsi="Arial" w:cs="Arial"/>
          <w:sz w:val="22"/>
          <w:szCs w:val="22"/>
        </w:rPr>
        <w:t xml:space="preserve">Schweiger, D.M. and DeNisi, A.S. (1991) ‘Communication with employees following a merger: A longitudinal field experiment’, </w:t>
      </w:r>
      <w:r w:rsidRPr="00DF3771">
        <w:rPr>
          <w:rStyle w:val="Emphasis"/>
          <w:rFonts w:ascii="Arial" w:hAnsi="Arial" w:cs="Arial"/>
          <w:sz w:val="22"/>
          <w:szCs w:val="22"/>
        </w:rPr>
        <w:t>Academy of Management Journal</w:t>
      </w:r>
      <w:r w:rsidRPr="00DF3771">
        <w:rPr>
          <w:rFonts w:ascii="Arial" w:hAnsi="Arial" w:cs="Arial"/>
          <w:sz w:val="22"/>
          <w:szCs w:val="22"/>
        </w:rPr>
        <w:t xml:space="preserve">, 34(1), pp. 110–135. Available at: </w:t>
      </w:r>
      <w:hyperlink r:id="rId25" w:history="1">
        <w:r w:rsidRPr="00DF3771">
          <w:rPr>
            <w:rStyle w:val="Hyperlink"/>
            <w:rFonts w:ascii="Arial" w:eastAsiaTheme="majorEastAsia" w:hAnsi="Arial" w:cs="Arial"/>
            <w:sz w:val="22"/>
            <w:szCs w:val="22"/>
          </w:rPr>
          <w:t>https://doi.org/10.5465/256304</w:t>
        </w:r>
      </w:hyperlink>
      <w:r w:rsidRPr="00DF3771">
        <w:rPr>
          <w:rFonts w:ascii="Arial" w:hAnsi="Arial" w:cs="Arial"/>
          <w:sz w:val="22"/>
          <w:szCs w:val="22"/>
        </w:rPr>
        <w:t xml:space="preserve"> (Accessed: 12 July 2026).</w:t>
      </w:r>
    </w:p>
    <w:p w14:paraId="0CC17F05" w14:textId="02A72508" w:rsidR="00DE3A9E" w:rsidRPr="00DF3771" w:rsidRDefault="00DE3A9E" w:rsidP="00DF3771">
      <w:pPr>
        <w:pStyle w:val="NormalWeb"/>
        <w:rPr>
          <w:rFonts w:ascii="Arial" w:hAnsi="Arial" w:cs="Arial"/>
          <w:sz w:val="22"/>
          <w:szCs w:val="22"/>
        </w:rPr>
      </w:pPr>
      <w:r w:rsidRPr="00DF3771">
        <w:rPr>
          <w:rFonts w:ascii="Arial" w:hAnsi="Arial" w:cs="Arial"/>
          <w:sz w:val="22"/>
          <w:szCs w:val="22"/>
        </w:rPr>
        <w:t xml:space="preserve">Reuters (2026) ‘Vodafone buys out UK mobile partner CK Hutchison in $5.8 billion deal’, 5 May. Available at: </w:t>
      </w:r>
      <w:hyperlink r:id="rId26" w:history="1">
        <w:r w:rsidRPr="00DF3771">
          <w:rPr>
            <w:rStyle w:val="Hyperlink"/>
            <w:rFonts w:ascii="Arial" w:hAnsi="Arial" w:cs="Arial"/>
            <w:sz w:val="22"/>
            <w:szCs w:val="22"/>
          </w:rPr>
          <w:t>https://www.reuters.com/business/ck-hutchison-unit-exit-vodafonethree-stake-581-billion-2026-05-05/</w:t>
        </w:r>
      </w:hyperlink>
      <w:r w:rsidRPr="00DF3771">
        <w:rPr>
          <w:rFonts w:ascii="Arial" w:hAnsi="Arial" w:cs="Arial"/>
          <w:sz w:val="22"/>
          <w:szCs w:val="22"/>
        </w:rPr>
        <w:t xml:space="preserve"> (Accessed: 9 July 2026).</w:t>
      </w:r>
    </w:p>
    <w:p w14:paraId="614463E5" w14:textId="350DAD90" w:rsidR="00DE3A9E" w:rsidRPr="00DF3771" w:rsidRDefault="00DE3A9E" w:rsidP="00DF3771">
      <w:pPr>
        <w:pStyle w:val="NormalWeb"/>
        <w:rPr>
          <w:rFonts w:ascii="Arial" w:hAnsi="Arial" w:cs="Arial"/>
          <w:sz w:val="22"/>
          <w:szCs w:val="22"/>
        </w:rPr>
      </w:pPr>
      <w:proofErr w:type="spellStart"/>
      <w:r w:rsidRPr="00DF3771">
        <w:rPr>
          <w:rFonts w:ascii="Arial" w:hAnsi="Arial" w:cs="Arial"/>
          <w:sz w:val="22"/>
          <w:szCs w:val="22"/>
        </w:rPr>
        <w:t>techUK</w:t>
      </w:r>
      <w:proofErr w:type="spellEnd"/>
      <w:r w:rsidRPr="00DF3771">
        <w:rPr>
          <w:rFonts w:ascii="Arial" w:hAnsi="Arial" w:cs="Arial"/>
          <w:sz w:val="22"/>
          <w:szCs w:val="22"/>
        </w:rPr>
        <w:t xml:space="preserve"> (2025) </w:t>
      </w:r>
      <w:proofErr w:type="spellStart"/>
      <w:r w:rsidRPr="00DF3771">
        <w:rPr>
          <w:rStyle w:val="Emphasis"/>
          <w:rFonts w:ascii="Arial" w:hAnsi="Arial" w:cs="Arial"/>
          <w:sz w:val="22"/>
          <w:szCs w:val="22"/>
        </w:rPr>
        <w:t>techUK’s</w:t>
      </w:r>
      <w:proofErr w:type="spellEnd"/>
      <w:r w:rsidRPr="00DF3771">
        <w:rPr>
          <w:rStyle w:val="Emphasis"/>
          <w:rFonts w:ascii="Arial" w:hAnsi="Arial" w:cs="Arial"/>
          <w:sz w:val="22"/>
          <w:szCs w:val="22"/>
        </w:rPr>
        <w:t xml:space="preserve"> analysis of Ofcom’s Connected Nations 2025 with continued momentum in digital infrastructure rollout</w:t>
      </w:r>
      <w:r w:rsidRPr="00DF3771">
        <w:rPr>
          <w:rFonts w:ascii="Arial" w:hAnsi="Arial" w:cs="Arial"/>
          <w:sz w:val="22"/>
          <w:szCs w:val="22"/>
        </w:rPr>
        <w:t xml:space="preserve">. Available at: </w:t>
      </w:r>
      <w:hyperlink r:id="rId27" w:history="1">
        <w:r w:rsidRPr="00DF3771">
          <w:rPr>
            <w:rStyle w:val="Hyperlink"/>
            <w:rFonts w:ascii="Arial" w:hAnsi="Arial" w:cs="Arial"/>
            <w:sz w:val="22"/>
            <w:szCs w:val="22"/>
          </w:rPr>
          <w:t>https://www.techuk.org/resource/techuk-s-analysis-of-ofcom-s-connected-nations-2025-with-continued-momentum-in-digital-infrastructure-rollout.html</w:t>
        </w:r>
      </w:hyperlink>
      <w:r w:rsidRPr="00DF3771">
        <w:rPr>
          <w:rFonts w:ascii="Arial" w:hAnsi="Arial" w:cs="Arial"/>
          <w:sz w:val="22"/>
          <w:szCs w:val="22"/>
        </w:rPr>
        <w:t xml:space="preserve"> (Accessed: 9 July 2026).</w:t>
      </w:r>
    </w:p>
    <w:p w14:paraId="08750B17"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(2024) </w:t>
      </w:r>
      <w:r w:rsidRPr="00DF3771">
        <w:rPr>
          <w:rFonts w:ascii="Arial" w:eastAsia="Times New Roman" w:hAnsi="Arial" w:cs="Arial"/>
          <w:i/>
          <w:iCs/>
          <w:sz w:val="22"/>
          <w:szCs w:val="22"/>
          <w:lang w:eastAsia="en-GB"/>
        </w:rPr>
        <w:t>We connect for a better future</w:t>
      </w:r>
      <w:r w:rsidRPr="00DF3771">
        <w:rPr>
          <w:rFonts w:ascii="Arial" w:eastAsia="Times New Roman" w:hAnsi="Arial" w:cs="Arial"/>
          <w:sz w:val="22"/>
          <w:szCs w:val="22"/>
          <w:lang w:eastAsia="en-GB"/>
        </w:rPr>
        <w:t xml:space="preserve">. Available at: </w:t>
      </w:r>
      <w:hyperlink r:id="rId28" w:history="1">
        <w:r w:rsidRPr="00DF3771">
          <w:rPr>
            <w:rFonts w:ascii="Arial" w:eastAsia="Times New Roman" w:hAnsi="Arial" w:cs="Arial"/>
            <w:color w:val="0000FF"/>
            <w:sz w:val="22"/>
            <w:szCs w:val="22"/>
            <w:u w:val="single"/>
            <w:lang w:eastAsia="en-GB"/>
          </w:rPr>
          <w:t>https://www.vodafone.com/news/newsroom/corporate-and-financial/we-connect-for-a-better-future</w:t>
        </w:r>
      </w:hyperlink>
      <w:r w:rsidRPr="00DF3771">
        <w:rPr>
          <w:rFonts w:ascii="Arial" w:eastAsia="Times New Roman" w:hAnsi="Arial" w:cs="Arial"/>
          <w:sz w:val="22"/>
          <w:szCs w:val="22"/>
          <w:lang w:eastAsia="en-GB"/>
        </w:rPr>
        <w:t xml:space="preserve"> (Accessed: 9 July 2026).</w:t>
      </w:r>
    </w:p>
    <w:p w14:paraId="0D371E2B"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lastRenderedPageBreak/>
        <w:t xml:space="preserve">Vodafone (2025) </w:t>
      </w:r>
      <w:r w:rsidRPr="00DF3771">
        <w:rPr>
          <w:rFonts w:ascii="Arial" w:eastAsia="Times New Roman" w:hAnsi="Arial" w:cs="Arial"/>
          <w:i/>
          <w:iCs/>
          <w:sz w:val="22"/>
          <w:szCs w:val="22"/>
          <w:lang w:eastAsia="en-GB"/>
        </w:rPr>
        <w:t>Annual Report 2025</w:t>
      </w:r>
      <w:r w:rsidRPr="00DF3771">
        <w:rPr>
          <w:rFonts w:ascii="Arial" w:eastAsia="Times New Roman" w:hAnsi="Arial" w:cs="Arial"/>
          <w:sz w:val="22"/>
          <w:szCs w:val="22"/>
          <w:lang w:eastAsia="en-GB"/>
        </w:rPr>
        <w:t xml:space="preserve">. Available at: </w:t>
      </w:r>
      <w:hyperlink r:id="rId29" w:history="1">
        <w:r w:rsidRPr="00DF3771">
          <w:rPr>
            <w:rFonts w:ascii="Arial" w:eastAsia="Times New Roman" w:hAnsi="Arial" w:cs="Arial"/>
            <w:color w:val="0000FF"/>
            <w:sz w:val="22"/>
            <w:szCs w:val="22"/>
            <w:u w:val="single"/>
            <w:lang w:eastAsia="en-GB"/>
          </w:rPr>
          <w:t>https://reports.investors.vodafone.com/view/897876789/</w:t>
        </w:r>
      </w:hyperlink>
      <w:r w:rsidRPr="00DF3771">
        <w:rPr>
          <w:rFonts w:ascii="Arial" w:eastAsia="Times New Roman" w:hAnsi="Arial" w:cs="Arial"/>
          <w:sz w:val="22"/>
          <w:szCs w:val="22"/>
          <w:lang w:eastAsia="en-GB"/>
        </w:rPr>
        <w:t xml:space="preserve"> (Accessed: 9 July 2026).</w:t>
      </w:r>
    </w:p>
    <w:p w14:paraId="168CFC90"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(2025) </w:t>
      </w:r>
      <w:r w:rsidRPr="00DF3771">
        <w:rPr>
          <w:rFonts w:ascii="Arial" w:eastAsia="Times New Roman" w:hAnsi="Arial" w:cs="Arial"/>
          <w:i/>
          <w:iCs/>
          <w:sz w:val="22"/>
          <w:szCs w:val="22"/>
          <w:lang w:eastAsia="en-GB"/>
        </w:rPr>
        <w:t>FY25 preliminary results</w:t>
      </w:r>
      <w:r w:rsidRPr="00DF3771">
        <w:rPr>
          <w:rFonts w:ascii="Arial" w:eastAsia="Times New Roman" w:hAnsi="Arial" w:cs="Arial"/>
          <w:sz w:val="22"/>
          <w:szCs w:val="22"/>
          <w:lang w:eastAsia="en-GB"/>
        </w:rPr>
        <w:t xml:space="preserve">. Available at: </w:t>
      </w:r>
      <w:hyperlink r:id="rId30" w:history="1">
        <w:r w:rsidRPr="00DF3771">
          <w:rPr>
            <w:rFonts w:ascii="Arial" w:eastAsia="Times New Roman" w:hAnsi="Arial" w:cs="Arial"/>
            <w:color w:val="0000FF"/>
            <w:sz w:val="22"/>
            <w:szCs w:val="22"/>
            <w:u w:val="single"/>
            <w:lang w:eastAsia="en-GB"/>
          </w:rPr>
          <w:t>https://investors.vodafone.com/~/media/Files/V/Vodafone-IR/documents/performance/financial-results/2025/vodafone-fy25-results-announcement.pdf</w:t>
        </w:r>
      </w:hyperlink>
      <w:r w:rsidRPr="00DF3771">
        <w:rPr>
          <w:rFonts w:ascii="Arial" w:eastAsia="Times New Roman" w:hAnsi="Arial" w:cs="Arial"/>
          <w:sz w:val="22"/>
          <w:szCs w:val="22"/>
          <w:lang w:eastAsia="en-GB"/>
        </w:rPr>
        <w:t xml:space="preserve"> (Accessed: 9 July 2026).</w:t>
      </w:r>
    </w:p>
    <w:p w14:paraId="39C1E8D8"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(2025) </w:t>
      </w:r>
      <w:r w:rsidRPr="00DF3771">
        <w:rPr>
          <w:rFonts w:ascii="Arial" w:eastAsia="Times New Roman" w:hAnsi="Arial" w:cs="Arial"/>
          <w:i/>
          <w:iCs/>
          <w:sz w:val="22"/>
          <w:szCs w:val="22"/>
          <w:lang w:eastAsia="en-GB"/>
        </w:rPr>
        <w:t>Completion of Vodafone and Three merger in the UK</w:t>
      </w:r>
      <w:r w:rsidRPr="00DF3771">
        <w:rPr>
          <w:rFonts w:ascii="Arial" w:eastAsia="Times New Roman" w:hAnsi="Arial" w:cs="Arial"/>
          <w:sz w:val="22"/>
          <w:szCs w:val="22"/>
          <w:lang w:eastAsia="en-GB"/>
        </w:rPr>
        <w:t xml:space="preserve">. Available at: </w:t>
      </w:r>
      <w:hyperlink r:id="rId31" w:history="1">
        <w:r w:rsidRPr="00DF3771">
          <w:rPr>
            <w:rFonts w:ascii="Arial" w:eastAsia="Times New Roman" w:hAnsi="Arial" w:cs="Arial"/>
            <w:color w:val="0000FF"/>
            <w:sz w:val="22"/>
            <w:szCs w:val="22"/>
            <w:u w:val="single"/>
            <w:lang w:eastAsia="en-GB"/>
          </w:rPr>
          <w:t>https://www.vodafone.com/news/newsroom/corporate-and-financial/completion-of-vodafone-and-three-merger-in-the-uk</w:t>
        </w:r>
      </w:hyperlink>
      <w:r w:rsidRPr="00DF3771">
        <w:rPr>
          <w:rFonts w:ascii="Arial" w:eastAsia="Times New Roman" w:hAnsi="Arial" w:cs="Arial"/>
          <w:sz w:val="22"/>
          <w:szCs w:val="22"/>
          <w:lang w:eastAsia="en-GB"/>
        </w:rPr>
        <w:t xml:space="preserve"> (Accessed: 9 July 2026).</w:t>
      </w:r>
    </w:p>
    <w:p w14:paraId="5F0E79B6"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(2026) </w:t>
      </w:r>
      <w:r w:rsidRPr="00DF3771">
        <w:rPr>
          <w:rFonts w:ascii="Arial" w:eastAsia="Times New Roman" w:hAnsi="Arial" w:cs="Arial"/>
          <w:i/>
          <w:iCs/>
          <w:sz w:val="22"/>
          <w:szCs w:val="22"/>
          <w:lang w:eastAsia="en-GB"/>
        </w:rPr>
        <w:t>Our mission</w:t>
      </w:r>
      <w:r w:rsidRPr="00DF3771">
        <w:rPr>
          <w:rFonts w:ascii="Arial" w:eastAsia="Times New Roman" w:hAnsi="Arial" w:cs="Arial"/>
          <w:sz w:val="22"/>
          <w:szCs w:val="22"/>
          <w:lang w:eastAsia="en-GB"/>
        </w:rPr>
        <w:t xml:space="preserve">. Available at: </w:t>
      </w:r>
      <w:hyperlink r:id="rId32" w:history="1">
        <w:r w:rsidRPr="00DF3771">
          <w:rPr>
            <w:rFonts w:ascii="Arial" w:eastAsia="Times New Roman" w:hAnsi="Arial" w:cs="Arial"/>
            <w:color w:val="0000FF"/>
            <w:sz w:val="22"/>
            <w:szCs w:val="22"/>
            <w:u w:val="single"/>
            <w:lang w:eastAsia="en-GB"/>
          </w:rPr>
          <w:t>https://www.vodafone.com/our-company/our-mission</w:t>
        </w:r>
      </w:hyperlink>
      <w:r w:rsidRPr="00DF3771">
        <w:rPr>
          <w:rFonts w:ascii="Arial" w:eastAsia="Times New Roman" w:hAnsi="Arial" w:cs="Arial"/>
          <w:sz w:val="22"/>
          <w:szCs w:val="22"/>
          <w:lang w:eastAsia="en-GB"/>
        </w:rPr>
        <w:t xml:space="preserve"> (Accessed: 9 July 2026).</w:t>
      </w:r>
    </w:p>
    <w:p w14:paraId="496033C0"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Careers (2026) </w:t>
      </w:r>
      <w:r w:rsidRPr="00DF3771">
        <w:rPr>
          <w:rFonts w:ascii="Arial" w:eastAsia="Times New Roman" w:hAnsi="Arial" w:cs="Arial"/>
          <w:i/>
          <w:iCs/>
          <w:sz w:val="22"/>
          <w:szCs w:val="22"/>
          <w:lang w:eastAsia="en-GB"/>
        </w:rPr>
        <w:t>The Spirit of Vodafone</w:t>
      </w:r>
      <w:r w:rsidRPr="00DF3771">
        <w:rPr>
          <w:rFonts w:ascii="Arial" w:eastAsia="Times New Roman" w:hAnsi="Arial" w:cs="Arial"/>
          <w:sz w:val="22"/>
          <w:szCs w:val="22"/>
          <w:lang w:eastAsia="en-GB"/>
        </w:rPr>
        <w:t xml:space="preserve">. Available at: </w:t>
      </w:r>
      <w:hyperlink r:id="rId33" w:history="1">
        <w:r w:rsidRPr="00DF3771">
          <w:rPr>
            <w:rFonts w:ascii="Arial" w:eastAsia="Times New Roman" w:hAnsi="Arial" w:cs="Arial"/>
            <w:color w:val="0000FF"/>
            <w:sz w:val="22"/>
            <w:szCs w:val="22"/>
            <w:u w:val="single"/>
            <w:lang w:eastAsia="en-GB"/>
          </w:rPr>
          <w:t>https://careers.vodafone.com/the-spirit-of-vodafone/</w:t>
        </w:r>
      </w:hyperlink>
      <w:r w:rsidRPr="00DF3771">
        <w:rPr>
          <w:rFonts w:ascii="Arial" w:eastAsia="Times New Roman" w:hAnsi="Arial" w:cs="Arial"/>
          <w:sz w:val="22"/>
          <w:szCs w:val="22"/>
          <w:lang w:eastAsia="en-GB"/>
        </w:rPr>
        <w:t xml:space="preserve"> (Accessed: 9 July 2026).</w:t>
      </w:r>
    </w:p>
    <w:p w14:paraId="0AAE3787"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Group (2025) </w:t>
      </w:r>
      <w:r w:rsidRPr="00DF3771">
        <w:rPr>
          <w:rFonts w:ascii="Arial" w:eastAsia="Times New Roman" w:hAnsi="Arial" w:cs="Arial"/>
          <w:i/>
          <w:iCs/>
          <w:sz w:val="22"/>
          <w:szCs w:val="22"/>
          <w:lang w:eastAsia="en-GB"/>
        </w:rPr>
        <w:t>Annual Report 2025</w:t>
      </w:r>
      <w:r w:rsidRPr="00DF3771">
        <w:rPr>
          <w:rFonts w:ascii="Arial" w:eastAsia="Times New Roman" w:hAnsi="Arial" w:cs="Arial"/>
          <w:sz w:val="22"/>
          <w:szCs w:val="22"/>
          <w:lang w:eastAsia="en-GB"/>
        </w:rPr>
        <w:t xml:space="preserve">. Available at: </w:t>
      </w:r>
      <w:hyperlink r:id="rId34" w:history="1">
        <w:r w:rsidRPr="00DF3771">
          <w:rPr>
            <w:rFonts w:ascii="Arial" w:eastAsia="Times New Roman" w:hAnsi="Arial" w:cs="Arial"/>
            <w:color w:val="0000FF"/>
            <w:sz w:val="22"/>
            <w:szCs w:val="22"/>
            <w:u w:val="single"/>
            <w:lang w:eastAsia="en-GB"/>
          </w:rPr>
          <w:t>https://reports.investors.vodafone.com/view/897876789/</w:t>
        </w:r>
      </w:hyperlink>
      <w:r w:rsidRPr="00DF3771">
        <w:rPr>
          <w:rFonts w:ascii="Arial" w:eastAsia="Times New Roman" w:hAnsi="Arial" w:cs="Arial"/>
          <w:sz w:val="22"/>
          <w:szCs w:val="22"/>
          <w:lang w:eastAsia="en-GB"/>
        </w:rPr>
        <w:t xml:space="preserve"> (Accessed: 9 July 2026).</w:t>
      </w:r>
    </w:p>
    <w:p w14:paraId="5894E34C"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Group (2025) </w:t>
      </w:r>
      <w:r w:rsidRPr="00DF3771">
        <w:rPr>
          <w:rFonts w:ascii="Arial" w:eastAsia="Times New Roman" w:hAnsi="Arial" w:cs="Arial"/>
          <w:i/>
          <w:iCs/>
          <w:sz w:val="22"/>
          <w:szCs w:val="22"/>
          <w:lang w:eastAsia="en-GB"/>
        </w:rPr>
        <w:t>Climate transition plan 2025–2027</w:t>
      </w:r>
      <w:r w:rsidRPr="00DF3771">
        <w:rPr>
          <w:rFonts w:ascii="Arial" w:eastAsia="Times New Roman" w:hAnsi="Arial" w:cs="Arial"/>
          <w:sz w:val="22"/>
          <w:szCs w:val="22"/>
          <w:lang w:eastAsia="en-GB"/>
        </w:rPr>
        <w:t xml:space="preserve">. Available at: </w:t>
      </w:r>
      <w:hyperlink r:id="rId35" w:history="1">
        <w:r w:rsidRPr="00DF3771">
          <w:rPr>
            <w:rFonts w:ascii="Arial" w:eastAsia="Times New Roman" w:hAnsi="Arial" w:cs="Arial"/>
            <w:color w:val="0000FF"/>
            <w:sz w:val="22"/>
            <w:szCs w:val="22"/>
            <w:u w:val="single"/>
            <w:lang w:eastAsia="en-GB"/>
          </w:rPr>
          <w:t>https://www.vodafone.com/pdf-viewer.aspx?gid=514358169&amp;src=%2F~%2Fmedia%2FFiles%2FV%2Fvodafone%2Fcorp%2Fdocuments%2Fsustainable-business%2Fesg-reporting-center%2Fvodafone-group-climate-transition-plan-2025-2027.pdf</w:t>
        </w:r>
      </w:hyperlink>
      <w:r w:rsidRPr="00DF3771">
        <w:rPr>
          <w:rFonts w:ascii="Arial" w:eastAsia="Times New Roman" w:hAnsi="Arial" w:cs="Arial"/>
          <w:sz w:val="22"/>
          <w:szCs w:val="22"/>
          <w:lang w:eastAsia="en-GB"/>
        </w:rPr>
        <w:t xml:space="preserve"> (Accessed: 9 July 2026).</w:t>
      </w:r>
    </w:p>
    <w:p w14:paraId="62E0CFB8"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Group (2025) </w:t>
      </w:r>
      <w:r w:rsidRPr="00DF3771">
        <w:rPr>
          <w:rFonts w:ascii="Arial" w:eastAsia="Times New Roman" w:hAnsi="Arial" w:cs="Arial"/>
          <w:i/>
          <w:iCs/>
          <w:sz w:val="22"/>
          <w:szCs w:val="22"/>
          <w:lang w:eastAsia="en-GB"/>
        </w:rPr>
        <w:t>ESG reporting centre</w:t>
      </w:r>
      <w:r w:rsidRPr="00DF3771">
        <w:rPr>
          <w:rFonts w:ascii="Arial" w:eastAsia="Times New Roman" w:hAnsi="Arial" w:cs="Arial"/>
          <w:sz w:val="22"/>
          <w:szCs w:val="22"/>
          <w:lang w:eastAsia="en-GB"/>
        </w:rPr>
        <w:t xml:space="preserve">. Available at: </w:t>
      </w:r>
      <w:hyperlink r:id="rId36" w:history="1">
        <w:r w:rsidRPr="00DF3771">
          <w:rPr>
            <w:rFonts w:ascii="Arial" w:eastAsia="Times New Roman" w:hAnsi="Arial" w:cs="Arial"/>
            <w:color w:val="0000FF"/>
            <w:sz w:val="22"/>
            <w:szCs w:val="22"/>
            <w:u w:val="single"/>
            <w:lang w:eastAsia="en-GB"/>
          </w:rPr>
          <w:t>https://www.vodafone.com/sustainable-business/esg-reporting-centre</w:t>
        </w:r>
      </w:hyperlink>
      <w:r w:rsidRPr="00DF3771">
        <w:rPr>
          <w:rFonts w:ascii="Arial" w:eastAsia="Times New Roman" w:hAnsi="Arial" w:cs="Arial"/>
          <w:sz w:val="22"/>
          <w:szCs w:val="22"/>
          <w:lang w:eastAsia="en-GB"/>
        </w:rPr>
        <w:t xml:space="preserve"> (Accessed: 9 July 2026).</w:t>
      </w:r>
    </w:p>
    <w:p w14:paraId="658DC25F"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 Group (2025) </w:t>
      </w:r>
      <w:r w:rsidRPr="00DF3771">
        <w:rPr>
          <w:rFonts w:ascii="Arial" w:eastAsia="Times New Roman" w:hAnsi="Arial" w:cs="Arial"/>
          <w:i/>
          <w:iCs/>
          <w:sz w:val="22"/>
          <w:szCs w:val="22"/>
          <w:lang w:eastAsia="en-GB"/>
        </w:rPr>
        <w:t>ESG methodology 2025</w:t>
      </w:r>
      <w:r w:rsidRPr="00DF3771">
        <w:rPr>
          <w:rFonts w:ascii="Arial" w:eastAsia="Times New Roman" w:hAnsi="Arial" w:cs="Arial"/>
          <w:sz w:val="22"/>
          <w:szCs w:val="22"/>
          <w:lang w:eastAsia="en-GB"/>
        </w:rPr>
        <w:t xml:space="preserve">. Available at: </w:t>
      </w:r>
      <w:hyperlink r:id="rId37" w:history="1">
        <w:r w:rsidRPr="00DF3771">
          <w:rPr>
            <w:rFonts w:ascii="Arial" w:eastAsia="Times New Roman" w:hAnsi="Arial" w:cs="Arial"/>
            <w:color w:val="0000FF"/>
            <w:sz w:val="22"/>
            <w:szCs w:val="22"/>
            <w:u w:val="single"/>
            <w:lang w:eastAsia="en-GB"/>
          </w:rPr>
          <w:t>https://investors.vodafone.com/esg/esg-reporting/esg-methodology</w:t>
        </w:r>
      </w:hyperlink>
      <w:r w:rsidRPr="00DF3771">
        <w:rPr>
          <w:rFonts w:ascii="Arial" w:eastAsia="Times New Roman" w:hAnsi="Arial" w:cs="Arial"/>
          <w:sz w:val="22"/>
          <w:szCs w:val="22"/>
          <w:lang w:eastAsia="en-GB"/>
        </w:rPr>
        <w:t xml:space="preserve"> (Accessed: 9 July 2026).</w:t>
      </w:r>
    </w:p>
    <w:p w14:paraId="0A66B25F"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(2025) </w:t>
      </w:r>
      <w:r w:rsidRPr="00DF3771">
        <w:rPr>
          <w:rFonts w:ascii="Arial" w:eastAsia="Times New Roman" w:hAnsi="Arial" w:cs="Arial"/>
          <w:i/>
          <w:iCs/>
          <w:sz w:val="22"/>
          <w:szCs w:val="22"/>
          <w:lang w:eastAsia="en-GB"/>
        </w:rPr>
        <w:t>Building the UK’s best network</w:t>
      </w:r>
      <w:r w:rsidRPr="00DF3771">
        <w:rPr>
          <w:rFonts w:ascii="Arial" w:eastAsia="Times New Roman" w:hAnsi="Arial" w:cs="Arial"/>
          <w:sz w:val="22"/>
          <w:szCs w:val="22"/>
          <w:lang w:eastAsia="en-GB"/>
        </w:rPr>
        <w:t xml:space="preserve">. Available at: </w:t>
      </w:r>
      <w:hyperlink r:id="rId38" w:history="1">
        <w:r w:rsidRPr="00DF3771">
          <w:rPr>
            <w:rFonts w:ascii="Arial" w:eastAsia="Times New Roman" w:hAnsi="Arial" w:cs="Arial"/>
            <w:color w:val="0000FF"/>
            <w:sz w:val="22"/>
            <w:szCs w:val="22"/>
            <w:u w:val="single"/>
            <w:lang w:eastAsia="en-GB"/>
          </w:rPr>
          <w:t>https://www.vodafonethree.com/</w:t>
        </w:r>
      </w:hyperlink>
      <w:r w:rsidRPr="00DF3771">
        <w:rPr>
          <w:rFonts w:ascii="Arial" w:eastAsia="Times New Roman" w:hAnsi="Arial" w:cs="Arial"/>
          <w:sz w:val="22"/>
          <w:szCs w:val="22"/>
          <w:lang w:eastAsia="en-GB"/>
        </w:rPr>
        <w:t xml:space="preserve"> (Accessed: 9 July 2026).</w:t>
      </w:r>
    </w:p>
    <w:p w14:paraId="20D5A3A8"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(2025) </w:t>
      </w:r>
      <w:r w:rsidRPr="00DF3771">
        <w:rPr>
          <w:rFonts w:ascii="Arial" w:eastAsia="Times New Roman" w:hAnsi="Arial" w:cs="Arial"/>
          <w:i/>
          <w:iCs/>
          <w:sz w:val="22"/>
          <w:szCs w:val="22"/>
          <w:lang w:eastAsia="en-GB"/>
        </w:rPr>
        <w:t>Multibillion-pound investment deals signed to build the UK’s best network</w:t>
      </w:r>
      <w:r w:rsidRPr="00DF3771">
        <w:rPr>
          <w:rFonts w:ascii="Arial" w:eastAsia="Times New Roman" w:hAnsi="Arial" w:cs="Arial"/>
          <w:sz w:val="22"/>
          <w:szCs w:val="22"/>
          <w:lang w:eastAsia="en-GB"/>
        </w:rPr>
        <w:t xml:space="preserve">. Available at: </w:t>
      </w:r>
      <w:hyperlink r:id="rId39" w:history="1">
        <w:r w:rsidRPr="00DF3771">
          <w:rPr>
            <w:rFonts w:ascii="Arial" w:eastAsia="Times New Roman" w:hAnsi="Arial" w:cs="Arial"/>
            <w:color w:val="0000FF"/>
            <w:sz w:val="22"/>
            <w:szCs w:val="22"/>
            <w:u w:val="single"/>
            <w:lang w:eastAsia="en-GB"/>
          </w:rPr>
          <w:t>https://www.vodafonethree.com/multibillion-pound-investment-deals-signed-to-build-uk-best-network/</w:t>
        </w:r>
      </w:hyperlink>
      <w:r w:rsidRPr="00DF3771">
        <w:rPr>
          <w:rFonts w:ascii="Arial" w:eastAsia="Times New Roman" w:hAnsi="Arial" w:cs="Arial"/>
          <w:sz w:val="22"/>
          <w:szCs w:val="22"/>
          <w:lang w:eastAsia="en-GB"/>
        </w:rPr>
        <w:t xml:space="preserve"> (Accessed: 9 July 2026).</w:t>
      </w:r>
    </w:p>
    <w:p w14:paraId="3EF41FE6"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(2025) </w:t>
      </w:r>
      <w:r w:rsidRPr="00DF3771">
        <w:rPr>
          <w:rFonts w:ascii="Arial" w:eastAsia="Times New Roman" w:hAnsi="Arial" w:cs="Arial"/>
          <w:i/>
          <w:iCs/>
          <w:sz w:val="22"/>
          <w:szCs w:val="22"/>
          <w:lang w:eastAsia="en-GB"/>
        </w:rPr>
        <w:t>Our impact</w:t>
      </w:r>
      <w:r w:rsidRPr="00DF3771">
        <w:rPr>
          <w:rFonts w:ascii="Arial" w:eastAsia="Times New Roman" w:hAnsi="Arial" w:cs="Arial"/>
          <w:sz w:val="22"/>
          <w:szCs w:val="22"/>
          <w:lang w:eastAsia="en-GB"/>
        </w:rPr>
        <w:t xml:space="preserve">. Available at: </w:t>
      </w:r>
      <w:hyperlink r:id="rId40" w:history="1">
        <w:r w:rsidRPr="00DF3771">
          <w:rPr>
            <w:rFonts w:ascii="Arial" w:eastAsia="Times New Roman" w:hAnsi="Arial" w:cs="Arial"/>
            <w:color w:val="0000FF"/>
            <w:sz w:val="22"/>
            <w:szCs w:val="22"/>
            <w:u w:val="single"/>
            <w:lang w:eastAsia="en-GB"/>
          </w:rPr>
          <w:t>https://www.vodafonethree.com/our-impact/</w:t>
        </w:r>
      </w:hyperlink>
      <w:r w:rsidRPr="00DF3771">
        <w:rPr>
          <w:rFonts w:ascii="Arial" w:eastAsia="Times New Roman" w:hAnsi="Arial" w:cs="Arial"/>
          <w:sz w:val="22"/>
          <w:szCs w:val="22"/>
          <w:lang w:eastAsia="en-GB"/>
        </w:rPr>
        <w:t xml:space="preserve"> (Accessed: 9 July 2026).</w:t>
      </w:r>
    </w:p>
    <w:p w14:paraId="3678996A" w14:textId="77777777" w:rsidR="00DE3A9E" w:rsidRPr="00DF3771" w:rsidRDefault="00DE3A9E" w:rsidP="00DF3771">
      <w:pPr>
        <w:spacing w:before="100" w:beforeAutospacing="1" w:after="100" w:afterAutospacing="1"/>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(2025) </w:t>
      </w:r>
      <w:r w:rsidRPr="00DF3771">
        <w:rPr>
          <w:rFonts w:ascii="Arial" w:eastAsia="Times New Roman" w:hAnsi="Arial" w:cs="Arial"/>
          <w:i/>
          <w:iCs/>
          <w:sz w:val="22"/>
          <w:szCs w:val="22"/>
          <w:lang w:eastAsia="en-GB"/>
        </w:rPr>
        <w:t>VodafoneThree begins a new era of connectivity for the UK</w:t>
      </w:r>
      <w:r w:rsidRPr="00DF3771">
        <w:rPr>
          <w:rFonts w:ascii="Arial" w:eastAsia="Times New Roman" w:hAnsi="Arial" w:cs="Arial"/>
          <w:sz w:val="22"/>
          <w:szCs w:val="22"/>
          <w:lang w:eastAsia="en-GB"/>
        </w:rPr>
        <w:t xml:space="preserve">. Available at: </w:t>
      </w:r>
      <w:hyperlink r:id="rId41" w:history="1">
        <w:r w:rsidRPr="00DF3771">
          <w:rPr>
            <w:rFonts w:ascii="Arial" w:eastAsia="Times New Roman" w:hAnsi="Arial" w:cs="Arial"/>
            <w:color w:val="0000FF"/>
            <w:sz w:val="22"/>
            <w:szCs w:val="22"/>
            <w:u w:val="single"/>
            <w:lang w:eastAsia="en-GB"/>
          </w:rPr>
          <w:t>https://www.vodafonethree.com/new-era-of-connectivity/</w:t>
        </w:r>
      </w:hyperlink>
      <w:r w:rsidRPr="00DF3771">
        <w:rPr>
          <w:rFonts w:ascii="Arial" w:eastAsia="Times New Roman" w:hAnsi="Arial" w:cs="Arial"/>
          <w:sz w:val="22"/>
          <w:szCs w:val="22"/>
          <w:lang w:eastAsia="en-GB"/>
        </w:rPr>
        <w:t xml:space="preserve"> (Accessed: 9 July 2026).</w:t>
      </w:r>
    </w:p>
    <w:p w14:paraId="136030A2" w14:textId="75677D2D" w:rsidR="002C3CA1" w:rsidRPr="00DF3771" w:rsidRDefault="000E3F74" w:rsidP="00DF3771">
      <w:pPr>
        <w:pStyle w:val="NormalWeb"/>
        <w:rPr>
          <w:rFonts w:ascii="Arial" w:hAnsi="Arial" w:cs="Arial"/>
          <w:sz w:val="22"/>
          <w:szCs w:val="22"/>
        </w:rPr>
      </w:pPr>
      <w:r w:rsidRPr="00DF3771">
        <w:rPr>
          <w:rFonts w:ascii="Arial" w:hAnsi="Arial" w:cs="Arial"/>
          <w:sz w:val="22"/>
          <w:szCs w:val="22"/>
        </w:rPr>
        <w:t xml:space="preserve">Whittington, R., </w:t>
      </w:r>
      <w:proofErr w:type="spellStart"/>
      <w:r w:rsidRPr="00DF3771">
        <w:rPr>
          <w:rFonts w:ascii="Arial" w:hAnsi="Arial" w:cs="Arial"/>
          <w:sz w:val="22"/>
          <w:szCs w:val="22"/>
        </w:rPr>
        <w:t>Regnér</w:t>
      </w:r>
      <w:proofErr w:type="spellEnd"/>
      <w:r w:rsidRPr="00DF3771">
        <w:rPr>
          <w:rFonts w:ascii="Arial" w:hAnsi="Arial" w:cs="Arial"/>
          <w:sz w:val="22"/>
          <w:szCs w:val="22"/>
        </w:rPr>
        <w:t xml:space="preserve">, P., Angwin, D., Johnson, G. and Scholes, K. (2020) </w:t>
      </w:r>
      <w:r w:rsidRPr="00DF3771">
        <w:rPr>
          <w:rStyle w:val="Emphasis"/>
          <w:rFonts w:ascii="Arial" w:hAnsi="Arial" w:cs="Arial"/>
          <w:sz w:val="22"/>
          <w:szCs w:val="22"/>
        </w:rPr>
        <w:t>Exploring Strategy</w:t>
      </w:r>
      <w:r w:rsidRPr="00DF3771">
        <w:rPr>
          <w:rFonts w:ascii="Arial" w:hAnsi="Arial" w:cs="Arial"/>
          <w:sz w:val="22"/>
          <w:szCs w:val="22"/>
        </w:rPr>
        <w:t xml:space="preserve">. 12th </w:t>
      </w:r>
      <w:proofErr w:type="spellStart"/>
      <w:r w:rsidRPr="00DF3771">
        <w:rPr>
          <w:rFonts w:ascii="Arial" w:hAnsi="Arial" w:cs="Arial"/>
          <w:sz w:val="22"/>
          <w:szCs w:val="22"/>
        </w:rPr>
        <w:t>edn</w:t>
      </w:r>
      <w:proofErr w:type="spellEnd"/>
      <w:r w:rsidRPr="00DF3771">
        <w:rPr>
          <w:rFonts w:ascii="Arial" w:hAnsi="Arial" w:cs="Arial"/>
          <w:sz w:val="22"/>
          <w:szCs w:val="22"/>
        </w:rPr>
        <w:t>. Harlow: Pearson Education.</w:t>
      </w:r>
    </w:p>
    <w:p w14:paraId="403FB084" w14:textId="6663940A" w:rsidR="000E3F74" w:rsidRPr="00DF3771" w:rsidRDefault="000E3F74" w:rsidP="00DF3771">
      <w:pPr>
        <w:pStyle w:val="NormalWeb"/>
        <w:spacing w:line="360" w:lineRule="auto"/>
        <w:rPr>
          <w:rFonts w:ascii="Arial" w:hAnsi="Arial" w:cs="Arial"/>
          <w:sz w:val="22"/>
          <w:szCs w:val="22"/>
        </w:rPr>
      </w:pPr>
    </w:p>
    <w:p w14:paraId="2E6F0BC1" w14:textId="1E810C80" w:rsidR="000E3F74" w:rsidRPr="004F4883" w:rsidRDefault="000E3F74" w:rsidP="00DF3771">
      <w:pPr>
        <w:pStyle w:val="Heading1"/>
        <w:spacing w:line="360" w:lineRule="auto"/>
        <w:rPr>
          <w:rFonts w:ascii="Arial" w:hAnsi="Arial" w:cs="Arial"/>
          <w:b/>
          <w:bCs/>
          <w:sz w:val="22"/>
          <w:szCs w:val="22"/>
        </w:rPr>
      </w:pPr>
      <w:bookmarkStart w:id="13" w:name="_Toc234833736"/>
      <w:r w:rsidRPr="004F4883">
        <w:rPr>
          <w:rFonts w:ascii="Arial" w:hAnsi="Arial" w:cs="Arial"/>
          <w:b/>
          <w:bCs/>
          <w:sz w:val="22"/>
          <w:szCs w:val="22"/>
        </w:rPr>
        <w:lastRenderedPageBreak/>
        <w:t>Appendices</w:t>
      </w:r>
      <w:bookmarkEnd w:id="13"/>
      <w:r w:rsidRPr="004F4883">
        <w:rPr>
          <w:rFonts w:ascii="Arial" w:hAnsi="Arial" w:cs="Arial"/>
          <w:b/>
          <w:bCs/>
          <w:sz w:val="22"/>
          <w:szCs w:val="22"/>
        </w:rPr>
        <w:t xml:space="preserve"> </w:t>
      </w:r>
    </w:p>
    <w:p w14:paraId="57C955A7" w14:textId="439BD70F" w:rsidR="000E3F74" w:rsidRPr="00DF3771" w:rsidRDefault="000E3F74" w:rsidP="00DF3771">
      <w:pPr>
        <w:pStyle w:val="Heading2"/>
        <w:spacing w:line="360" w:lineRule="auto"/>
        <w:rPr>
          <w:rFonts w:ascii="Arial" w:hAnsi="Arial" w:cs="Arial"/>
          <w:sz w:val="22"/>
          <w:szCs w:val="22"/>
        </w:rPr>
      </w:pPr>
      <w:bookmarkStart w:id="14" w:name="_Toc234833737"/>
      <w:r w:rsidRPr="00DF3771">
        <w:rPr>
          <w:rFonts w:ascii="Arial" w:hAnsi="Arial" w:cs="Arial"/>
          <w:sz w:val="22"/>
          <w:szCs w:val="22"/>
        </w:rPr>
        <w:t>SWOT ANALYSIS TABLE</w:t>
      </w:r>
      <w:bookmarkEnd w:id="14"/>
    </w:p>
    <w:tbl>
      <w:tblPr>
        <w:tblStyle w:val="TableGrid"/>
        <w:tblW w:w="0" w:type="auto"/>
        <w:tblLook w:val="04A0" w:firstRow="1" w:lastRow="0" w:firstColumn="1" w:lastColumn="0" w:noHBand="0" w:noVBand="1"/>
      </w:tblPr>
      <w:tblGrid>
        <w:gridCol w:w="4411"/>
        <w:gridCol w:w="4605"/>
      </w:tblGrid>
      <w:tr w:rsidR="000E3F74" w:rsidRPr="00DF3771" w14:paraId="233A5FE2" w14:textId="77777777" w:rsidTr="000E3F74">
        <w:tc>
          <w:tcPr>
            <w:tcW w:w="0" w:type="auto"/>
            <w:shd w:val="clear" w:color="auto" w:fill="00B0F0"/>
            <w:hideMark/>
          </w:tcPr>
          <w:p w14:paraId="14DA6AE3" w14:textId="77777777" w:rsidR="000E3F74" w:rsidRPr="00DF3771" w:rsidRDefault="000E3F74" w:rsidP="00DF3771">
            <w:pPr>
              <w:spacing w:line="360" w:lineRule="auto"/>
              <w:jc w:val="center"/>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Strengths</w:t>
            </w:r>
          </w:p>
        </w:tc>
        <w:tc>
          <w:tcPr>
            <w:tcW w:w="0" w:type="auto"/>
            <w:shd w:val="clear" w:color="auto" w:fill="00B0F0"/>
            <w:hideMark/>
          </w:tcPr>
          <w:p w14:paraId="1A434F00" w14:textId="77777777" w:rsidR="000E3F74" w:rsidRPr="00DF3771" w:rsidRDefault="000E3F74" w:rsidP="00DF3771">
            <w:pPr>
              <w:spacing w:line="360" w:lineRule="auto"/>
              <w:jc w:val="center"/>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Weaknesses</w:t>
            </w:r>
          </w:p>
        </w:tc>
      </w:tr>
      <w:tr w:rsidR="000E3F74" w:rsidRPr="00DF3771" w14:paraId="32B2FA24" w14:textId="77777777" w:rsidTr="000E3F74">
        <w:tc>
          <w:tcPr>
            <w:tcW w:w="0" w:type="auto"/>
            <w:hideMark/>
          </w:tcPr>
          <w:p w14:paraId="117D3360"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Enlarged scale after the Vodafone UK and Three UK merger, creating around 27 million customers (Vodafone, 2025).</w:t>
            </w:r>
          </w:p>
        </w:tc>
        <w:tc>
          <w:tcPr>
            <w:tcW w:w="0" w:type="auto"/>
            <w:hideMark/>
          </w:tcPr>
          <w:p w14:paraId="0B28AE4A"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Merger integration is complex, involving systems, networks, employees and customer processes.</w:t>
            </w:r>
          </w:p>
        </w:tc>
      </w:tr>
      <w:tr w:rsidR="000E3F74" w:rsidRPr="00DF3771" w14:paraId="360A1C91" w14:textId="77777777" w:rsidTr="000E3F74">
        <w:tc>
          <w:tcPr>
            <w:tcW w:w="0" w:type="auto"/>
            <w:hideMark/>
          </w:tcPr>
          <w:p w14:paraId="173305D5"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£11 billion planned network investment over ten years, supporting 5G Standalone and wider UK coverage (VodafoneThree, 2025).</w:t>
            </w:r>
          </w:p>
        </w:tc>
        <w:tc>
          <w:tcPr>
            <w:tcW w:w="0" w:type="auto"/>
            <w:hideMark/>
          </w:tcPr>
          <w:p w14:paraId="1B736C30"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High capital expenditure creates pressure to deliver financial returns from the investment.</w:t>
            </w:r>
          </w:p>
        </w:tc>
      </w:tr>
      <w:tr w:rsidR="000E3F74" w:rsidRPr="00DF3771" w14:paraId="27AA8469" w14:textId="77777777" w:rsidTr="000E3F74">
        <w:tc>
          <w:tcPr>
            <w:tcW w:w="0" w:type="auto"/>
            <w:hideMark/>
          </w:tcPr>
          <w:p w14:paraId="3CF6CA2E"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Strong enterprise capability through Vodafone Business, IoT, cloud and cybersecurity services.</w:t>
            </w:r>
          </w:p>
        </w:tc>
        <w:tc>
          <w:tcPr>
            <w:tcW w:w="0" w:type="auto"/>
            <w:hideMark/>
          </w:tcPr>
          <w:p w14:paraId="62B728F1"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Customer service remains a concern, especially as Ofcom reported Vodafone among the most complained-about broadband providers (Ofcom, 2026).</w:t>
            </w:r>
          </w:p>
        </w:tc>
      </w:tr>
      <w:tr w:rsidR="000E3F74" w:rsidRPr="00DF3771" w14:paraId="5C6CD623" w14:textId="77777777" w:rsidTr="000E3F74">
        <w:tc>
          <w:tcPr>
            <w:tcW w:w="0" w:type="auto"/>
            <w:hideMark/>
          </w:tcPr>
          <w:p w14:paraId="53A68856"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Strong brand recognition and existing UK mobile and broadband customer base.</w:t>
            </w:r>
          </w:p>
        </w:tc>
        <w:tc>
          <w:tcPr>
            <w:tcW w:w="0" w:type="auto"/>
            <w:hideMark/>
          </w:tcPr>
          <w:p w14:paraId="36C91D11" w14:textId="1C2D9850"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Risk of being seen as a traditional telecom’s provider rather than a digital solutions partner.</w:t>
            </w:r>
          </w:p>
        </w:tc>
      </w:tr>
      <w:tr w:rsidR="000E3F74" w:rsidRPr="00DF3771" w14:paraId="52C6A110" w14:textId="77777777" w:rsidTr="000E3F74">
        <w:tc>
          <w:tcPr>
            <w:tcW w:w="0" w:type="auto"/>
            <w:shd w:val="clear" w:color="auto" w:fill="00B0F0"/>
            <w:hideMark/>
          </w:tcPr>
          <w:p w14:paraId="6310F3D9" w14:textId="77777777" w:rsidR="000E3F74" w:rsidRPr="00DF3771" w:rsidRDefault="000E3F74" w:rsidP="00DF3771">
            <w:pPr>
              <w:spacing w:line="360" w:lineRule="auto"/>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Opportunities</w:t>
            </w:r>
          </w:p>
        </w:tc>
        <w:tc>
          <w:tcPr>
            <w:tcW w:w="0" w:type="auto"/>
            <w:shd w:val="clear" w:color="auto" w:fill="00B0F0"/>
            <w:hideMark/>
          </w:tcPr>
          <w:p w14:paraId="1C67BCE7" w14:textId="77777777" w:rsidR="000E3F74" w:rsidRPr="00DF3771" w:rsidRDefault="000E3F74" w:rsidP="00DF3771">
            <w:pPr>
              <w:spacing w:line="360" w:lineRule="auto"/>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Threats</w:t>
            </w:r>
          </w:p>
        </w:tc>
      </w:tr>
      <w:tr w:rsidR="000E3F74" w:rsidRPr="00DF3771" w14:paraId="36DF9082" w14:textId="77777777" w:rsidTr="000E3F74">
        <w:tc>
          <w:tcPr>
            <w:tcW w:w="0" w:type="auto"/>
            <w:hideMark/>
          </w:tcPr>
          <w:p w14:paraId="291DD707"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Growth in private 5G, IoT, cybersecurity, smart cities and SME digital services.</w:t>
            </w:r>
          </w:p>
        </w:tc>
        <w:tc>
          <w:tcPr>
            <w:tcW w:w="0" w:type="auto"/>
            <w:hideMark/>
          </w:tcPr>
          <w:p w14:paraId="78CEF6D0"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Strong rivalry from BT/EE, Virgin Media O2 and low-cost mobile virtual network operators.</w:t>
            </w:r>
          </w:p>
        </w:tc>
      </w:tr>
      <w:tr w:rsidR="000E3F74" w:rsidRPr="00DF3771" w14:paraId="5FD2A891" w14:textId="77777777" w:rsidTr="000E3F74">
        <w:tc>
          <w:tcPr>
            <w:tcW w:w="0" w:type="auto"/>
            <w:hideMark/>
          </w:tcPr>
          <w:p w14:paraId="39B7AA50"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Public-sector and local authority partnerships for smart infrastructure and digital inclusion.</w:t>
            </w:r>
          </w:p>
        </w:tc>
        <w:tc>
          <w:tcPr>
            <w:tcW w:w="0" w:type="auto"/>
            <w:hideMark/>
          </w:tcPr>
          <w:p w14:paraId="560D85CB"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High buyer power, as customers can easily compare and switch providers (Porter, 1980; Ofcom, 2025).</w:t>
            </w:r>
          </w:p>
        </w:tc>
      </w:tr>
      <w:tr w:rsidR="000E3F74" w:rsidRPr="00DF3771" w14:paraId="781C8D31" w14:textId="77777777" w:rsidTr="000E3F74">
        <w:tc>
          <w:tcPr>
            <w:tcW w:w="0" w:type="auto"/>
            <w:hideMark/>
          </w:tcPr>
          <w:p w14:paraId="2F99AB21"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Rural and regional connectivity improvement can support social value and brand trust.</w:t>
            </w:r>
          </w:p>
        </w:tc>
        <w:tc>
          <w:tcPr>
            <w:tcW w:w="0" w:type="auto"/>
            <w:hideMark/>
          </w:tcPr>
          <w:p w14:paraId="3546CC68"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Supplier dependency for network equipment, software and construction partners may delay rollout.</w:t>
            </w:r>
          </w:p>
        </w:tc>
      </w:tr>
      <w:tr w:rsidR="000E3F74" w:rsidRPr="00DF3771" w14:paraId="4922A1E9" w14:textId="77777777" w:rsidTr="000E3F74">
        <w:tc>
          <w:tcPr>
            <w:tcW w:w="0" w:type="auto"/>
            <w:hideMark/>
          </w:tcPr>
          <w:p w14:paraId="7A6181B7"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Expansion into higher-value B2B services can reduce reliance on price-sensitive consumer mobile markets.</w:t>
            </w:r>
          </w:p>
        </w:tc>
        <w:tc>
          <w:tcPr>
            <w:tcW w:w="0" w:type="auto"/>
            <w:hideMark/>
          </w:tcPr>
          <w:p w14:paraId="09BA3F7F"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Technology firms may capture value in cloud, cybersecurity and digital platforms.</w:t>
            </w:r>
          </w:p>
        </w:tc>
      </w:tr>
    </w:tbl>
    <w:p w14:paraId="14087D9E" w14:textId="77777777" w:rsidR="000E3F74" w:rsidRPr="00DF3771" w:rsidRDefault="000E3F74" w:rsidP="00DF3771">
      <w:pPr>
        <w:pStyle w:val="NormalWeb"/>
        <w:spacing w:line="360" w:lineRule="auto"/>
        <w:rPr>
          <w:rFonts w:ascii="Arial" w:hAnsi="Arial" w:cs="Arial"/>
          <w:sz w:val="22"/>
          <w:szCs w:val="22"/>
        </w:rPr>
      </w:pPr>
    </w:p>
    <w:p w14:paraId="6498746A" w14:textId="6F9220C6" w:rsidR="002C3CA1" w:rsidRPr="00DF3771" w:rsidRDefault="002C3CA1" w:rsidP="00DF3771">
      <w:pPr>
        <w:spacing w:line="360" w:lineRule="auto"/>
        <w:rPr>
          <w:rFonts w:ascii="Arial" w:hAnsi="Arial" w:cs="Arial"/>
          <w:sz w:val="22"/>
          <w:szCs w:val="22"/>
        </w:rPr>
      </w:pPr>
    </w:p>
    <w:p w14:paraId="5CCD1275" w14:textId="77777777" w:rsidR="004F4883" w:rsidRDefault="004F4883">
      <w:pPr>
        <w:rPr>
          <w:rFonts w:ascii="Arial" w:eastAsia="Times New Roman" w:hAnsi="Arial" w:cs="Arial"/>
          <w:b/>
          <w:bCs/>
          <w:sz w:val="22"/>
          <w:szCs w:val="22"/>
          <w:lang w:eastAsia="en-GB"/>
        </w:rPr>
      </w:pPr>
      <w:r>
        <w:rPr>
          <w:rFonts w:ascii="Arial" w:hAnsi="Arial" w:cs="Arial"/>
          <w:sz w:val="22"/>
          <w:szCs w:val="22"/>
        </w:rPr>
        <w:br w:type="page"/>
      </w:r>
    </w:p>
    <w:p w14:paraId="540036DA" w14:textId="111E91D3" w:rsidR="000E3F74" w:rsidRPr="00DF3771" w:rsidRDefault="000E3F74" w:rsidP="00DF3771">
      <w:pPr>
        <w:pStyle w:val="Heading2"/>
        <w:spacing w:line="360" w:lineRule="auto"/>
        <w:rPr>
          <w:rFonts w:ascii="Arial" w:hAnsi="Arial" w:cs="Arial"/>
          <w:sz w:val="22"/>
          <w:szCs w:val="22"/>
        </w:rPr>
      </w:pPr>
      <w:bookmarkStart w:id="15" w:name="_Toc234833738"/>
      <w:r w:rsidRPr="00DF3771">
        <w:rPr>
          <w:rFonts w:ascii="Arial" w:hAnsi="Arial" w:cs="Arial"/>
          <w:sz w:val="22"/>
          <w:szCs w:val="22"/>
        </w:rPr>
        <w:lastRenderedPageBreak/>
        <w:t>PORTER’S FIVE FORCES TABLE</w:t>
      </w:r>
      <w:bookmarkEnd w:id="15"/>
      <w:r w:rsidRPr="00DF3771">
        <w:rPr>
          <w:rFonts w:ascii="Arial" w:hAnsi="Arial" w:cs="Arial"/>
          <w:sz w:val="22"/>
          <w:szCs w:val="22"/>
        </w:rPr>
        <w:t xml:space="preserve"> </w:t>
      </w:r>
    </w:p>
    <w:p w14:paraId="0E69EE2E" w14:textId="77777777" w:rsidR="000E3F74" w:rsidRPr="00DF3771" w:rsidRDefault="000E3F74" w:rsidP="00DF3771">
      <w:pPr>
        <w:spacing w:line="360" w:lineRule="auto"/>
        <w:rPr>
          <w:rFonts w:ascii="Arial" w:hAnsi="Arial" w:cs="Arial"/>
          <w:sz w:val="22"/>
          <w:szCs w:val="22"/>
        </w:rPr>
      </w:pPr>
    </w:p>
    <w:tbl>
      <w:tblPr>
        <w:tblStyle w:val="TableGrid"/>
        <w:tblW w:w="0" w:type="auto"/>
        <w:tblLook w:val="04A0" w:firstRow="1" w:lastRow="0" w:firstColumn="1" w:lastColumn="0" w:noHBand="0" w:noVBand="1"/>
      </w:tblPr>
      <w:tblGrid>
        <w:gridCol w:w="1703"/>
        <w:gridCol w:w="1873"/>
        <w:gridCol w:w="5440"/>
      </w:tblGrid>
      <w:tr w:rsidR="00DE3A9E" w:rsidRPr="00DF3771" w14:paraId="07877CDF" w14:textId="77777777" w:rsidTr="000E3F74">
        <w:tc>
          <w:tcPr>
            <w:tcW w:w="0" w:type="auto"/>
            <w:hideMark/>
          </w:tcPr>
          <w:p w14:paraId="2921BD94" w14:textId="77777777" w:rsidR="000E3F74" w:rsidRPr="00DF3771" w:rsidRDefault="000E3F74" w:rsidP="00DF3771">
            <w:pPr>
              <w:spacing w:line="360" w:lineRule="auto"/>
              <w:jc w:val="center"/>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Force</w:t>
            </w:r>
          </w:p>
        </w:tc>
        <w:tc>
          <w:tcPr>
            <w:tcW w:w="0" w:type="auto"/>
            <w:hideMark/>
          </w:tcPr>
          <w:p w14:paraId="0E72AA3D" w14:textId="77777777" w:rsidR="000E3F74" w:rsidRPr="00DF3771" w:rsidRDefault="000E3F74" w:rsidP="00DF3771">
            <w:pPr>
              <w:spacing w:line="360" w:lineRule="auto"/>
              <w:jc w:val="right"/>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Level</w:t>
            </w:r>
          </w:p>
        </w:tc>
        <w:tc>
          <w:tcPr>
            <w:tcW w:w="0" w:type="auto"/>
            <w:hideMark/>
          </w:tcPr>
          <w:p w14:paraId="5FF9A6F9" w14:textId="77777777" w:rsidR="000E3F74" w:rsidRPr="00DF3771" w:rsidRDefault="000E3F74" w:rsidP="00DF3771">
            <w:pPr>
              <w:spacing w:line="360" w:lineRule="auto"/>
              <w:jc w:val="center"/>
              <w:rPr>
                <w:rFonts w:ascii="Arial" w:eastAsia="Times New Roman" w:hAnsi="Arial" w:cs="Arial"/>
                <w:b/>
                <w:bCs/>
                <w:sz w:val="22"/>
                <w:szCs w:val="22"/>
                <w:lang w:eastAsia="en-GB"/>
              </w:rPr>
            </w:pPr>
            <w:r w:rsidRPr="00DF3771">
              <w:rPr>
                <w:rFonts w:ascii="Arial" w:eastAsia="Times New Roman" w:hAnsi="Arial" w:cs="Arial"/>
                <w:b/>
                <w:bCs/>
                <w:sz w:val="22"/>
                <w:szCs w:val="22"/>
                <w:lang w:eastAsia="en-GB"/>
              </w:rPr>
              <w:t>Brief analysis</w:t>
            </w:r>
          </w:p>
        </w:tc>
      </w:tr>
      <w:tr w:rsidR="00DE3A9E" w:rsidRPr="00DF3771" w14:paraId="2B2D29FF" w14:textId="77777777" w:rsidTr="000E3F74">
        <w:tc>
          <w:tcPr>
            <w:tcW w:w="0" w:type="auto"/>
            <w:hideMark/>
          </w:tcPr>
          <w:p w14:paraId="73CE2564"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Competitive rivalry</w:t>
            </w:r>
          </w:p>
        </w:tc>
        <w:tc>
          <w:tcPr>
            <w:tcW w:w="0" w:type="auto"/>
            <w:hideMark/>
          </w:tcPr>
          <w:p w14:paraId="467D57E0" w14:textId="77777777" w:rsidR="000E3F74" w:rsidRPr="00DF3771" w:rsidRDefault="000E3F74" w:rsidP="00DF3771">
            <w:pPr>
              <w:spacing w:line="360" w:lineRule="auto"/>
              <w:jc w:val="right"/>
              <w:rPr>
                <w:rFonts w:ascii="Arial" w:eastAsia="Times New Roman" w:hAnsi="Arial" w:cs="Arial"/>
                <w:sz w:val="22"/>
                <w:szCs w:val="22"/>
                <w:lang w:eastAsia="en-GB"/>
              </w:rPr>
            </w:pPr>
            <w:r w:rsidRPr="00DF3771">
              <w:rPr>
                <w:rFonts w:ascii="Arial" w:eastAsia="Times New Roman" w:hAnsi="Arial" w:cs="Arial"/>
                <w:sz w:val="22"/>
                <w:szCs w:val="22"/>
                <w:lang w:eastAsia="en-GB"/>
              </w:rPr>
              <w:t>High</w:t>
            </w:r>
          </w:p>
        </w:tc>
        <w:tc>
          <w:tcPr>
            <w:tcW w:w="0" w:type="auto"/>
            <w:hideMark/>
          </w:tcPr>
          <w:p w14:paraId="51A1119A"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VodafoneThree competes with BT/EE, Virgin Media O2 and MVNOs. The merger improves scale but does not remove intense price, bundle and network-quality competition (Vodafone, 2025).</w:t>
            </w:r>
          </w:p>
        </w:tc>
      </w:tr>
      <w:tr w:rsidR="00DE3A9E" w:rsidRPr="00DF3771" w14:paraId="5D18D3B3" w14:textId="77777777" w:rsidTr="000E3F74">
        <w:tc>
          <w:tcPr>
            <w:tcW w:w="0" w:type="auto"/>
            <w:hideMark/>
          </w:tcPr>
          <w:p w14:paraId="7EB0E86F"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Bargaining power of buyers</w:t>
            </w:r>
          </w:p>
        </w:tc>
        <w:tc>
          <w:tcPr>
            <w:tcW w:w="0" w:type="auto"/>
            <w:hideMark/>
          </w:tcPr>
          <w:p w14:paraId="63D1F17E" w14:textId="77777777" w:rsidR="000E3F74" w:rsidRPr="00DF3771" w:rsidRDefault="000E3F74" w:rsidP="00DF3771">
            <w:pPr>
              <w:spacing w:line="360" w:lineRule="auto"/>
              <w:jc w:val="right"/>
              <w:rPr>
                <w:rFonts w:ascii="Arial" w:eastAsia="Times New Roman" w:hAnsi="Arial" w:cs="Arial"/>
                <w:sz w:val="22"/>
                <w:szCs w:val="22"/>
                <w:lang w:eastAsia="en-GB"/>
              </w:rPr>
            </w:pPr>
            <w:r w:rsidRPr="00DF3771">
              <w:rPr>
                <w:rFonts w:ascii="Arial" w:eastAsia="Times New Roman" w:hAnsi="Arial" w:cs="Arial"/>
                <w:sz w:val="22"/>
                <w:szCs w:val="22"/>
                <w:lang w:eastAsia="en-GB"/>
              </w:rPr>
              <w:t>High</w:t>
            </w:r>
          </w:p>
        </w:tc>
        <w:tc>
          <w:tcPr>
            <w:tcW w:w="0" w:type="auto"/>
            <w:hideMark/>
          </w:tcPr>
          <w:p w14:paraId="082A62B1"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Customers can compare deals easily and switch providers. This limits VodafoneThree’s ability to increase prices unless it offers clear added value (Ofcom, 2025).</w:t>
            </w:r>
          </w:p>
        </w:tc>
      </w:tr>
      <w:tr w:rsidR="00DE3A9E" w:rsidRPr="00DF3771" w14:paraId="1C8D6DCC" w14:textId="77777777" w:rsidTr="000E3F74">
        <w:tc>
          <w:tcPr>
            <w:tcW w:w="0" w:type="auto"/>
            <w:hideMark/>
          </w:tcPr>
          <w:p w14:paraId="1C7E6B19"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Bargaining power of suppliers</w:t>
            </w:r>
          </w:p>
        </w:tc>
        <w:tc>
          <w:tcPr>
            <w:tcW w:w="0" w:type="auto"/>
            <w:hideMark/>
          </w:tcPr>
          <w:p w14:paraId="38DF553B" w14:textId="77777777" w:rsidR="000E3F74" w:rsidRPr="00DF3771" w:rsidRDefault="000E3F74" w:rsidP="00DF3771">
            <w:pPr>
              <w:spacing w:line="360" w:lineRule="auto"/>
              <w:jc w:val="right"/>
              <w:rPr>
                <w:rFonts w:ascii="Arial" w:eastAsia="Times New Roman" w:hAnsi="Arial" w:cs="Arial"/>
                <w:sz w:val="22"/>
                <w:szCs w:val="22"/>
                <w:lang w:eastAsia="en-GB"/>
              </w:rPr>
            </w:pPr>
            <w:r w:rsidRPr="00DF3771">
              <w:rPr>
                <w:rFonts w:ascii="Arial" w:eastAsia="Times New Roman" w:hAnsi="Arial" w:cs="Arial"/>
                <w:sz w:val="22"/>
                <w:szCs w:val="22"/>
                <w:lang w:eastAsia="en-GB"/>
              </w:rPr>
              <w:t>Moderate to high</w:t>
            </w:r>
          </w:p>
        </w:tc>
        <w:tc>
          <w:tcPr>
            <w:tcW w:w="0" w:type="auto"/>
            <w:hideMark/>
          </w:tcPr>
          <w:p w14:paraId="6AD58648" w14:textId="6424931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 xml:space="preserve">VodafoneThree depends on network equipment suppliers, software partners, handset firms and </w:t>
            </w:r>
            <w:r w:rsidR="00DE3A9E" w:rsidRPr="00DF3771">
              <w:rPr>
                <w:rFonts w:ascii="Arial" w:eastAsia="Times New Roman" w:hAnsi="Arial" w:cs="Arial"/>
                <w:sz w:val="22"/>
                <w:szCs w:val="22"/>
                <w:lang w:eastAsia="en-GB"/>
              </w:rPr>
              <w:t xml:space="preserve">(WNS Procurement, 2025) </w:t>
            </w:r>
            <w:r w:rsidRPr="00DF3771">
              <w:rPr>
                <w:rFonts w:ascii="Arial" w:eastAsia="Times New Roman" w:hAnsi="Arial" w:cs="Arial"/>
                <w:sz w:val="22"/>
                <w:szCs w:val="22"/>
                <w:lang w:eastAsia="en-GB"/>
              </w:rPr>
              <w:t>construction contractors to deliver its £11 billion investment plan (VodafoneThree, 2025).</w:t>
            </w:r>
          </w:p>
        </w:tc>
      </w:tr>
      <w:tr w:rsidR="00DE3A9E" w:rsidRPr="00DF3771" w14:paraId="14C856EE" w14:textId="77777777" w:rsidTr="000E3F74">
        <w:tc>
          <w:tcPr>
            <w:tcW w:w="0" w:type="auto"/>
            <w:hideMark/>
          </w:tcPr>
          <w:p w14:paraId="78B9E57A"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Threat of substitutes</w:t>
            </w:r>
          </w:p>
        </w:tc>
        <w:tc>
          <w:tcPr>
            <w:tcW w:w="0" w:type="auto"/>
            <w:hideMark/>
          </w:tcPr>
          <w:p w14:paraId="0EA56645" w14:textId="77777777" w:rsidR="000E3F74" w:rsidRPr="00DF3771" w:rsidRDefault="000E3F74" w:rsidP="00DF3771">
            <w:pPr>
              <w:spacing w:line="360" w:lineRule="auto"/>
              <w:jc w:val="right"/>
              <w:rPr>
                <w:rFonts w:ascii="Arial" w:eastAsia="Times New Roman" w:hAnsi="Arial" w:cs="Arial"/>
                <w:sz w:val="22"/>
                <w:szCs w:val="22"/>
                <w:lang w:eastAsia="en-GB"/>
              </w:rPr>
            </w:pPr>
            <w:r w:rsidRPr="00DF3771">
              <w:rPr>
                <w:rFonts w:ascii="Arial" w:eastAsia="Times New Roman" w:hAnsi="Arial" w:cs="Arial"/>
                <w:sz w:val="22"/>
                <w:szCs w:val="22"/>
                <w:lang w:eastAsia="en-GB"/>
              </w:rPr>
              <w:t>Moderate</w:t>
            </w:r>
          </w:p>
        </w:tc>
        <w:tc>
          <w:tcPr>
            <w:tcW w:w="0" w:type="auto"/>
            <w:hideMark/>
          </w:tcPr>
          <w:p w14:paraId="7A511CBC" w14:textId="497CCD76"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Customers still need connectivity, but digital platforms such as Teams, WhatsApp, Zoom and cloud services capture much of the customer relationship and value</w:t>
            </w:r>
            <w:r w:rsidR="00DE3A9E" w:rsidRPr="00DF3771">
              <w:rPr>
                <w:rFonts w:ascii="Arial" w:eastAsia="Times New Roman" w:hAnsi="Arial" w:cs="Arial"/>
                <w:sz w:val="22"/>
                <w:szCs w:val="22"/>
                <w:lang w:eastAsia="en-GB"/>
              </w:rPr>
              <w:t xml:space="preserve"> (Indeed, 2025)</w:t>
            </w:r>
            <w:r w:rsidRPr="00DF3771">
              <w:rPr>
                <w:rFonts w:ascii="Arial" w:eastAsia="Times New Roman" w:hAnsi="Arial" w:cs="Arial"/>
                <w:sz w:val="22"/>
                <w:szCs w:val="22"/>
                <w:lang w:eastAsia="en-GB"/>
              </w:rPr>
              <w:t>.</w:t>
            </w:r>
          </w:p>
        </w:tc>
      </w:tr>
      <w:tr w:rsidR="00DE3A9E" w:rsidRPr="00DF3771" w14:paraId="7EE704DA" w14:textId="77777777" w:rsidTr="000E3F74">
        <w:tc>
          <w:tcPr>
            <w:tcW w:w="0" w:type="auto"/>
            <w:hideMark/>
          </w:tcPr>
          <w:p w14:paraId="64BB9B09"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Threat of new entrants</w:t>
            </w:r>
          </w:p>
        </w:tc>
        <w:tc>
          <w:tcPr>
            <w:tcW w:w="0" w:type="auto"/>
            <w:hideMark/>
          </w:tcPr>
          <w:p w14:paraId="0C37996A" w14:textId="77777777" w:rsidR="000E3F74" w:rsidRPr="00DF3771" w:rsidRDefault="000E3F74" w:rsidP="00DF3771">
            <w:pPr>
              <w:spacing w:line="360" w:lineRule="auto"/>
              <w:jc w:val="right"/>
              <w:rPr>
                <w:rFonts w:ascii="Arial" w:eastAsia="Times New Roman" w:hAnsi="Arial" w:cs="Arial"/>
                <w:sz w:val="22"/>
                <w:szCs w:val="22"/>
                <w:lang w:eastAsia="en-GB"/>
              </w:rPr>
            </w:pPr>
            <w:r w:rsidRPr="00DF3771">
              <w:rPr>
                <w:rFonts w:ascii="Arial" w:eastAsia="Times New Roman" w:hAnsi="Arial" w:cs="Arial"/>
                <w:sz w:val="22"/>
                <w:szCs w:val="22"/>
                <w:lang w:eastAsia="en-GB"/>
              </w:rPr>
              <w:t>Low in mobile networks; higher in digital services</w:t>
            </w:r>
          </w:p>
        </w:tc>
        <w:tc>
          <w:tcPr>
            <w:tcW w:w="0" w:type="auto"/>
            <w:hideMark/>
          </w:tcPr>
          <w:p w14:paraId="4C05359F" w14:textId="77777777" w:rsidR="000E3F74" w:rsidRPr="00DF3771" w:rsidRDefault="000E3F74" w:rsidP="00DF3771">
            <w:pPr>
              <w:spacing w:line="360" w:lineRule="auto"/>
              <w:rPr>
                <w:rFonts w:ascii="Arial" w:eastAsia="Times New Roman" w:hAnsi="Arial" w:cs="Arial"/>
                <w:sz w:val="22"/>
                <w:szCs w:val="22"/>
                <w:lang w:eastAsia="en-GB"/>
              </w:rPr>
            </w:pPr>
            <w:r w:rsidRPr="00DF3771">
              <w:rPr>
                <w:rFonts w:ascii="Arial" w:eastAsia="Times New Roman" w:hAnsi="Arial" w:cs="Arial"/>
                <w:sz w:val="22"/>
                <w:szCs w:val="22"/>
                <w:lang w:eastAsia="en-GB"/>
              </w:rPr>
              <w:t>New mobile network entry is difficult due to spectrum, regulation and infrastructure costs, but technology firms can enter adjacent markets such as cybersecurity, IoT and cloud services (Porter, 1980).</w:t>
            </w:r>
          </w:p>
        </w:tc>
      </w:tr>
    </w:tbl>
    <w:p w14:paraId="5131C5CB" w14:textId="77777777" w:rsidR="000E3F74" w:rsidRPr="00DF3771" w:rsidRDefault="000E3F74" w:rsidP="00DF3771">
      <w:pPr>
        <w:spacing w:line="360" w:lineRule="auto"/>
        <w:rPr>
          <w:rFonts w:ascii="Arial" w:hAnsi="Arial" w:cs="Arial"/>
          <w:sz w:val="22"/>
          <w:szCs w:val="22"/>
        </w:rPr>
      </w:pPr>
    </w:p>
    <w:sectPr w:rsidR="000E3F74" w:rsidRPr="00DF3771">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320A2C" w14:textId="77777777" w:rsidR="00425175" w:rsidRDefault="00425175" w:rsidP="002C3CA1">
      <w:r>
        <w:separator/>
      </w:r>
    </w:p>
  </w:endnote>
  <w:endnote w:type="continuationSeparator" w:id="0">
    <w:p w14:paraId="36742BDF" w14:textId="77777777" w:rsidR="00425175" w:rsidRDefault="00425175" w:rsidP="002C3C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3287467"/>
      <w:docPartObj>
        <w:docPartGallery w:val="Page Numbers (Bottom of Page)"/>
        <w:docPartUnique/>
      </w:docPartObj>
    </w:sdtPr>
    <w:sdtContent>
      <w:p w14:paraId="5896AE7D" w14:textId="447227EC" w:rsidR="002C3CA1" w:rsidRDefault="002C3CA1" w:rsidP="00340A3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1375AF" w14:textId="77777777" w:rsidR="002C3CA1" w:rsidRDefault="002C3CA1" w:rsidP="002C3CA1">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6927832"/>
      <w:docPartObj>
        <w:docPartGallery w:val="Page Numbers (Bottom of Page)"/>
        <w:docPartUnique/>
      </w:docPartObj>
    </w:sdtPr>
    <w:sdtContent>
      <w:p w14:paraId="497AE17F" w14:textId="26C2DFBF" w:rsidR="002C3CA1" w:rsidRDefault="002C3CA1" w:rsidP="00340A37">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CB1F41" w14:textId="77777777" w:rsidR="002C3CA1" w:rsidRDefault="002C3CA1" w:rsidP="002C3CA1">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17DD1" w14:textId="77777777" w:rsidR="00425175" w:rsidRDefault="00425175" w:rsidP="002C3CA1">
      <w:r>
        <w:separator/>
      </w:r>
    </w:p>
  </w:footnote>
  <w:footnote w:type="continuationSeparator" w:id="0">
    <w:p w14:paraId="1A5A9AB2" w14:textId="77777777" w:rsidR="00425175" w:rsidRDefault="00425175" w:rsidP="002C3C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CA1"/>
    <w:rsid w:val="000B67C8"/>
    <w:rsid w:val="000E3F74"/>
    <w:rsid w:val="00154E3F"/>
    <w:rsid w:val="00290AB0"/>
    <w:rsid w:val="002C3CA1"/>
    <w:rsid w:val="00425175"/>
    <w:rsid w:val="004F4883"/>
    <w:rsid w:val="007F38F5"/>
    <w:rsid w:val="008B3A12"/>
    <w:rsid w:val="0095097A"/>
    <w:rsid w:val="00952655"/>
    <w:rsid w:val="00AC1CEB"/>
    <w:rsid w:val="00C90B0D"/>
    <w:rsid w:val="00DE3A9E"/>
    <w:rsid w:val="00DF3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C3239"/>
  <w15:chartTrackingRefBased/>
  <w15:docId w15:val="{3E3DB311-6B24-E543-8494-A5DCA2250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CA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C3CA1"/>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2C3CA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3CA1"/>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2C3CA1"/>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2C3CA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2C3CA1"/>
    <w:rPr>
      <w:b/>
      <w:bCs/>
    </w:rPr>
  </w:style>
  <w:style w:type="character" w:customStyle="1" w:styleId="Heading1Char">
    <w:name w:val="Heading 1 Char"/>
    <w:basedOn w:val="DefaultParagraphFont"/>
    <w:link w:val="Heading1"/>
    <w:uiPriority w:val="9"/>
    <w:rsid w:val="002C3CA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3CA1"/>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F4883"/>
    <w:pPr>
      <w:tabs>
        <w:tab w:val="right" w:leader="dot" w:pos="9016"/>
      </w:tabs>
      <w:spacing w:before="120"/>
    </w:pPr>
    <w:rPr>
      <w:rFonts w:cstheme="minorHAnsi"/>
      <w:b/>
      <w:bCs/>
      <w:sz w:val="22"/>
      <w:szCs w:val="22"/>
    </w:rPr>
  </w:style>
  <w:style w:type="paragraph" w:styleId="TOC3">
    <w:name w:val="toc 3"/>
    <w:basedOn w:val="Normal"/>
    <w:next w:val="Normal"/>
    <w:autoRedefine/>
    <w:uiPriority w:val="39"/>
    <w:unhideWhenUsed/>
    <w:rsid w:val="002C3CA1"/>
    <w:pPr>
      <w:ind w:left="480"/>
    </w:pPr>
    <w:rPr>
      <w:rFonts w:cstheme="minorHAnsi"/>
      <w:sz w:val="20"/>
      <w:szCs w:val="20"/>
    </w:rPr>
  </w:style>
  <w:style w:type="character" w:styleId="Hyperlink">
    <w:name w:val="Hyperlink"/>
    <w:basedOn w:val="DefaultParagraphFont"/>
    <w:uiPriority w:val="99"/>
    <w:unhideWhenUsed/>
    <w:rsid w:val="002C3CA1"/>
    <w:rPr>
      <w:color w:val="0563C1" w:themeColor="hyperlink"/>
      <w:u w:val="single"/>
    </w:rPr>
  </w:style>
  <w:style w:type="paragraph" w:styleId="TOC1">
    <w:name w:val="toc 1"/>
    <w:basedOn w:val="Normal"/>
    <w:next w:val="Normal"/>
    <w:autoRedefine/>
    <w:uiPriority w:val="39"/>
    <w:unhideWhenUsed/>
    <w:rsid w:val="002C3CA1"/>
    <w:pPr>
      <w:spacing w:before="120"/>
    </w:pPr>
    <w:rPr>
      <w:rFonts w:cstheme="minorHAnsi"/>
      <w:b/>
      <w:bCs/>
      <w:i/>
      <w:iCs/>
    </w:rPr>
  </w:style>
  <w:style w:type="paragraph" w:styleId="TOC4">
    <w:name w:val="toc 4"/>
    <w:basedOn w:val="Normal"/>
    <w:next w:val="Normal"/>
    <w:autoRedefine/>
    <w:uiPriority w:val="39"/>
    <w:semiHidden/>
    <w:unhideWhenUsed/>
    <w:rsid w:val="002C3CA1"/>
    <w:pPr>
      <w:ind w:left="720"/>
    </w:pPr>
    <w:rPr>
      <w:rFonts w:cstheme="minorHAnsi"/>
      <w:sz w:val="20"/>
      <w:szCs w:val="20"/>
    </w:rPr>
  </w:style>
  <w:style w:type="paragraph" w:styleId="TOC5">
    <w:name w:val="toc 5"/>
    <w:basedOn w:val="Normal"/>
    <w:next w:val="Normal"/>
    <w:autoRedefine/>
    <w:uiPriority w:val="39"/>
    <w:semiHidden/>
    <w:unhideWhenUsed/>
    <w:rsid w:val="002C3CA1"/>
    <w:pPr>
      <w:ind w:left="960"/>
    </w:pPr>
    <w:rPr>
      <w:rFonts w:cstheme="minorHAnsi"/>
      <w:sz w:val="20"/>
      <w:szCs w:val="20"/>
    </w:rPr>
  </w:style>
  <w:style w:type="paragraph" w:styleId="TOC6">
    <w:name w:val="toc 6"/>
    <w:basedOn w:val="Normal"/>
    <w:next w:val="Normal"/>
    <w:autoRedefine/>
    <w:uiPriority w:val="39"/>
    <w:semiHidden/>
    <w:unhideWhenUsed/>
    <w:rsid w:val="002C3CA1"/>
    <w:pPr>
      <w:ind w:left="1200"/>
    </w:pPr>
    <w:rPr>
      <w:rFonts w:cstheme="minorHAnsi"/>
      <w:sz w:val="20"/>
      <w:szCs w:val="20"/>
    </w:rPr>
  </w:style>
  <w:style w:type="paragraph" w:styleId="TOC7">
    <w:name w:val="toc 7"/>
    <w:basedOn w:val="Normal"/>
    <w:next w:val="Normal"/>
    <w:autoRedefine/>
    <w:uiPriority w:val="39"/>
    <w:semiHidden/>
    <w:unhideWhenUsed/>
    <w:rsid w:val="002C3CA1"/>
    <w:pPr>
      <w:ind w:left="1440"/>
    </w:pPr>
    <w:rPr>
      <w:rFonts w:cstheme="minorHAnsi"/>
      <w:sz w:val="20"/>
      <w:szCs w:val="20"/>
    </w:rPr>
  </w:style>
  <w:style w:type="paragraph" w:styleId="TOC8">
    <w:name w:val="toc 8"/>
    <w:basedOn w:val="Normal"/>
    <w:next w:val="Normal"/>
    <w:autoRedefine/>
    <w:uiPriority w:val="39"/>
    <w:semiHidden/>
    <w:unhideWhenUsed/>
    <w:rsid w:val="002C3CA1"/>
    <w:pPr>
      <w:ind w:left="1680"/>
    </w:pPr>
    <w:rPr>
      <w:rFonts w:cstheme="minorHAnsi"/>
      <w:sz w:val="20"/>
      <w:szCs w:val="20"/>
    </w:rPr>
  </w:style>
  <w:style w:type="paragraph" w:styleId="TOC9">
    <w:name w:val="toc 9"/>
    <w:basedOn w:val="Normal"/>
    <w:next w:val="Normal"/>
    <w:autoRedefine/>
    <w:uiPriority w:val="39"/>
    <w:semiHidden/>
    <w:unhideWhenUsed/>
    <w:rsid w:val="002C3CA1"/>
    <w:pPr>
      <w:ind w:left="1920"/>
    </w:pPr>
    <w:rPr>
      <w:rFonts w:cstheme="minorHAnsi"/>
      <w:sz w:val="20"/>
      <w:szCs w:val="20"/>
    </w:rPr>
  </w:style>
  <w:style w:type="paragraph" w:styleId="Footer">
    <w:name w:val="footer"/>
    <w:basedOn w:val="Normal"/>
    <w:link w:val="FooterChar"/>
    <w:uiPriority w:val="99"/>
    <w:unhideWhenUsed/>
    <w:rsid w:val="002C3CA1"/>
    <w:pPr>
      <w:tabs>
        <w:tab w:val="center" w:pos="4513"/>
        <w:tab w:val="right" w:pos="9026"/>
      </w:tabs>
    </w:pPr>
  </w:style>
  <w:style w:type="character" w:customStyle="1" w:styleId="FooterChar">
    <w:name w:val="Footer Char"/>
    <w:basedOn w:val="DefaultParagraphFont"/>
    <w:link w:val="Footer"/>
    <w:uiPriority w:val="99"/>
    <w:rsid w:val="002C3CA1"/>
  </w:style>
  <w:style w:type="character" w:styleId="PageNumber">
    <w:name w:val="page number"/>
    <w:basedOn w:val="DefaultParagraphFont"/>
    <w:uiPriority w:val="99"/>
    <w:semiHidden/>
    <w:unhideWhenUsed/>
    <w:rsid w:val="002C3CA1"/>
  </w:style>
  <w:style w:type="paragraph" w:customStyle="1" w:styleId="pdq2pgselectionanchorcontainer">
    <w:name w:val="pdq2pg_selectionanchorcontainer"/>
    <w:basedOn w:val="Normal"/>
    <w:rsid w:val="002C3CA1"/>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2C3CA1"/>
    <w:rPr>
      <w:i/>
      <w:iCs/>
    </w:rPr>
  </w:style>
  <w:style w:type="paragraph" w:customStyle="1" w:styleId="isselectedend">
    <w:name w:val="isselectedend"/>
    <w:basedOn w:val="Normal"/>
    <w:rsid w:val="000E3F7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0E3F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0044146">
      <w:bodyDiv w:val="1"/>
      <w:marLeft w:val="0"/>
      <w:marRight w:val="0"/>
      <w:marTop w:val="0"/>
      <w:marBottom w:val="0"/>
      <w:divBdr>
        <w:top w:val="none" w:sz="0" w:space="0" w:color="auto"/>
        <w:left w:val="none" w:sz="0" w:space="0" w:color="auto"/>
        <w:bottom w:val="none" w:sz="0" w:space="0" w:color="auto"/>
        <w:right w:val="none" w:sz="0" w:space="0" w:color="auto"/>
      </w:divBdr>
    </w:div>
    <w:div w:id="262954483">
      <w:bodyDiv w:val="1"/>
      <w:marLeft w:val="0"/>
      <w:marRight w:val="0"/>
      <w:marTop w:val="0"/>
      <w:marBottom w:val="0"/>
      <w:divBdr>
        <w:top w:val="none" w:sz="0" w:space="0" w:color="auto"/>
        <w:left w:val="none" w:sz="0" w:space="0" w:color="auto"/>
        <w:bottom w:val="none" w:sz="0" w:space="0" w:color="auto"/>
        <w:right w:val="none" w:sz="0" w:space="0" w:color="auto"/>
      </w:divBdr>
    </w:div>
    <w:div w:id="372537766">
      <w:bodyDiv w:val="1"/>
      <w:marLeft w:val="0"/>
      <w:marRight w:val="0"/>
      <w:marTop w:val="0"/>
      <w:marBottom w:val="0"/>
      <w:divBdr>
        <w:top w:val="none" w:sz="0" w:space="0" w:color="auto"/>
        <w:left w:val="none" w:sz="0" w:space="0" w:color="auto"/>
        <w:bottom w:val="none" w:sz="0" w:space="0" w:color="auto"/>
        <w:right w:val="none" w:sz="0" w:space="0" w:color="auto"/>
      </w:divBdr>
    </w:div>
    <w:div w:id="612828191">
      <w:bodyDiv w:val="1"/>
      <w:marLeft w:val="0"/>
      <w:marRight w:val="0"/>
      <w:marTop w:val="0"/>
      <w:marBottom w:val="0"/>
      <w:divBdr>
        <w:top w:val="none" w:sz="0" w:space="0" w:color="auto"/>
        <w:left w:val="none" w:sz="0" w:space="0" w:color="auto"/>
        <w:bottom w:val="none" w:sz="0" w:space="0" w:color="auto"/>
        <w:right w:val="none" w:sz="0" w:space="0" w:color="auto"/>
      </w:divBdr>
    </w:div>
    <w:div w:id="825901569">
      <w:bodyDiv w:val="1"/>
      <w:marLeft w:val="0"/>
      <w:marRight w:val="0"/>
      <w:marTop w:val="0"/>
      <w:marBottom w:val="0"/>
      <w:divBdr>
        <w:top w:val="none" w:sz="0" w:space="0" w:color="auto"/>
        <w:left w:val="none" w:sz="0" w:space="0" w:color="auto"/>
        <w:bottom w:val="none" w:sz="0" w:space="0" w:color="auto"/>
        <w:right w:val="none" w:sz="0" w:space="0" w:color="auto"/>
      </w:divBdr>
    </w:div>
    <w:div w:id="1054541640">
      <w:bodyDiv w:val="1"/>
      <w:marLeft w:val="0"/>
      <w:marRight w:val="0"/>
      <w:marTop w:val="0"/>
      <w:marBottom w:val="0"/>
      <w:divBdr>
        <w:top w:val="none" w:sz="0" w:space="0" w:color="auto"/>
        <w:left w:val="none" w:sz="0" w:space="0" w:color="auto"/>
        <w:bottom w:val="none" w:sz="0" w:space="0" w:color="auto"/>
        <w:right w:val="none" w:sz="0" w:space="0" w:color="auto"/>
      </w:divBdr>
    </w:div>
    <w:div w:id="1100182462">
      <w:bodyDiv w:val="1"/>
      <w:marLeft w:val="0"/>
      <w:marRight w:val="0"/>
      <w:marTop w:val="0"/>
      <w:marBottom w:val="0"/>
      <w:divBdr>
        <w:top w:val="none" w:sz="0" w:space="0" w:color="auto"/>
        <w:left w:val="none" w:sz="0" w:space="0" w:color="auto"/>
        <w:bottom w:val="none" w:sz="0" w:space="0" w:color="auto"/>
        <w:right w:val="none" w:sz="0" w:space="0" w:color="auto"/>
      </w:divBdr>
    </w:div>
    <w:div w:id="1219588940">
      <w:bodyDiv w:val="1"/>
      <w:marLeft w:val="0"/>
      <w:marRight w:val="0"/>
      <w:marTop w:val="0"/>
      <w:marBottom w:val="0"/>
      <w:divBdr>
        <w:top w:val="none" w:sz="0" w:space="0" w:color="auto"/>
        <w:left w:val="none" w:sz="0" w:space="0" w:color="auto"/>
        <w:bottom w:val="none" w:sz="0" w:space="0" w:color="auto"/>
        <w:right w:val="none" w:sz="0" w:space="0" w:color="auto"/>
      </w:divBdr>
    </w:div>
    <w:div w:id="1238589598">
      <w:bodyDiv w:val="1"/>
      <w:marLeft w:val="0"/>
      <w:marRight w:val="0"/>
      <w:marTop w:val="0"/>
      <w:marBottom w:val="0"/>
      <w:divBdr>
        <w:top w:val="none" w:sz="0" w:space="0" w:color="auto"/>
        <w:left w:val="none" w:sz="0" w:space="0" w:color="auto"/>
        <w:bottom w:val="none" w:sz="0" w:space="0" w:color="auto"/>
        <w:right w:val="none" w:sz="0" w:space="0" w:color="auto"/>
      </w:divBdr>
    </w:div>
    <w:div w:id="1294407058">
      <w:bodyDiv w:val="1"/>
      <w:marLeft w:val="0"/>
      <w:marRight w:val="0"/>
      <w:marTop w:val="0"/>
      <w:marBottom w:val="0"/>
      <w:divBdr>
        <w:top w:val="none" w:sz="0" w:space="0" w:color="auto"/>
        <w:left w:val="none" w:sz="0" w:space="0" w:color="auto"/>
        <w:bottom w:val="none" w:sz="0" w:space="0" w:color="auto"/>
        <w:right w:val="none" w:sz="0" w:space="0" w:color="auto"/>
      </w:divBdr>
    </w:div>
    <w:div w:id="1355889056">
      <w:bodyDiv w:val="1"/>
      <w:marLeft w:val="0"/>
      <w:marRight w:val="0"/>
      <w:marTop w:val="0"/>
      <w:marBottom w:val="0"/>
      <w:divBdr>
        <w:top w:val="none" w:sz="0" w:space="0" w:color="auto"/>
        <w:left w:val="none" w:sz="0" w:space="0" w:color="auto"/>
        <w:bottom w:val="none" w:sz="0" w:space="0" w:color="auto"/>
        <w:right w:val="none" w:sz="0" w:space="0" w:color="auto"/>
      </w:divBdr>
    </w:div>
    <w:div w:id="1616596078">
      <w:bodyDiv w:val="1"/>
      <w:marLeft w:val="0"/>
      <w:marRight w:val="0"/>
      <w:marTop w:val="0"/>
      <w:marBottom w:val="0"/>
      <w:divBdr>
        <w:top w:val="none" w:sz="0" w:space="0" w:color="auto"/>
        <w:left w:val="none" w:sz="0" w:space="0" w:color="auto"/>
        <w:bottom w:val="none" w:sz="0" w:space="0" w:color="auto"/>
        <w:right w:val="none" w:sz="0" w:space="0" w:color="auto"/>
      </w:divBdr>
    </w:div>
    <w:div w:id="1633244902">
      <w:bodyDiv w:val="1"/>
      <w:marLeft w:val="0"/>
      <w:marRight w:val="0"/>
      <w:marTop w:val="0"/>
      <w:marBottom w:val="0"/>
      <w:divBdr>
        <w:top w:val="none" w:sz="0" w:space="0" w:color="auto"/>
        <w:left w:val="none" w:sz="0" w:space="0" w:color="auto"/>
        <w:bottom w:val="none" w:sz="0" w:space="0" w:color="auto"/>
        <w:right w:val="none" w:sz="0" w:space="0" w:color="auto"/>
      </w:divBdr>
    </w:div>
    <w:div w:id="1836653842">
      <w:bodyDiv w:val="1"/>
      <w:marLeft w:val="0"/>
      <w:marRight w:val="0"/>
      <w:marTop w:val="0"/>
      <w:marBottom w:val="0"/>
      <w:divBdr>
        <w:top w:val="none" w:sz="0" w:space="0" w:color="auto"/>
        <w:left w:val="none" w:sz="0" w:space="0" w:color="auto"/>
        <w:bottom w:val="none" w:sz="0" w:space="0" w:color="auto"/>
        <w:right w:val="none" w:sz="0" w:space="0" w:color="auto"/>
      </w:divBdr>
    </w:div>
    <w:div w:id="1842432527">
      <w:bodyDiv w:val="1"/>
      <w:marLeft w:val="0"/>
      <w:marRight w:val="0"/>
      <w:marTop w:val="0"/>
      <w:marBottom w:val="0"/>
      <w:divBdr>
        <w:top w:val="none" w:sz="0" w:space="0" w:color="auto"/>
        <w:left w:val="none" w:sz="0" w:space="0" w:color="auto"/>
        <w:bottom w:val="none" w:sz="0" w:space="0" w:color="auto"/>
        <w:right w:val="none" w:sz="0" w:space="0" w:color="auto"/>
      </w:divBdr>
    </w:div>
    <w:div w:id="1957447427">
      <w:bodyDiv w:val="1"/>
      <w:marLeft w:val="0"/>
      <w:marRight w:val="0"/>
      <w:marTop w:val="0"/>
      <w:marBottom w:val="0"/>
      <w:divBdr>
        <w:top w:val="none" w:sz="0" w:space="0" w:color="auto"/>
        <w:left w:val="none" w:sz="0" w:space="0" w:color="auto"/>
        <w:bottom w:val="none" w:sz="0" w:space="0" w:color="auto"/>
        <w:right w:val="none" w:sz="0" w:space="0" w:color="auto"/>
      </w:divBdr>
    </w:div>
    <w:div w:id="1967543536">
      <w:bodyDiv w:val="1"/>
      <w:marLeft w:val="0"/>
      <w:marRight w:val="0"/>
      <w:marTop w:val="0"/>
      <w:marBottom w:val="0"/>
      <w:divBdr>
        <w:top w:val="none" w:sz="0" w:space="0" w:color="auto"/>
        <w:left w:val="none" w:sz="0" w:space="0" w:color="auto"/>
        <w:bottom w:val="none" w:sz="0" w:space="0" w:color="auto"/>
        <w:right w:val="none" w:sz="0" w:space="0" w:color="auto"/>
      </w:divBdr>
    </w:div>
    <w:div w:id="2143569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g.com/en/news-and-trade-ideas/vodafone-three-merger--what-next-after-the-creation-of-the-uk-s--250611" TargetMode="External"/><Relationship Id="rId18" Type="http://schemas.openxmlformats.org/officeDocument/2006/relationships/hyperlink" Target="https://www.ofcom.org.uk/siteassets/resources/documents/phones-telecoms-and-internet/comparing-service-quality/2025/comparing-customer-service-report-2025.pdf?v=397528" TargetMode="External"/><Relationship Id="rId26" Type="http://schemas.openxmlformats.org/officeDocument/2006/relationships/hyperlink" Target="https://www.reuters.com/business/ck-hutchison-unit-exit-vodafonethree-stake-581-billion-2026-05-05/" TargetMode="External"/><Relationship Id="rId39" Type="http://schemas.openxmlformats.org/officeDocument/2006/relationships/hyperlink" Target="https://www.vodafonethree.com/multibillion-pound-investment-deals-signed-to-build-uk-best-network/" TargetMode="External"/><Relationship Id="rId21" Type="http://schemas.openxmlformats.org/officeDocument/2006/relationships/hyperlink" Target="https://www.ofcom.org.uk/phones-and-broadband/service-quality/latest-telecoms-and-pay-tv-complaints-revealed-q4-2025" TargetMode="External"/><Relationship Id="rId34" Type="http://schemas.openxmlformats.org/officeDocument/2006/relationships/hyperlink" Target="https://reports.investors.vodafone.com/view/897876789/" TargetMode="External"/><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sma.com/solutions-and-impact/technologies/networks/gsma_resources/completeing-5g-journey-business-transformation/" TargetMode="External"/><Relationship Id="rId29" Type="http://schemas.openxmlformats.org/officeDocument/2006/relationships/hyperlink" Target="https://reports.investors.vodafone.com/view/89787678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cma-cases/vodafone-slash-ck-hutchison-jv-merger-inquiry" TargetMode="External"/><Relationship Id="rId24" Type="http://schemas.openxmlformats.org/officeDocument/2006/relationships/hyperlink" Target="https://www.ofcom.org.uk/siteassets/resources/documents/consultations/category-3-4-weeks/mobile-connectivity-you-can-count-on/mobile-connectivity/connectivity-you-can-count-on.pdf" TargetMode="External"/><Relationship Id="rId32" Type="http://schemas.openxmlformats.org/officeDocument/2006/relationships/hyperlink" Target="https://www.vodafone.com/our-company/our-mission" TargetMode="External"/><Relationship Id="rId37" Type="http://schemas.openxmlformats.org/officeDocument/2006/relationships/hyperlink" Target="https://investors.vodafone.com/esg/esg-reporting/esg-methodology" TargetMode="External"/><Relationship Id="rId40" Type="http://schemas.openxmlformats.org/officeDocument/2006/relationships/hyperlink" Target="https://www.vodafonethree.com/our-impac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sma.com/connectivity-for-good/spectrum/private-mobile-network-strategies-gain-momentum/" TargetMode="External"/><Relationship Id="rId23" Type="http://schemas.openxmlformats.org/officeDocument/2006/relationships/hyperlink" Target="https://www.ofcom.org.uk/spectrum/frequencies/below-5ghz" TargetMode="External"/><Relationship Id="rId28" Type="http://schemas.openxmlformats.org/officeDocument/2006/relationships/hyperlink" Target="https://www.vodafone.com/news/newsroom/corporate-and-financial/we-connect-for-a-better-future" TargetMode="External"/><Relationship Id="rId36" Type="http://schemas.openxmlformats.org/officeDocument/2006/relationships/hyperlink" Target="https://www.vodafone.com/sustainable-business/esg-reporting-centre" TargetMode="External"/><Relationship Id="rId10" Type="http://schemas.openxmlformats.org/officeDocument/2006/relationships/hyperlink" Target="https://doi.org/10.5465/amr.1995.9503271992" TargetMode="External"/><Relationship Id="rId19" Type="http://schemas.openxmlformats.org/officeDocument/2006/relationships/hyperlink" Target="https://www.ofcom.org.uk/siteassets/resources/documents/research-and-data/multi-sector/infrastructure-research/connected-nations-2025/connected-nations-uk-report-2025.pdf?v=407947" TargetMode="External"/><Relationship Id="rId31" Type="http://schemas.openxmlformats.org/officeDocument/2006/relationships/hyperlink" Target="https://www.vodafone.com/news/newsroom/corporate-and-financial/completion-of-vodafone-and-three-merger-in-the-uk"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lrp.2010.08.001" TargetMode="External"/><Relationship Id="rId14" Type="http://schemas.openxmlformats.org/officeDocument/2006/relationships/hyperlink" Target="https://www.goodthingsfoundation.org/policy-and-research/research-and-evidence/research-2025/digital-futures-for-good-series-report" TargetMode="External"/><Relationship Id="rId22" Type="http://schemas.openxmlformats.org/officeDocument/2006/relationships/hyperlink" Target="https://doi.org/10.1787/ed750b30-en" TargetMode="External"/><Relationship Id="rId27" Type="http://schemas.openxmlformats.org/officeDocument/2006/relationships/hyperlink" Target="https://www.techuk.org/resource/techuk-s-analysis-of-ofcom-s-connected-nations-2025-with-continued-momentum-in-digital-infrastructure-rollout.html" TargetMode="External"/><Relationship Id="rId30" Type="http://schemas.openxmlformats.org/officeDocument/2006/relationships/hyperlink" Target="https://investors.vodafone.com/~/media/Files/V/Vodafone-IR/documents/performance/financial-results/2025/vodafone-fy25-results-announcement.pdf" TargetMode="External"/><Relationship Id="rId35" Type="http://schemas.openxmlformats.org/officeDocument/2006/relationships/hyperlink" Target="https://www.vodafone.com/pdf-viewer.aspx?gid=514358169&amp;src=%2F~%2Fmedia%2FFiles%2FV%2Fvodafone%2Fcorp%2Fdocuments%2Fsustainable-business%2Fesg-reporting-center%2Fvodafone-group-climate-transition-plan-2025-2027.pdf" TargetMode="External"/><Relationship Id="rId43" Type="http://schemas.openxmlformats.org/officeDocument/2006/relationships/footer" Target="footer2.xm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assets.publishing.service.gov.uk/media/67e6630b87cebda7c4ca4d0c/Final_undertakings.pdf" TargetMode="External"/><Relationship Id="rId17" Type="http://schemas.openxmlformats.org/officeDocument/2006/relationships/hyperlink" Target="https://www.local.gov.uk/publications/lga-digital-connectivity-guide" TargetMode="External"/><Relationship Id="rId25" Type="http://schemas.openxmlformats.org/officeDocument/2006/relationships/hyperlink" Target="https://doi.org/10.5465/256304" TargetMode="External"/><Relationship Id="rId33" Type="http://schemas.openxmlformats.org/officeDocument/2006/relationships/hyperlink" Target="https://careers.vodafone.com/the-spirit-of-vodafone/" TargetMode="External"/><Relationship Id="rId38" Type="http://schemas.openxmlformats.org/officeDocument/2006/relationships/hyperlink" Target="https://www.vodafonethree.com/" TargetMode="External"/><Relationship Id="rId20" Type="http://schemas.openxmlformats.org/officeDocument/2006/relationships/hyperlink" Target="https://www.ofcom.org.uk/phones-and-broadband/coverage-and-speeds/connected-nations-update-spring-2026" TargetMode="External"/><Relationship Id="rId41" Type="http://schemas.openxmlformats.org/officeDocument/2006/relationships/hyperlink" Target="https://www.vodafonethree.com/new-era-of-connectiv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211CD4-16A4-554F-BF90-2E78C5D66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20</Pages>
  <Words>6604</Words>
  <Characters>37649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Alexandru Popa (2332748)</cp:lastModifiedBy>
  <cp:revision>6</cp:revision>
  <dcterms:created xsi:type="dcterms:W3CDTF">2026-07-09T04:47:00Z</dcterms:created>
  <dcterms:modified xsi:type="dcterms:W3CDTF">2026-07-13T10:16:00Z</dcterms:modified>
</cp:coreProperties>
</file>