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BE599" w14:textId="77777777" w:rsidR="0076251E" w:rsidRDefault="0076251E" w:rsidP="0076251E">
      <w:pPr>
        <w:pStyle w:val="Title"/>
        <w:rPr>
          <w:sz w:val="32"/>
          <w:szCs w:val="32"/>
        </w:rPr>
      </w:pPr>
      <w:r>
        <w:rPr>
          <w:sz w:val="32"/>
          <w:szCs w:val="32"/>
        </w:rPr>
        <w:t>Name: Maria Ramona Petrache</w:t>
      </w:r>
    </w:p>
    <w:p w14:paraId="1973F0C8" w14:textId="77777777" w:rsidR="0076251E" w:rsidRDefault="0076251E" w:rsidP="0076251E">
      <w:pPr>
        <w:pStyle w:val="Title"/>
        <w:rPr>
          <w:sz w:val="32"/>
          <w:szCs w:val="32"/>
        </w:rPr>
      </w:pPr>
      <w:r>
        <w:rPr>
          <w:sz w:val="32"/>
          <w:szCs w:val="32"/>
        </w:rPr>
        <w:t>Student id: 2215627</w:t>
      </w:r>
    </w:p>
    <w:p w14:paraId="0FE8E61A" w14:textId="77777777" w:rsidR="0076251E" w:rsidRDefault="0076251E" w:rsidP="0076251E">
      <w:pPr>
        <w:pStyle w:val="Title"/>
        <w:rPr>
          <w:sz w:val="32"/>
          <w:szCs w:val="32"/>
        </w:rPr>
      </w:pPr>
      <w:r>
        <w:rPr>
          <w:sz w:val="32"/>
          <w:szCs w:val="32"/>
        </w:rPr>
        <w:t>Module Code: LCBB4002</w:t>
      </w:r>
    </w:p>
    <w:p w14:paraId="74D024D2" w14:textId="77777777" w:rsidR="0076251E" w:rsidRDefault="0076251E" w:rsidP="0076251E">
      <w:pPr>
        <w:pStyle w:val="Title"/>
        <w:rPr>
          <w:sz w:val="32"/>
          <w:szCs w:val="32"/>
        </w:rPr>
      </w:pPr>
      <w:r>
        <w:rPr>
          <w:sz w:val="32"/>
          <w:szCs w:val="32"/>
        </w:rPr>
        <w:t>Module Name: Community Engagement</w:t>
      </w:r>
    </w:p>
    <w:p w14:paraId="70218106" w14:textId="77777777" w:rsidR="0076251E" w:rsidRDefault="0076251E" w:rsidP="0076251E">
      <w:pPr>
        <w:spacing w:line="360" w:lineRule="auto"/>
        <w:rPr>
          <w:rFonts w:cs="Times New Roman"/>
          <w:b/>
          <w:bCs/>
          <w:color w:val="000000" w:themeColor="text1"/>
          <w:sz w:val="24"/>
          <w:szCs w:val="24"/>
        </w:rPr>
      </w:pPr>
      <w:r>
        <w:rPr>
          <w:sz w:val="32"/>
          <w:szCs w:val="32"/>
        </w:rPr>
        <w:t>Lecture: DR. Nadeem Mirza</w:t>
      </w:r>
    </w:p>
    <w:p w14:paraId="698A7896" w14:textId="77777777" w:rsidR="00A923D9" w:rsidRPr="005E1F16" w:rsidRDefault="00A923D9" w:rsidP="005E1F16">
      <w:pPr>
        <w:pStyle w:val="Normal1"/>
        <w:spacing w:line="360" w:lineRule="auto"/>
        <w:jc w:val="both"/>
        <w:rPr>
          <w:rFonts w:ascii="Times New Roman" w:hAnsi="Times New Roman" w:cs="Times New Roman"/>
          <w:b/>
          <w:sz w:val="24"/>
          <w:szCs w:val="24"/>
        </w:rPr>
      </w:pPr>
    </w:p>
    <w:p w14:paraId="00410B35" w14:textId="77777777" w:rsidR="00A923D9" w:rsidRPr="005E1F16" w:rsidRDefault="00A923D9" w:rsidP="005E1F16">
      <w:pPr>
        <w:pStyle w:val="Normal1"/>
        <w:spacing w:line="360" w:lineRule="auto"/>
        <w:jc w:val="both"/>
        <w:rPr>
          <w:rFonts w:ascii="Times New Roman" w:hAnsi="Times New Roman" w:cs="Times New Roman"/>
          <w:b/>
          <w:sz w:val="24"/>
          <w:szCs w:val="24"/>
        </w:rPr>
      </w:pPr>
    </w:p>
    <w:p w14:paraId="5A579544" w14:textId="77777777" w:rsidR="00A923D9" w:rsidRPr="005E1F16" w:rsidRDefault="00A923D9" w:rsidP="005E1F16">
      <w:pPr>
        <w:pStyle w:val="Normal1"/>
        <w:spacing w:line="360" w:lineRule="auto"/>
        <w:jc w:val="both"/>
        <w:rPr>
          <w:rFonts w:ascii="Times New Roman" w:hAnsi="Times New Roman" w:cs="Times New Roman"/>
          <w:b/>
          <w:sz w:val="24"/>
          <w:szCs w:val="24"/>
        </w:rPr>
      </w:pPr>
    </w:p>
    <w:p w14:paraId="6D064790" w14:textId="77777777" w:rsidR="00A923D9" w:rsidRPr="005E1F16" w:rsidRDefault="00A923D9" w:rsidP="005E1F16">
      <w:pPr>
        <w:pStyle w:val="Normal1"/>
        <w:spacing w:line="360" w:lineRule="auto"/>
        <w:jc w:val="both"/>
        <w:rPr>
          <w:rFonts w:ascii="Times New Roman" w:hAnsi="Times New Roman" w:cs="Times New Roman"/>
          <w:b/>
          <w:sz w:val="24"/>
          <w:szCs w:val="24"/>
        </w:rPr>
      </w:pPr>
    </w:p>
    <w:p w14:paraId="24F46330" w14:textId="77777777" w:rsidR="00A923D9" w:rsidRPr="005E1F16" w:rsidRDefault="00A923D9" w:rsidP="005E1F16">
      <w:pPr>
        <w:pStyle w:val="Normal1"/>
        <w:spacing w:line="360" w:lineRule="auto"/>
        <w:jc w:val="both"/>
        <w:rPr>
          <w:rFonts w:ascii="Times New Roman" w:hAnsi="Times New Roman" w:cs="Times New Roman"/>
          <w:b/>
          <w:sz w:val="24"/>
          <w:szCs w:val="24"/>
        </w:rPr>
      </w:pPr>
    </w:p>
    <w:p w14:paraId="4E8DF64A" w14:textId="77777777" w:rsidR="00A923D9" w:rsidRPr="005E1F16" w:rsidRDefault="00A923D9" w:rsidP="005E1F16">
      <w:pPr>
        <w:pStyle w:val="Normal1"/>
        <w:spacing w:line="360" w:lineRule="auto"/>
        <w:jc w:val="both"/>
        <w:rPr>
          <w:rFonts w:ascii="Times New Roman" w:hAnsi="Times New Roman" w:cs="Times New Roman"/>
          <w:b/>
          <w:sz w:val="24"/>
          <w:szCs w:val="24"/>
        </w:rPr>
      </w:pPr>
    </w:p>
    <w:p w14:paraId="372E4428" w14:textId="77777777" w:rsidR="00A923D9" w:rsidRPr="005E1F16" w:rsidRDefault="00A923D9" w:rsidP="005E1F16">
      <w:pPr>
        <w:pStyle w:val="Normal1"/>
        <w:spacing w:line="360" w:lineRule="auto"/>
        <w:jc w:val="both"/>
        <w:rPr>
          <w:rFonts w:ascii="Times New Roman" w:hAnsi="Times New Roman" w:cs="Times New Roman"/>
          <w:b/>
          <w:sz w:val="24"/>
          <w:szCs w:val="24"/>
        </w:rPr>
      </w:pPr>
    </w:p>
    <w:p w14:paraId="04F9931E" w14:textId="77777777" w:rsidR="00A923D9" w:rsidRPr="005E1F16" w:rsidRDefault="00A923D9" w:rsidP="005E1F16">
      <w:pPr>
        <w:pStyle w:val="Normal1"/>
        <w:spacing w:line="360" w:lineRule="auto"/>
        <w:jc w:val="both"/>
        <w:rPr>
          <w:rFonts w:ascii="Times New Roman" w:hAnsi="Times New Roman" w:cs="Times New Roman"/>
          <w:b/>
          <w:sz w:val="24"/>
          <w:szCs w:val="24"/>
        </w:rPr>
      </w:pPr>
    </w:p>
    <w:p w14:paraId="758D9E8B" w14:textId="77777777" w:rsidR="00A923D9" w:rsidRPr="005E1F16" w:rsidRDefault="00A923D9" w:rsidP="005E1F16">
      <w:pPr>
        <w:pStyle w:val="Normal1"/>
        <w:spacing w:line="360" w:lineRule="auto"/>
        <w:jc w:val="both"/>
        <w:rPr>
          <w:rFonts w:ascii="Times New Roman" w:hAnsi="Times New Roman" w:cs="Times New Roman"/>
          <w:b/>
          <w:sz w:val="24"/>
          <w:szCs w:val="24"/>
        </w:rPr>
      </w:pPr>
    </w:p>
    <w:p w14:paraId="5508209F" w14:textId="77777777" w:rsidR="00A923D9" w:rsidRPr="005E1F16" w:rsidRDefault="00A923D9" w:rsidP="005E1F16">
      <w:pPr>
        <w:pStyle w:val="Normal1"/>
        <w:spacing w:line="360" w:lineRule="auto"/>
        <w:jc w:val="both"/>
        <w:rPr>
          <w:rFonts w:ascii="Times New Roman" w:hAnsi="Times New Roman" w:cs="Times New Roman"/>
          <w:b/>
          <w:sz w:val="24"/>
          <w:szCs w:val="24"/>
        </w:rPr>
      </w:pPr>
    </w:p>
    <w:p w14:paraId="33D863C8" w14:textId="77777777" w:rsidR="005E1F16" w:rsidRDefault="005E1F16" w:rsidP="005E1F16">
      <w:pPr>
        <w:pStyle w:val="Normal1"/>
        <w:spacing w:line="360" w:lineRule="auto"/>
        <w:jc w:val="center"/>
        <w:rPr>
          <w:rFonts w:ascii="Times New Roman" w:hAnsi="Times New Roman" w:cs="Times New Roman"/>
          <w:b/>
          <w:sz w:val="32"/>
          <w:szCs w:val="32"/>
        </w:rPr>
      </w:pPr>
      <w:r w:rsidRPr="005E1F16">
        <w:rPr>
          <w:rFonts w:ascii="Times New Roman" w:hAnsi="Times New Roman" w:cs="Times New Roman"/>
          <w:b/>
          <w:sz w:val="32"/>
          <w:szCs w:val="32"/>
        </w:rPr>
        <w:t>COMMUNITY ENGAGEMENT OF REFLECTIVE EVALUATION</w:t>
      </w:r>
    </w:p>
    <w:p w14:paraId="0F78B857" w14:textId="77777777" w:rsidR="005E1F16" w:rsidRPr="005E1F16" w:rsidRDefault="005E1F16" w:rsidP="005E1F16">
      <w:pPr>
        <w:jc w:val="both"/>
        <w:rPr>
          <w:rFonts w:ascii="Times New Roman" w:hAnsi="Times New Roman" w:cs="Times New Roman"/>
          <w:b/>
          <w:sz w:val="32"/>
          <w:szCs w:val="32"/>
        </w:rPr>
      </w:pPr>
      <w:r>
        <w:rPr>
          <w:rFonts w:ascii="Times New Roman" w:hAnsi="Times New Roman" w:cs="Times New Roman"/>
          <w:b/>
          <w:sz w:val="32"/>
          <w:szCs w:val="32"/>
        </w:rPr>
        <w:br w:type="page"/>
      </w:r>
    </w:p>
    <w:sdt>
      <w:sdtPr>
        <w:rPr>
          <w:rFonts w:ascii="Arial" w:eastAsia="Arial" w:hAnsi="Arial" w:cs="Arial"/>
          <w:b w:val="0"/>
          <w:bCs w:val="0"/>
          <w:color w:val="auto"/>
          <w:sz w:val="22"/>
          <w:szCs w:val="22"/>
        </w:rPr>
        <w:id w:val="423248440"/>
        <w:docPartObj>
          <w:docPartGallery w:val="Table of Contents"/>
          <w:docPartUnique/>
        </w:docPartObj>
      </w:sdtPr>
      <w:sdtEndPr/>
      <w:sdtContent>
        <w:p w14:paraId="25449C6D" w14:textId="77777777" w:rsidR="005E1F16" w:rsidRPr="005E1F16" w:rsidRDefault="005E1F16" w:rsidP="005E1F16">
          <w:pPr>
            <w:pStyle w:val="TOCHeading"/>
            <w:jc w:val="center"/>
            <w:rPr>
              <w:rFonts w:ascii="Times New Roman" w:hAnsi="Times New Roman" w:cs="Times New Roman"/>
            </w:rPr>
          </w:pPr>
          <w:r w:rsidRPr="005E1F16">
            <w:rPr>
              <w:rFonts w:ascii="Times New Roman" w:hAnsi="Times New Roman" w:cs="Times New Roman"/>
            </w:rPr>
            <w:t>Table of Contents</w:t>
          </w:r>
        </w:p>
        <w:p w14:paraId="5431CBA0" w14:textId="77777777" w:rsidR="005E1F16" w:rsidRPr="005E1F16" w:rsidRDefault="0076251E">
          <w:pPr>
            <w:pStyle w:val="TOC1"/>
            <w:tabs>
              <w:tab w:val="right" w:leader="dot" w:pos="9019"/>
            </w:tabs>
            <w:rPr>
              <w:rFonts w:ascii="Times New Roman" w:hAnsi="Times New Roman" w:cs="Times New Roman"/>
              <w:noProof/>
              <w:sz w:val="24"/>
              <w:szCs w:val="24"/>
            </w:rPr>
          </w:pPr>
          <w:hyperlink w:anchor="_Toc129885269" w:history="1">
            <w:r w:rsidR="005E1F16" w:rsidRPr="005E1F16">
              <w:rPr>
                <w:rStyle w:val="Hyperlink"/>
                <w:rFonts w:ascii="Times New Roman" w:hAnsi="Times New Roman" w:cs="Times New Roman"/>
                <w:noProof/>
                <w:sz w:val="24"/>
                <w:szCs w:val="24"/>
              </w:rPr>
              <w:t>Introduction</w:t>
            </w:r>
            <w:r w:rsidR="005E1F16" w:rsidRPr="005E1F16">
              <w:rPr>
                <w:rFonts w:ascii="Times New Roman" w:hAnsi="Times New Roman" w:cs="Times New Roman"/>
                <w:noProof/>
                <w:webHidden/>
                <w:sz w:val="24"/>
                <w:szCs w:val="24"/>
              </w:rPr>
              <w:tab/>
            </w:r>
            <w:r w:rsidR="005E1F16" w:rsidRPr="005E1F16">
              <w:rPr>
                <w:rFonts w:ascii="Times New Roman" w:hAnsi="Times New Roman" w:cs="Times New Roman"/>
                <w:noProof/>
                <w:webHidden/>
                <w:sz w:val="24"/>
                <w:szCs w:val="24"/>
              </w:rPr>
              <w:fldChar w:fldCharType="begin"/>
            </w:r>
            <w:r w:rsidR="005E1F16" w:rsidRPr="005E1F16">
              <w:rPr>
                <w:rFonts w:ascii="Times New Roman" w:hAnsi="Times New Roman" w:cs="Times New Roman"/>
                <w:noProof/>
                <w:webHidden/>
                <w:sz w:val="24"/>
                <w:szCs w:val="24"/>
              </w:rPr>
              <w:instrText xml:space="preserve"> PAGEREF _Toc129885269 \h </w:instrText>
            </w:r>
            <w:r w:rsidR="005E1F16" w:rsidRPr="005E1F16">
              <w:rPr>
                <w:rFonts w:ascii="Times New Roman" w:hAnsi="Times New Roman" w:cs="Times New Roman"/>
                <w:noProof/>
                <w:webHidden/>
                <w:sz w:val="24"/>
                <w:szCs w:val="24"/>
              </w:rPr>
            </w:r>
            <w:r w:rsidR="005E1F16" w:rsidRPr="005E1F16">
              <w:rPr>
                <w:rFonts w:ascii="Times New Roman" w:hAnsi="Times New Roman" w:cs="Times New Roman"/>
                <w:noProof/>
                <w:webHidden/>
                <w:sz w:val="24"/>
                <w:szCs w:val="24"/>
              </w:rPr>
              <w:fldChar w:fldCharType="separate"/>
            </w:r>
            <w:r w:rsidR="005E1F16" w:rsidRPr="005E1F16">
              <w:rPr>
                <w:rFonts w:ascii="Times New Roman" w:hAnsi="Times New Roman" w:cs="Times New Roman"/>
                <w:noProof/>
                <w:webHidden/>
                <w:sz w:val="24"/>
                <w:szCs w:val="24"/>
              </w:rPr>
              <w:t>3</w:t>
            </w:r>
            <w:r w:rsidR="005E1F16" w:rsidRPr="005E1F16">
              <w:rPr>
                <w:rFonts w:ascii="Times New Roman" w:hAnsi="Times New Roman" w:cs="Times New Roman"/>
                <w:noProof/>
                <w:webHidden/>
                <w:sz w:val="24"/>
                <w:szCs w:val="24"/>
              </w:rPr>
              <w:fldChar w:fldCharType="end"/>
            </w:r>
          </w:hyperlink>
        </w:p>
        <w:p w14:paraId="155DA4A6" w14:textId="77777777" w:rsidR="005E1F16" w:rsidRPr="005E1F16" w:rsidRDefault="0076251E">
          <w:pPr>
            <w:pStyle w:val="TOC1"/>
            <w:tabs>
              <w:tab w:val="right" w:leader="dot" w:pos="9019"/>
            </w:tabs>
            <w:rPr>
              <w:rFonts w:ascii="Times New Roman" w:hAnsi="Times New Roman" w:cs="Times New Roman"/>
              <w:noProof/>
              <w:sz w:val="24"/>
              <w:szCs w:val="24"/>
            </w:rPr>
          </w:pPr>
          <w:hyperlink w:anchor="_Toc129885270" w:history="1">
            <w:r w:rsidR="005E1F16" w:rsidRPr="005E1F16">
              <w:rPr>
                <w:rStyle w:val="Hyperlink"/>
                <w:rFonts w:ascii="Times New Roman" w:hAnsi="Times New Roman" w:cs="Times New Roman"/>
                <w:noProof/>
                <w:sz w:val="24"/>
                <w:szCs w:val="24"/>
              </w:rPr>
              <w:t>Body</w:t>
            </w:r>
            <w:r w:rsidR="005E1F16" w:rsidRPr="005E1F16">
              <w:rPr>
                <w:rFonts w:ascii="Times New Roman" w:hAnsi="Times New Roman" w:cs="Times New Roman"/>
                <w:noProof/>
                <w:webHidden/>
                <w:sz w:val="24"/>
                <w:szCs w:val="24"/>
              </w:rPr>
              <w:tab/>
              <w:t>3</w:t>
            </w:r>
          </w:hyperlink>
        </w:p>
        <w:p w14:paraId="448240E2" w14:textId="77777777" w:rsidR="005E1F16" w:rsidRPr="005E1F16" w:rsidRDefault="0076251E">
          <w:pPr>
            <w:pStyle w:val="TOC2"/>
            <w:tabs>
              <w:tab w:val="right" w:leader="dot" w:pos="9019"/>
            </w:tabs>
            <w:rPr>
              <w:rFonts w:ascii="Times New Roman" w:hAnsi="Times New Roman" w:cs="Times New Roman"/>
              <w:noProof/>
              <w:sz w:val="24"/>
              <w:szCs w:val="24"/>
            </w:rPr>
          </w:pPr>
          <w:hyperlink w:anchor="_Toc129885271" w:history="1">
            <w:r w:rsidR="005E1F16" w:rsidRPr="005E1F16">
              <w:rPr>
                <w:rStyle w:val="Hyperlink"/>
                <w:rFonts w:ascii="Times New Roman" w:hAnsi="Times New Roman" w:cs="Times New Roman"/>
                <w:noProof/>
                <w:sz w:val="24"/>
                <w:szCs w:val="24"/>
              </w:rPr>
              <w:t>Current Principles, Standards, and Strategies</w:t>
            </w:r>
            <w:r w:rsidR="005E1F16" w:rsidRPr="005E1F16">
              <w:rPr>
                <w:rFonts w:ascii="Times New Roman" w:hAnsi="Times New Roman" w:cs="Times New Roman"/>
                <w:noProof/>
                <w:webHidden/>
                <w:sz w:val="24"/>
                <w:szCs w:val="24"/>
              </w:rPr>
              <w:tab/>
              <w:t>3</w:t>
            </w:r>
          </w:hyperlink>
        </w:p>
        <w:p w14:paraId="53FFEA01" w14:textId="77777777" w:rsidR="005E1F16" w:rsidRPr="005E1F16" w:rsidRDefault="0076251E">
          <w:pPr>
            <w:pStyle w:val="TOC2"/>
            <w:tabs>
              <w:tab w:val="right" w:leader="dot" w:pos="9019"/>
            </w:tabs>
            <w:rPr>
              <w:rFonts w:ascii="Times New Roman" w:hAnsi="Times New Roman" w:cs="Times New Roman"/>
              <w:noProof/>
              <w:sz w:val="24"/>
              <w:szCs w:val="24"/>
            </w:rPr>
          </w:pPr>
          <w:hyperlink w:anchor="_Toc129885272" w:history="1">
            <w:r w:rsidR="005E1F16" w:rsidRPr="005E1F16">
              <w:rPr>
                <w:rStyle w:val="Hyperlink"/>
                <w:rFonts w:ascii="Times New Roman" w:hAnsi="Times New Roman" w:cs="Times New Roman"/>
                <w:noProof/>
                <w:sz w:val="24"/>
                <w:szCs w:val="24"/>
              </w:rPr>
              <w:t>Practical Recommendations for Community Engagement</w:t>
            </w:r>
            <w:r w:rsidR="005E1F16" w:rsidRPr="005E1F16">
              <w:rPr>
                <w:rFonts w:ascii="Times New Roman" w:hAnsi="Times New Roman" w:cs="Times New Roman"/>
                <w:noProof/>
                <w:webHidden/>
                <w:sz w:val="24"/>
                <w:szCs w:val="24"/>
              </w:rPr>
              <w:tab/>
              <w:t>5</w:t>
            </w:r>
          </w:hyperlink>
        </w:p>
        <w:p w14:paraId="1BC10248" w14:textId="77777777" w:rsidR="005E1F16" w:rsidRPr="005E1F16" w:rsidRDefault="0076251E">
          <w:pPr>
            <w:pStyle w:val="TOC2"/>
            <w:tabs>
              <w:tab w:val="right" w:leader="dot" w:pos="9019"/>
            </w:tabs>
            <w:rPr>
              <w:rFonts w:ascii="Times New Roman" w:hAnsi="Times New Roman" w:cs="Times New Roman"/>
              <w:noProof/>
              <w:sz w:val="24"/>
              <w:szCs w:val="24"/>
            </w:rPr>
          </w:pPr>
          <w:hyperlink w:anchor="_Toc129885273" w:history="1">
            <w:r w:rsidR="005E1F16" w:rsidRPr="005E1F16">
              <w:rPr>
                <w:rStyle w:val="Hyperlink"/>
                <w:rFonts w:ascii="Times New Roman" w:hAnsi="Times New Roman" w:cs="Times New Roman"/>
                <w:noProof/>
                <w:sz w:val="24"/>
                <w:szCs w:val="24"/>
              </w:rPr>
              <w:t>Implementation of Community Engagement</w:t>
            </w:r>
            <w:r w:rsidR="005E1F16" w:rsidRPr="005E1F16">
              <w:rPr>
                <w:rFonts w:ascii="Times New Roman" w:hAnsi="Times New Roman" w:cs="Times New Roman"/>
                <w:noProof/>
                <w:webHidden/>
                <w:sz w:val="24"/>
                <w:szCs w:val="24"/>
              </w:rPr>
              <w:tab/>
              <w:t>6</w:t>
            </w:r>
          </w:hyperlink>
        </w:p>
        <w:p w14:paraId="5681366F" w14:textId="77777777" w:rsidR="005E1F16" w:rsidRPr="005E1F16" w:rsidRDefault="0076251E">
          <w:pPr>
            <w:pStyle w:val="TOC2"/>
            <w:tabs>
              <w:tab w:val="right" w:leader="dot" w:pos="9019"/>
            </w:tabs>
            <w:rPr>
              <w:rFonts w:ascii="Times New Roman" w:hAnsi="Times New Roman" w:cs="Times New Roman"/>
              <w:noProof/>
              <w:sz w:val="24"/>
              <w:szCs w:val="24"/>
            </w:rPr>
          </w:pPr>
          <w:hyperlink w:anchor="_Toc129885274" w:history="1">
            <w:r w:rsidR="005E1F16" w:rsidRPr="005E1F16">
              <w:rPr>
                <w:rStyle w:val="Hyperlink"/>
                <w:rFonts w:ascii="Times New Roman" w:hAnsi="Times New Roman" w:cs="Times New Roman"/>
                <w:noProof/>
                <w:sz w:val="24"/>
                <w:szCs w:val="24"/>
              </w:rPr>
              <w:t>Monitoring of Community Engagement</w:t>
            </w:r>
            <w:r w:rsidR="005E1F16" w:rsidRPr="005E1F16">
              <w:rPr>
                <w:rFonts w:ascii="Times New Roman" w:hAnsi="Times New Roman" w:cs="Times New Roman"/>
                <w:noProof/>
                <w:webHidden/>
                <w:sz w:val="24"/>
                <w:szCs w:val="24"/>
              </w:rPr>
              <w:tab/>
              <w:t>7</w:t>
            </w:r>
          </w:hyperlink>
        </w:p>
        <w:p w14:paraId="36121598" w14:textId="77777777" w:rsidR="005E1F16" w:rsidRPr="005E1F16" w:rsidRDefault="0076251E">
          <w:pPr>
            <w:pStyle w:val="TOC1"/>
            <w:tabs>
              <w:tab w:val="right" w:leader="dot" w:pos="9019"/>
            </w:tabs>
            <w:rPr>
              <w:rFonts w:ascii="Times New Roman" w:hAnsi="Times New Roman" w:cs="Times New Roman"/>
              <w:noProof/>
              <w:sz w:val="24"/>
              <w:szCs w:val="24"/>
            </w:rPr>
          </w:pPr>
          <w:hyperlink w:anchor="_Toc129885275" w:history="1">
            <w:r w:rsidR="005E1F16" w:rsidRPr="005E1F16">
              <w:rPr>
                <w:rStyle w:val="Hyperlink"/>
                <w:rFonts w:ascii="Times New Roman" w:hAnsi="Times New Roman" w:cs="Times New Roman"/>
                <w:noProof/>
                <w:sz w:val="24"/>
                <w:szCs w:val="24"/>
              </w:rPr>
              <w:t>Conclusion</w:t>
            </w:r>
            <w:r w:rsidR="005E1F16" w:rsidRPr="005E1F16">
              <w:rPr>
                <w:rFonts w:ascii="Times New Roman" w:hAnsi="Times New Roman" w:cs="Times New Roman"/>
                <w:noProof/>
                <w:webHidden/>
                <w:sz w:val="24"/>
                <w:szCs w:val="24"/>
              </w:rPr>
              <w:tab/>
              <w:t>8</w:t>
            </w:r>
          </w:hyperlink>
        </w:p>
        <w:p w14:paraId="6ED336D1" w14:textId="77777777" w:rsidR="005E1F16" w:rsidRPr="005E1F16" w:rsidRDefault="0076251E">
          <w:pPr>
            <w:pStyle w:val="TOC1"/>
            <w:tabs>
              <w:tab w:val="right" w:leader="dot" w:pos="9019"/>
            </w:tabs>
            <w:rPr>
              <w:rFonts w:ascii="Times New Roman" w:hAnsi="Times New Roman" w:cs="Times New Roman"/>
              <w:noProof/>
              <w:sz w:val="24"/>
              <w:szCs w:val="24"/>
            </w:rPr>
          </w:pPr>
          <w:hyperlink w:anchor="_Toc129885276" w:history="1">
            <w:r w:rsidR="005E1F16" w:rsidRPr="005E1F16">
              <w:rPr>
                <w:rStyle w:val="Hyperlink"/>
                <w:rFonts w:ascii="Times New Roman" w:hAnsi="Times New Roman" w:cs="Times New Roman"/>
                <w:noProof/>
                <w:sz w:val="24"/>
                <w:szCs w:val="24"/>
              </w:rPr>
              <w:t>References</w:t>
            </w:r>
            <w:r w:rsidR="005E1F16" w:rsidRPr="005E1F16">
              <w:rPr>
                <w:rFonts w:ascii="Times New Roman" w:hAnsi="Times New Roman" w:cs="Times New Roman"/>
                <w:noProof/>
                <w:webHidden/>
                <w:sz w:val="24"/>
                <w:szCs w:val="24"/>
              </w:rPr>
              <w:tab/>
              <w:t>10</w:t>
            </w:r>
          </w:hyperlink>
        </w:p>
        <w:p w14:paraId="37EADE85" w14:textId="77777777" w:rsidR="005E1F16" w:rsidRDefault="0076251E"/>
      </w:sdtContent>
    </w:sdt>
    <w:p w14:paraId="4867720D" w14:textId="77777777" w:rsidR="00F20275" w:rsidRPr="005E1F16" w:rsidRDefault="00326729" w:rsidP="005E1F16">
      <w:pPr>
        <w:jc w:val="both"/>
        <w:rPr>
          <w:rFonts w:ascii="Times New Roman" w:hAnsi="Times New Roman" w:cs="Times New Roman"/>
          <w:b/>
          <w:sz w:val="32"/>
          <w:szCs w:val="32"/>
        </w:rPr>
      </w:pPr>
      <w:r w:rsidRPr="005E1F16">
        <w:rPr>
          <w:rFonts w:ascii="Times New Roman" w:hAnsi="Times New Roman" w:cs="Times New Roman"/>
          <w:sz w:val="32"/>
          <w:szCs w:val="32"/>
        </w:rPr>
        <w:br w:type="page"/>
      </w:r>
    </w:p>
    <w:p w14:paraId="438F3F7A" w14:textId="77777777" w:rsidR="00F20275" w:rsidRPr="005E1F16" w:rsidRDefault="00326729" w:rsidP="005E1F16">
      <w:pPr>
        <w:pStyle w:val="Heading1"/>
      </w:pPr>
      <w:bookmarkStart w:id="0" w:name="_Toc129885269"/>
      <w:r w:rsidRPr="005E1F16">
        <w:lastRenderedPageBreak/>
        <w:t>Introduction</w:t>
      </w:r>
      <w:bookmarkEnd w:id="0"/>
    </w:p>
    <w:p w14:paraId="69831498" w14:textId="77777777" w:rsidR="00F20275" w:rsidRPr="005E1F16" w:rsidRDefault="00326729" w:rsidP="005E1F16">
      <w:pPr>
        <w:pStyle w:val="Normal1"/>
        <w:spacing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This study has been conducted in order to </w:t>
      </w:r>
      <w:proofErr w:type="gramStart"/>
      <w:r w:rsidRPr="005E1F16">
        <w:rPr>
          <w:rFonts w:ascii="Times New Roman" w:hAnsi="Times New Roman" w:cs="Times New Roman"/>
          <w:sz w:val="24"/>
          <w:szCs w:val="24"/>
        </w:rPr>
        <w:t>achieve</w:t>
      </w:r>
      <w:proofErr w:type="gramEnd"/>
      <w:r w:rsidRPr="005E1F16">
        <w:rPr>
          <w:rFonts w:ascii="Times New Roman" w:hAnsi="Times New Roman" w:cs="Times New Roman"/>
          <w:sz w:val="24"/>
          <w:szCs w:val="24"/>
        </w:rPr>
        <w:t xml:space="preserve"> a better idea regarding the reflection that has been provided, which can also be helpful for understanding the current principles and standards of the council community. While the council has made efforts to engage with hard-to-reach groups, such as young people and ethnic minority groups, there is evidence to suggest that more could be done to ensure that all voices are heard. These approaches may be effective for reaching certain segments of the community, there is evidence to suggest that they may not be reaching all members of the community.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takes responsibility for its actions and seeks feedback from residents to ensure that services are delivered to a high standard. Community Ambassadors are volunteers who work with the council to engage with local communities. Community Asset Mapping involves working with local communities to identify the strengths and assets of the community. Consistent communication involves providing regular updates to local communities on council activities and decision-making processes. The council will need to develop communication materials that explain the new community engagement strategies and encourage residents to get involved. Monitoring and evaluation of the effectiveness of the new community engagement approaches is crucial to ensure that they are achieving their intended goals and making a positive impact on the community.</w:t>
      </w:r>
    </w:p>
    <w:p w14:paraId="64B9ECEC" w14:textId="77777777" w:rsidR="00F20275" w:rsidRPr="005E1F16" w:rsidRDefault="00F20275" w:rsidP="005E1F16">
      <w:pPr>
        <w:pStyle w:val="Normal1"/>
        <w:spacing w:line="360" w:lineRule="auto"/>
        <w:jc w:val="both"/>
        <w:rPr>
          <w:rFonts w:ascii="Times New Roman" w:hAnsi="Times New Roman" w:cs="Times New Roman"/>
          <w:sz w:val="24"/>
          <w:szCs w:val="24"/>
        </w:rPr>
      </w:pPr>
    </w:p>
    <w:p w14:paraId="4BC3148B" w14:textId="77777777" w:rsidR="00F20275" w:rsidRPr="005E1F16" w:rsidRDefault="00326729" w:rsidP="005E1F16">
      <w:pPr>
        <w:pStyle w:val="Heading1"/>
      </w:pPr>
      <w:bookmarkStart w:id="1" w:name="_Toc129885270"/>
      <w:r w:rsidRPr="005E1F16">
        <w:t>Body</w:t>
      </w:r>
      <w:bookmarkEnd w:id="1"/>
    </w:p>
    <w:p w14:paraId="15F7E72C" w14:textId="77777777" w:rsidR="00F20275" w:rsidRPr="005E1F16" w:rsidRDefault="00326729" w:rsidP="005E1F16">
      <w:pPr>
        <w:pStyle w:val="Heading2"/>
      </w:pPr>
      <w:bookmarkStart w:id="2" w:name="_Toc129885271"/>
      <w:r w:rsidRPr="005E1F16">
        <w:t>Current Principles, Standards, and Strategies</w:t>
      </w:r>
      <w:bookmarkEnd w:id="2"/>
    </w:p>
    <w:p w14:paraId="626C522F"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Council's Community Engagement Strategy outlines a range of principles, standards, and strategies that the council has put in place to engage with the local community. Here are few that includes:</w:t>
      </w:r>
    </w:p>
    <w:p w14:paraId="7099AEB0"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Inclusion: One of the key principles of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Council's community engagement approach is inclusion, which aims to engage with all members of the </w:t>
      </w:r>
      <w:proofErr w:type="gramStart"/>
      <w:r w:rsidRPr="005E1F16">
        <w:rPr>
          <w:rFonts w:ascii="Times New Roman" w:hAnsi="Times New Roman" w:cs="Times New Roman"/>
          <w:sz w:val="24"/>
          <w:szCs w:val="24"/>
        </w:rPr>
        <w:t>community(</w:t>
      </w:r>
      <w:proofErr w:type="spellStart"/>
      <w:proofErr w:type="gramEnd"/>
      <w:r w:rsidRPr="005E1F16">
        <w:rPr>
          <w:rFonts w:ascii="Times New Roman" w:hAnsi="Times New Roman" w:cs="Times New Roman"/>
          <w:sz w:val="24"/>
          <w:szCs w:val="24"/>
        </w:rPr>
        <w:t>Tauschisnki</w:t>
      </w:r>
      <w:proofErr w:type="spellEnd"/>
      <w:r w:rsidRPr="005E1F16">
        <w:rPr>
          <w:rFonts w:ascii="Times New Roman" w:hAnsi="Times New Roman" w:cs="Times New Roman"/>
          <w:sz w:val="24"/>
          <w:szCs w:val="24"/>
        </w:rPr>
        <w:t xml:space="preserve">, Wilkins and Harries, 2021). While the council has made efforts to engage with hard-to-reach groups, such as young people and ethnic minority groups, there is evidence to suggest that more could be done to ensure that all voices are heard. For example, a survey conducted by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Youth Council found that many young people felt that their views were not taken seriously by the council, and that their ideas were often dismissed. Similarly, a report by the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Asian </w:t>
      </w:r>
      <w:r w:rsidRPr="005E1F16">
        <w:rPr>
          <w:rFonts w:ascii="Times New Roman" w:hAnsi="Times New Roman" w:cs="Times New Roman"/>
          <w:sz w:val="24"/>
          <w:szCs w:val="24"/>
        </w:rPr>
        <w:lastRenderedPageBreak/>
        <w:t>Social Welfare Association found that many members of the local Asian community felt excluded from council decision-making processes.</w:t>
      </w:r>
    </w:p>
    <w:p w14:paraId="52CF7911"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Communication: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uses a range of communication channels to engage with the community, including social media, email, and public meetings. While these approaches may be effective for reaching certain segments of the community, there is evidence to suggest that they may not be reaching all members of the community. For example, a survey conducted by the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Association of People with Disabilities found that many members of the local disabled community felt that they were not being communicated with effectively by the council, and that their needs were not being adequately </w:t>
      </w:r>
      <w:proofErr w:type="gramStart"/>
      <w:r w:rsidRPr="005E1F16">
        <w:rPr>
          <w:rFonts w:ascii="Times New Roman" w:hAnsi="Times New Roman" w:cs="Times New Roman"/>
          <w:sz w:val="24"/>
          <w:szCs w:val="24"/>
        </w:rPr>
        <w:t>taken into account</w:t>
      </w:r>
      <w:proofErr w:type="gramEnd"/>
      <w:r w:rsidRPr="005E1F16">
        <w:rPr>
          <w:rFonts w:ascii="Times New Roman" w:hAnsi="Times New Roman" w:cs="Times New Roman"/>
          <w:sz w:val="24"/>
          <w:szCs w:val="24"/>
        </w:rPr>
        <w:t xml:space="preserve"> in decision-making processes.</w:t>
      </w:r>
    </w:p>
    <w:p w14:paraId="7C646700"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Partnership working: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partners with local community groups, voluntary organizations, and businesses to deliver community engagement activities and </w:t>
      </w:r>
      <w:proofErr w:type="gramStart"/>
      <w:r w:rsidRPr="005E1F16">
        <w:rPr>
          <w:rFonts w:ascii="Times New Roman" w:hAnsi="Times New Roman" w:cs="Times New Roman"/>
          <w:sz w:val="24"/>
          <w:szCs w:val="24"/>
        </w:rPr>
        <w:t>programs(</w:t>
      </w:r>
      <w:proofErr w:type="spellStart"/>
      <w:proofErr w:type="gramEnd"/>
      <w:r w:rsidRPr="005E1F16">
        <w:rPr>
          <w:rFonts w:ascii="Times New Roman" w:hAnsi="Times New Roman" w:cs="Times New Roman"/>
          <w:sz w:val="24"/>
          <w:szCs w:val="24"/>
        </w:rPr>
        <w:t>Ladeiras</w:t>
      </w:r>
      <w:proofErr w:type="spellEnd"/>
      <w:r w:rsidRPr="005E1F16">
        <w:rPr>
          <w:rFonts w:ascii="Times New Roman" w:hAnsi="Times New Roman" w:cs="Times New Roman"/>
          <w:sz w:val="24"/>
          <w:szCs w:val="24"/>
        </w:rPr>
        <w:t xml:space="preserve">-Lopes et al, 2020). While this approach may be effective for engaging with certain segments of the community, such as those who are already engaged with local groups, there is evidence to suggest that more could be done to engage with those who are not already connected to community groups. For example, a report by the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Refugee Support Group found that many refugees and asylum seekers in the local area felt isolated and disconnected from the wider community, and that more could be done to engage with this group.</w:t>
      </w:r>
    </w:p>
    <w:p w14:paraId="32D0656F"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Transparency: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aims to be transparent in its decision-making processes and provides information to residents about how their views have been considered in making decisions. While this approach may be effective for building trust with the community, there is evidence to suggest that more could be done to ensure that residents have a meaningful say in decision-making processes. For example, a report by the </w:t>
      </w:r>
      <w:proofErr w:type="spellStart"/>
      <w:r w:rsidRPr="005E1F16">
        <w:rPr>
          <w:rFonts w:ascii="Times New Roman" w:hAnsi="Times New Roman" w:cs="Times New Roman"/>
          <w:sz w:val="24"/>
          <w:szCs w:val="24"/>
        </w:rPr>
        <w:t>Hornchurch</w:t>
      </w:r>
      <w:proofErr w:type="spellEnd"/>
      <w:r w:rsidRPr="005E1F16">
        <w:rPr>
          <w:rFonts w:ascii="Times New Roman" w:hAnsi="Times New Roman" w:cs="Times New Roman"/>
          <w:sz w:val="24"/>
          <w:szCs w:val="24"/>
        </w:rPr>
        <w:t xml:space="preserve"> Residents' Association found that many residents felt that their views were not being </w:t>
      </w:r>
      <w:proofErr w:type="gramStart"/>
      <w:r w:rsidRPr="005E1F16">
        <w:rPr>
          <w:rFonts w:ascii="Times New Roman" w:hAnsi="Times New Roman" w:cs="Times New Roman"/>
          <w:sz w:val="24"/>
          <w:szCs w:val="24"/>
        </w:rPr>
        <w:t>taken into account</w:t>
      </w:r>
      <w:proofErr w:type="gramEnd"/>
      <w:r w:rsidRPr="005E1F16">
        <w:rPr>
          <w:rFonts w:ascii="Times New Roman" w:hAnsi="Times New Roman" w:cs="Times New Roman"/>
          <w:sz w:val="24"/>
          <w:szCs w:val="24"/>
        </w:rPr>
        <w:t xml:space="preserve"> in council decisions, and that there was a lack of transparency in the decision-making process.</w:t>
      </w:r>
    </w:p>
    <w:p w14:paraId="7FD025AB"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Accountability: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takes responsibility for its actions and seeks feedback from residents to ensure that services are delivered to a high standard. While this approach may be effective for ensuring that the council is responsive to community needs, there is evidence to suggest that more could be done to ensure that the council is held accountable for its actions(.</w:t>
      </w:r>
      <w:proofErr w:type="spellStart"/>
      <w:r w:rsidRPr="005E1F16">
        <w:rPr>
          <w:rFonts w:ascii="Times New Roman" w:hAnsi="Times New Roman" w:cs="Times New Roman"/>
          <w:sz w:val="24"/>
          <w:szCs w:val="24"/>
        </w:rPr>
        <w:t>Agusdinata</w:t>
      </w:r>
      <w:proofErr w:type="spellEnd"/>
      <w:r w:rsidRPr="005E1F16">
        <w:rPr>
          <w:rFonts w:ascii="Times New Roman" w:hAnsi="Times New Roman" w:cs="Times New Roman"/>
          <w:sz w:val="24"/>
          <w:szCs w:val="24"/>
        </w:rPr>
        <w:t xml:space="preserve">, 2022) For example, a report by the Harold Hill Community Forum found </w:t>
      </w:r>
      <w:r w:rsidRPr="005E1F16">
        <w:rPr>
          <w:rFonts w:ascii="Times New Roman" w:hAnsi="Times New Roman" w:cs="Times New Roman"/>
          <w:sz w:val="24"/>
          <w:szCs w:val="24"/>
        </w:rPr>
        <w:lastRenderedPageBreak/>
        <w:t>that many residents felt that the council was not doing enough to address issues such as litter and antisocial behavior in the local area, and that more could be done to ensure that the council is held accountable for delivering on its promises.</w:t>
      </w:r>
    </w:p>
    <w:p w14:paraId="6F4202DC"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Co-production: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aims to work collaboratively with the community to co-design and co-deliver services that meet the needs of </w:t>
      </w:r>
      <w:proofErr w:type="gramStart"/>
      <w:r w:rsidRPr="005E1F16">
        <w:rPr>
          <w:rFonts w:ascii="Times New Roman" w:hAnsi="Times New Roman" w:cs="Times New Roman"/>
          <w:sz w:val="24"/>
          <w:szCs w:val="24"/>
        </w:rPr>
        <w:t>local residents</w:t>
      </w:r>
      <w:proofErr w:type="gramEnd"/>
      <w:r w:rsidRPr="005E1F16">
        <w:rPr>
          <w:rFonts w:ascii="Times New Roman" w:hAnsi="Times New Roman" w:cs="Times New Roman"/>
          <w:sz w:val="24"/>
          <w:szCs w:val="24"/>
        </w:rPr>
        <w:t xml:space="preserve">. While this approach may be effective for ensuring that services are responsive to community needs, there is evidence to suggest that more could be done to ensure that residents have a meaningful say in the design and delivery of services. For example, a report by the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Healthwatch found that many residents felt that they were not being adequately consulted on changes to health services.</w:t>
      </w:r>
    </w:p>
    <w:p w14:paraId="5274A7EF" w14:textId="77777777" w:rsidR="00F20275" w:rsidRPr="005E1F16" w:rsidRDefault="00326729" w:rsidP="005E1F16">
      <w:pPr>
        <w:pStyle w:val="Heading2"/>
      </w:pPr>
      <w:bookmarkStart w:id="3" w:name="_Toc129885272"/>
      <w:r w:rsidRPr="005E1F16">
        <w:t>Practical Recommendations for Community Engagement</w:t>
      </w:r>
      <w:bookmarkEnd w:id="3"/>
    </w:p>
    <w:p w14:paraId="605B58F5"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Based on best practices and lessons learned from successful local councils, the following set of practical recommendations can be made for improving community engagement in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w:t>
      </w:r>
    </w:p>
    <w:p w14:paraId="2B70A6BE"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Co-creation: Co-creation is a process that involves working collaboratively with community members to develop solutions to local </w:t>
      </w:r>
      <w:proofErr w:type="gramStart"/>
      <w:r w:rsidRPr="005E1F16">
        <w:rPr>
          <w:rFonts w:ascii="Times New Roman" w:hAnsi="Times New Roman" w:cs="Times New Roman"/>
          <w:sz w:val="24"/>
          <w:szCs w:val="24"/>
        </w:rPr>
        <w:t>problems( Achilles</w:t>
      </w:r>
      <w:proofErr w:type="gramEnd"/>
      <w:r w:rsidRPr="005E1F16">
        <w:rPr>
          <w:rFonts w:ascii="Times New Roman" w:hAnsi="Times New Roman" w:cs="Times New Roman"/>
          <w:sz w:val="24"/>
          <w:szCs w:val="24"/>
        </w:rPr>
        <w:t xml:space="preserve"> et al, 2022). This approach has been shown to be effective in increasing community participation and improving community satisfaction.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could adopt a co-creation approach by working with local community groups to develop solutions to local problems.</w:t>
      </w:r>
    </w:p>
    <w:p w14:paraId="1BB9848B"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Community Ambassadors: Community Ambassadors are volunteers who work with the council to engage with local communities. They can help to build relationships between the council and local communities and can help to identify issues that are important to </w:t>
      </w:r>
      <w:proofErr w:type="gramStart"/>
      <w:r w:rsidRPr="005E1F16">
        <w:rPr>
          <w:rFonts w:ascii="Times New Roman" w:hAnsi="Times New Roman" w:cs="Times New Roman"/>
          <w:sz w:val="24"/>
          <w:szCs w:val="24"/>
        </w:rPr>
        <w:t>local residents</w:t>
      </w:r>
      <w:proofErr w:type="gramEnd"/>
      <w:r w:rsidRPr="005E1F16">
        <w:rPr>
          <w:rFonts w:ascii="Times New Roman" w:hAnsi="Times New Roman" w:cs="Times New Roman"/>
          <w:sz w:val="24"/>
          <w:szCs w:val="24"/>
        </w:rPr>
        <w:t xml:space="preserve">.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could recruit and train a team of Community Ambassadors to work with local communities.</w:t>
      </w:r>
    </w:p>
    <w:p w14:paraId="371E80D8"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Digital Engagement: Digital engagement involves using social media, online forums, and other digital platforms to engage with local communities. This approach can be particularly effective in engaging with younger members of the community.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could invest in digital engagement tools to improve community engagement.</w:t>
      </w:r>
    </w:p>
    <w:p w14:paraId="2841A8B9"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Community Asset Mapping: Community Asset Mapping involves working with local communities to identify the strengths and assets of the community. This approach can help to identify community resources that can be used to address local </w:t>
      </w:r>
      <w:proofErr w:type="gramStart"/>
      <w:r w:rsidRPr="005E1F16">
        <w:rPr>
          <w:rFonts w:ascii="Times New Roman" w:hAnsi="Times New Roman" w:cs="Times New Roman"/>
          <w:sz w:val="24"/>
          <w:szCs w:val="24"/>
        </w:rPr>
        <w:t>problems(</w:t>
      </w:r>
      <w:proofErr w:type="spellStart"/>
      <w:proofErr w:type="gramEnd"/>
      <w:r w:rsidRPr="005E1F16">
        <w:rPr>
          <w:rFonts w:ascii="Times New Roman" w:hAnsi="Times New Roman" w:cs="Times New Roman"/>
          <w:sz w:val="24"/>
          <w:szCs w:val="24"/>
        </w:rPr>
        <w:t>Minoi</w:t>
      </w:r>
      <w:proofErr w:type="spellEnd"/>
      <w:r w:rsidRPr="005E1F16">
        <w:rPr>
          <w:rFonts w:ascii="Times New Roman" w:hAnsi="Times New Roman" w:cs="Times New Roman"/>
          <w:sz w:val="24"/>
          <w:szCs w:val="24"/>
        </w:rPr>
        <w:t xml:space="preserve"> et al, 2019). </w:t>
      </w:r>
      <w:proofErr w:type="spellStart"/>
      <w:r w:rsidRPr="005E1F16">
        <w:rPr>
          <w:rFonts w:ascii="Times New Roman" w:hAnsi="Times New Roman" w:cs="Times New Roman"/>
          <w:sz w:val="24"/>
          <w:szCs w:val="24"/>
        </w:rPr>
        <w:lastRenderedPageBreak/>
        <w:t>Havering</w:t>
      </w:r>
      <w:proofErr w:type="spellEnd"/>
      <w:r w:rsidRPr="005E1F16">
        <w:rPr>
          <w:rFonts w:ascii="Times New Roman" w:hAnsi="Times New Roman" w:cs="Times New Roman"/>
          <w:sz w:val="24"/>
          <w:szCs w:val="24"/>
        </w:rPr>
        <w:t xml:space="preserve"> Council could adopt a community asset mapping approach to identify community resources that can be used to address local problems.</w:t>
      </w:r>
    </w:p>
    <w:p w14:paraId="79F29B45"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Consistent Communication: Consistent communication involves providing regular updates to local communities on council activities and decision-making processes. This approach can help to build trust between the council and local communities.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could adopt a consistent communication approach by providing regular updates to local communities on council activities.</w:t>
      </w:r>
    </w:p>
    <w:p w14:paraId="6B3B8CA4" w14:textId="77777777" w:rsidR="00F20275" w:rsidRPr="005E1F16" w:rsidRDefault="00326729" w:rsidP="005E1F16">
      <w:pPr>
        <w:pStyle w:val="Heading2"/>
      </w:pPr>
      <w:bookmarkStart w:id="4" w:name="_Toc129885273"/>
      <w:r w:rsidRPr="005E1F16">
        <w:t>Implementation of Community Engagement</w:t>
      </w:r>
      <w:bookmarkEnd w:id="4"/>
    </w:p>
    <w:p w14:paraId="668F630A"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Detailed plan for implementing the recommended community engagement strategies:</w:t>
      </w:r>
    </w:p>
    <w:p w14:paraId="25D77364"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Establish a Community Engagement Task Force: This task force will be responsible for implementing the recommended community engagement strategies. The task force will consist of representatives from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w:t>
      </w:r>
      <w:proofErr w:type="gramStart"/>
      <w:r w:rsidRPr="005E1F16">
        <w:rPr>
          <w:rFonts w:ascii="Times New Roman" w:hAnsi="Times New Roman" w:cs="Times New Roman"/>
          <w:sz w:val="24"/>
          <w:szCs w:val="24"/>
        </w:rPr>
        <w:t>local residents</w:t>
      </w:r>
      <w:proofErr w:type="gramEnd"/>
      <w:r w:rsidRPr="005E1F16">
        <w:rPr>
          <w:rFonts w:ascii="Times New Roman" w:hAnsi="Times New Roman" w:cs="Times New Roman"/>
          <w:sz w:val="24"/>
          <w:szCs w:val="24"/>
        </w:rPr>
        <w:t>, and community groups.</w:t>
      </w:r>
    </w:p>
    <w:p w14:paraId="5572875D"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Develop a Community Engagement Plan: The task force will develop a comprehensive community engagement plan that includes the recommended strategies, timelines, responsible parties, and resources </w:t>
      </w:r>
      <w:proofErr w:type="gramStart"/>
      <w:r w:rsidRPr="005E1F16">
        <w:rPr>
          <w:rFonts w:ascii="Times New Roman" w:hAnsi="Times New Roman" w:cs="Times New Roman"/>
          <w:sz w:val="24"/>
          <w:szCs w:val="24"/>
        </w:rPr>
        <w:t>needed(</w:t>
      </w:r>
      <w:proofErr w:type="gramEnd"/>
      <w:r w:rsidRPr="005E1F16">
        <w:rPr>
          <w:rFonts w:ascii="Times New Roman" w:hAnsi="Times New Roman" w:cs="Times New Roman"/>
          <w:sz w:val="24"/>
          <w:szCs w:val="24"/>
        </w:rPr>
        <w:t>Campbell et al, 2020). The plan will also include clear objectives and goals, as well as a timeline for implementation. The plan will be reviewed and updated on a regular basis to ensure that it remains relevant and effective.</w:t>
      </w:r>
    </w:p>
    <w:p w14:paraId="25BFD1EE"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Allocate Resources: The task force will need to identify the resources required to implement the community engagement plan. This may include additional staff, funding, and technology resources. The council may need to allocate additional resources to ensure that the recommended strategies are successfully implemented.</w:t>
      </w:r>
    </w:p>
    <w:p w14:paraId="4AE55474"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Train Staff: Staff who will be involved in community engagement activities should be trained </w:t>
      </w:r>
      <w:proofErr w:type="gramStart"/>
      <w:r w:rsidRPr="005E1F16">
        <w:rPr>
          <w:rFonts w:ascii="Times New Roman" w:hAnsi="Times New Roman" w:cs="Times New Roman"/>
          <w:sz w:val="24"/>
          <w:szCs w:val="24"/>
        </w:rPr>
        <w:t>on</w:t>
      </w:r>
      <w:proofErr w:type="gramEnd"/>
      <w:r w:rsidRPr="005E1F16">
        <w:rPr>
          <w:rFonts w:ascii="Times New Roman" w:hAnsi="Times New Roman" w:cs="Times New Roman"/>
          <w:sz w:val="24"/>
          <w:szCs w:val="24"/>
        </w:rPr>
        <w:t xml:space="preserve"> the new strategies and approaches. This will ensure that they are equipped with the necessary skills and knowledge to effectively engage with residents and community groups. The council can provide training on best practices in community engagement, as well as on the use of technology tools to facilitate engagement.</w:t>
      </w:r>
    </w:p>
    <w:p w14:paraId="5AE5BA6F"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Establish Partnerships: The task force will need to establish partnerships with local community groups, schools, and businesses to ensure that they are involved in the community engagement </w:t>
      </w:r>
      <w:proofErr w:type="gramStart"/>
      <w:r w:rsidRPr="005E1F16">
        <w:rPr>
          <w:rFonts w:ascii="Times New Roman" w:hAnsi="Times New Roman" w:cs="Times New Roman"/>
          <w:sz w:val="24"/>
          <w:szCs w:val="24"/>
        </w:rPr>
        <w:lastRenderedPageBreak/>
        <w:t>process(</w:t>
      </w:r>
      <w:proofErr w:type="spellStart"/>
      <w:proofErr w:type="gramEnd"/>
      <w:r w:rsidRPr="005E1F16">
        <w:rPr>
          <w:rFonts w:ascii="Times New Roman" w:hAnsi="Times New Roman" w:cs="Times New Roman"/>
          <w:sz w:val="24"/>
          <w:szCs w:val="24"/>
        </w:rPr>
        <w:t>Strully</w:t>
      </w:r>
      <w:proofErr w:type="spellEnd"/>
      <w:r w:rsidRPr="005E1F16">
        <w:rPr>
          <w:rFonts w:ascii="Times New Roman" w:hAnsi="Times New Roman" w:cs="Times New Roman"/>
          <w:sz w:val="24"/>
          <w:szCs w:val="24"/>
        </w:rPr>
        <w:t xml:space="preserve"> et al, 2021). These partnerships will help to increase the reach and impact of the engagement activities.</w:t>
      </w:r>
    </w:p>
    <w:p w14:paraId="3A2E1B6D"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Develop Communication Materials: The council will need to develop communication materials that explain the new community engagement strategies and encourage residents to get involved. This may include brochures, posters, and social media campaigns. The materials should be clear and </w:t>
      </w:r>
      <w:proofErr w:type="gramStart"/>
      <w:r w:rsidRPr="005E1F16">
        <w:rPr>
          <w:rFonts w:ascii="Times New Roman" w:hAnsi="Times New Roman" w:cs="Times New Roman"/>
          <w:sz w:val="24"/>
          <w:szCs w:val="24"/>
        </w:rPr>
        <w:t>concise, and</w:t>
      </w:r>
      <w:proofErr w:type="gramEnd"/>
      <w:r w:rsidRPr="005E1F16">
        <w:rPr>
          <w:rFonts w:ascii="Times New Roman" w:hAnsi="Times New Roman" w:cs="Times New Roman"/>
          <w:sz w:val="24"/>
          <w:szCs w:val="24"/>
        </w:rPr>
        <w:t xml:space="preserve"> should highlight the benefits of community engagement.</w:t>
      </w:r>
    </w:p>
    <w:p w14:paraId="15DEFC0B"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Pilot New Approaches: The council can pilot new approaches to community engagement to test their effectiveness. This can be done in selected neighborhoods or with specific groups of residents. The pilot phase will allow the council to refine the strategies before rolling them out more widely.</w:t>
      </w:r>
    </w:p>
    <w:p w14:paraId="2677E480" w14:textId="77777777" w:rsid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Monitor and Evaluate: The council will need to monitor and evaluate the effectiveness of the new community engagement </w:t>
      </w:r>
      <w:proofErr w:type="gramStart"/>
      <w:r w:rsidRPr="005E1F16">
        <w:rPr>
          <w:rFonts w:ascii="Times New Roman" w:hAnsi="Times New Roman" w:cs="Times New Roman"/>
          <w:sz w:val="24"/>
          <w:szCs w:val="24"/>
        </w:rPr>
        <w:t>strategies(</w:t>
      </w:r>
      <w:proofErr w:type="gramEnd"/>
      <w:r w:rsidRPr="005E1F16">
        <w:rPr>
          <w:rFonts w:ascii="Times New Roman" w:hAnsi="Times New Roman" w:cs="Times New Roman"/>
          <w:sz w:val="24"/>
          <w:szCs w:val="24"/>
        </w:rPr>
        <w:t>Haldane et al, 2019). This can be done by collecting feedback from residents, community groups, and other stakeholders. The council can also track participation rates and community satisfaction levels to assess the impact of the strategies.</w:t>
      </w:r>
    </w:p>
    <w:p w14:paraId="6085C64F" w14:textId="77777777" w:rsidR="005E1F16" w:rsidRPr="005E1F16" w:rsidRDefault="005E1F16" w:rsidP="005E1F16">
      <w:pPr>
        <w:pStyle w:val="Heading2"/>
        <w:rPr>
          <w:rFonts w:cs="Times New Roman"/>
          <w:sz w:val="24"/>
          <w:szCs w:val="24"/>
        </w:rPr>
      </w:pPr>
      <w:bookmarkStart w:id="5" w:name="_Toc129885274"/>
      <w:r w:rsidRPr="005E1F16">
        <w:t>Monitoring</w:t>
      </w:r>
      <w:r>
        <w:t xml:space="preserve"> </w:t>
      </w:r>
      <w:r w:rsidRPr="005E1F16">
        <w:t>of Community Engagement</w:t>
      </w:r>
      <w:bookmarkEnd w:id="5"/>
    </w:p>
    <w:p w14:paraId="0715AD4E"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Monitoring and evaluation of the effectiveness of the new community engagement approaches is crucial to ensure that they are achieving their intended goals and making a positive impact on the community. Here are some ways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can monitor and evaluate the effectiveness of the new approaches:</w:t>
      </w:r>
    </w:p>
    <w:p w14:paraId="65A62C53"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Collect feedback from residents: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can collect feedback from residents through various channels such as surveys, public meetings, social media, and community events. The feedback can provide valuable insights into the effectiveness of the new </w:t>
      </w:r>
      <w:proofErr w:type="gramStart"/>
      <w:r w:rsidRPr="005E1F16">
        <w:rPr>
          <w:rFonts w:ascii="Times New Roman" w:hAnsi="Times New Roman" w:cs="Times New Roman"/>
          <w:sz w:val="24"/>
          <w:szCs w:val="24"/>
        </w:rPr>
        <w:t>approaches, and</w:t>
      </w:r>
      <w:proofErr w:type="gramEnd"/>
      <w:r w:rsidRPr="005E1F16">
        <w:rPr>
          <w:rFonts w:ascii="Times New Roman" w:hAnsi="Times New Roman" w:cs="Times New Roman"/>
          <w:sz w:val="24"/>
          <w:szCs w:val="24"/>
        </w:rPr>
        <w:t xml:space="preserve"> identify areas for improvement.</w:t>
      </w:r>
    </w:p>
    <w:p w14:paraId="32FF65B0"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Engage with community groups: The council can also engage with community groups and organizations to gather feedback on the effectiveness of the new </w:t>
      </w:r>
      <w:proofErr w:type="gramStart"/>
      <w:r w:rsidRPr="005E1F16">
        <w:rPr>
          <w:rFonts w:ascii="Times New Roman" w:hAnsi="Times New Roman" w:cs="Times New Roman"/>
          <w:sz w:val="24"/>
          <w:szCs w:val="24"/>
        </w:rPr>
        <w:t>approaches(</w:t>
      </w:r>
      <w:proofErr w:type="gramEnd"/>
      <w:r w:rsidRPr="005E1F16">
        <w:rPr>
          <w:rFonts w:ascii="Times New Roman" w:hAnsi="Times New Roman" w:cs="Times New Roman"/>
          <w:sz w:val="24"/>
          <w:szCs w:val="24"/>
        </w:rPr>
        <w:t>McNamara et al, 2020)Community groups can provide valuable feedback on whether the approaches are meeting the needs of the community and whether they are effectively engaging with their members.</w:t>
      </w:r>
    </w:p>
    <w:p w14:paraId="0AECDC3E"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lastRenderedPageBreak/>
        <w:t>Track participation rates: The council can track participation rates in community engagement activities to determine whether they are increasing over time. Increased participation rates are a good indicator of the effectiveness of the new approaches.</w:t>
      </w:r>
    </w:p>
    <w:p w14:paraId="3BC9FF0E"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Monitor community satisfaction levels: The council can monitor community satisfaction levels through surveys and other feedback mechanisms. This can help to determine whether the new approaches are meeting the expectations and needs of the community.</w:t>
      </w:r>
    </w:p>
    <w:p w14:paraId="4F4A8F55"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Evaluate the impact of the approaches: The council can also evaluate the impact of the new approaches on the community. For example, if one of the new approaches is to increase community involvement in decision-making processes, the council can evaluate whether the community's input has had an impact on the decision-making process.</w:t>
      </w:r>
    </w:p>
    <w:p w14:paraId="7A698226"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Compare with previous engagement strategies: The council can compare the results of the new approaches with the results of previous engagement strategies to determine whether they are more </w:t>
      </w:r>
      <w:proofErr w:type="gramStart"/>
      <w:r w:rsidRPr="005E1F16">
        <w:rPr>
          <w:rFonts w:ascii="Times New Roman" w:hAnsi="Times New Roman" w:cs="Times New Roman"/>
          <w:sz w:val="24"/>
          <w:szCs w:val="24"/>
        </w:rPr>
        <w:t>effective(</w:t>
      </w:r>
      <w:proofErr w:type="spellStart"/>
      <w:proofErr w:type="gramEnd"/>
      <w:r w:rsidRPr="005E1F16">
        <w:rPr>
          <w:rFonts w:ascii="Times New Roman" w:hAnsi="Times New Roman" w:cs="Times New Roman"/>
          <w:sz w:val="24"/>
          <w:szCs w:val="24"/>
        </w:rPr>
        <w:t>Moallemi</w:t>
      </w:r>
      <w:proofErr w:type="spellEnd"/>
      <w:r w:rsidRPr="005E1F16">
        <w:rPr>
          <w:rFonts w:ascii="Times New Roman" w:hAnsi="Times New Roman" w:cs="Times New Roman"/>
          <w:sz w:val="24"/>
          <w:szCs w:val="24"/>
        </w:rPr>
        <w:t xml:space="preserve"> et al, 2020). This will help the council to determine whether the new approaches are worth the investment.</w:t>
      </w:r>
    </w:p>
    <w:p w14:paraId="3CB2D694" w14:textId="77777777" w:rsidR="00F20275" w:rsidRPr="005E1F16" w:rsidRDefault="00326729" w:rsidP="005E1F16">
      <w:pPr>
        <w:pStyle w:val="Heading1"/>
      </w:pPr>
      <w:bookmarkStart w:id="6" w:name="_Toc129885275"/>
      <w:r w:rsidRPr="005E1F16">
        <w:t>Conclusion</w:t>
      </w:r>
      <w:bookmarkEnd w:id="6"/>
    </w:p>
    <w:p w14:paraId="33DEBF76" w14:textId="77777777" w:rsidR="00F20275" w:rsidRPr="005E1F16" w:rsidRDefault="00A923D9" w:rsidP="005E1F16">
      <w:pPr>
        <w:pStyle w:val="Normal1"/>
        <w:spacing w:before="240" w:after="240" w:line="360" w:lineRule="auto"/>
        <w:jc w:val="both"/>
        <w:rPr>
          <w:rFonts w:ascii="Times New Roman" w:hAnsi="Times New Roman" w:cs="Times New Roman"/>
          <w:b/>
          <w:sz w:val="24"/>
          <w:szCs w:val="24"/>
        </w:rPr>
      </w:pPr>
      <w:r w:rsidRPr="005E1F16">
        <w:rPr>
          <w:rFonts w:ascii="Times New Roman" w:hAnsi="Times New Roman" w:cs="Times New Roman"/>
          <w:sz w:val="24"/>
          <w:szCs w:val="24"/>
        </w:rPr>
        <w:t xml:space="preserve">In conclusion, based on the results of monitoring and evaluation activities, the council should review and adjust the strategies as necessary. This will help to ensure that the council is continuously improving its community engagement efforts and meeting the needs of the community. The research </w:t>
      </w:r>
      <w:proofErr w:type="gramStart"/>
      <w:r w:rsidRPr="005E1F16">
        <w:rPr>
          <w:rFonts w:ascii="Times New Roman" w:hAnsi="Times New Roman" w:cs="Times New Roman"/>
          <w:sz w:val="24"/>
          <w:szCs w:val="24"/>
        </w:rPr>
        <w:t>can also</w:t>
      </w:r>
      <w:proofErr w:type="gramEnd"/>
      <w:r w:rsidRPr="005E1F16">
        <w:rPr>
          <w:rFonts w:ascii="Times New Roman" w:hAnsi="Times New Roman" w:cs="Times New Roman"/>
          <w:sz w:val="24"/>
          <w:szCs w:val="24"/>
        </w:rPr>
        <w:t xml:space="preserve"> </w:t>
      </w:r>
      <w:proofErr w:type="spellStart"/>
      <w:r w:rsidRPr="005E1F16">
        <w:rPr>
          <w:rFonts w:ascii="Times New Roman" w:hAnsi="Times New Roman" w:cs="Times New Roman"/>
          <w:sz w:val="24"/>
          <w:szCs w:val="24"/>
        </w:rPr>
        <w:t>also</w:t>
      </w:r>
      <w:proofErr w:type="spellEnd"/>
      <w:r w:rsidRPr="005E1F16">
        <w:rPr>
          <w:rFonts w:ascii="Times New Roman" w:hAnsi="Times New Roman" w:cs="Times New Roman"/>
          <w:sz w:val="24"/>
          <w:szCs w:val="24"/>
        </w:rPr>
        <w:t xml:space="preserve"> be helpful for understanding the reflection of the researcher in order to improve the management of the council.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could adopt a co-creation approach by working with local community groups to develop solutions to local problems. While this approach may be effective for building trust with the community, there is evidence to suggest that more could be done to ensure that residents have a meaningful say in decision-making processes. The plan will be reviewed and updated on a regular basis to ensure that it remains relevant and effective. The council may need to allocate additional resources to ensure that the recommended strategies are successfully implemented. The council can provide training on best practices in community engagement, as well as on the use of technology tools to facilitate engagement. These partnerships will help to increase the reach and impact of the engagement activities. Community groups can provide valuable feedback on whether the approaches are meeting the needs of the community and whether they are effectively engaging </w:t>
      </w:r>
      <w:r w:rsidRPr="005E1F16">
        <w:rPr>
          <w:rFonts w:ascii="Times New Roman" w:hAnsi="Times New Roman" w:cs="Times New Roman"/>
          <w:sz w:val="24"/>
          <w:szCs w:val="24"/>
        </w:rPr>
        <w:lastRenderedPageBreak/>
        <w:t xml:space="preserve">with their members. </w:t>
      </w:r>
      <w:proofErr w:type="spellStart"/>
      <w:r w:rsidRPr="005E1F16">
        <w:rPr>
          <w:rFonts w:ascii="Times New Roman" w:hAnsi="Times New Roman" w:cs="Times New Roman"/>
          <w:sz w:val="24"/>
          <w:szCs w:val="24"/>
        </w:rPr>
        <w:t>Havering</w:t>
      </w:r>
      <w:proofErr w:type="spellEnd"/>
      <w:r w:rsidRPr="005E1F16">
        <w:rPr>
          <w:rFonts w:ascii="Times New Roman" w:hAnsi="Times New Roman" w:cs="Times New Roman"/>
          <w:sz w:val="24"/>
          <w:szCs w:val="24"/>
        </w:rPr>
        <w:t xml:space="preserve"> Council could adopt a community asset mapping approach to identify community resources that can be used to address local problems. While this approach may be effective for ensuring that the council is responsive to community needs, there is evidence to suggest that more could be done to ensure that the council is held accountable for its actions.</w:t>
      </w:r>
      <w:r w:rsidR="00326729" w:rsidRPr="005E1F16">
        <w:rPr>
          <w:rFonts w:ascii="Times New Roman" w:hAnsi="Times New Roman" w:cs="Times New Roman"/>
          <w:sz w:val="24"/>
          <w:szCs w:val="24"/>
        </w:rPr>
        <w:br w:type="page"/>
      </w:r>
    </w:p>
    <w:p w14:paraId="0363E797" w14:textId="77777777" w:rsidR="00F20275" w:rsidRPr="005E1F16" w:rsidRDefault="00326729" w:rsidP="005E1F16">
      <w:pPr>
        <w:pStyle w:val="Heading1"/>
      </w:pPr>
      <w:bookmarkStart w:id="7" w:name="_Toc129885276"/>
      <w:r w:rsidRPr="005E1F16">
        <w:lastRenderedPageBreak/>
        <w:t>References</w:t>
      </w:r>
      <w:bookmarkEnd w:id="7"/>
    </w:p>
    <w:p w14:paraId="2AB8378A"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proofErr w:type="spellStart"/>
      <w:r w:rsidRPr="005E1F16">
        <w:rPr>
          <w:rFonts w:ascii="Times New Roman" w:hAnsi="Times New Roman" w:cs="Times New Roman"/>
          <w:sz w:val="24"/>
          <w:szCs w:val="24"/>
        </w:rPr>
        <w:t>Agusdinata</w:t>
      </w:r>
      <w:proofErr w:type="spellEnd"/>
      <w:r w:rsidRPr="005E1F16">
        <w:rPr>
          <w:rFonts w:ascii="Times New Roman" w:hAnsi="Times New Roman" w:cs="Times New Roman"/>
          <w:sz w:val="24"/>
          <w:szCs w:val="24"/>
        </w:rPr>
        <w:t>, D.B., 2022. The role of universities in SDGs solution co-creation and implementation: a human-centered design and shared-action learning process. Sustainability Science, 17(4), pp.1589-1604.</w:t>
      </w:r>
    </w:p>
    <w:p w14:paraId="78377EFF"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Campbell, L.A., Harmon, M.J., Joyce, B.L. and Little, S.H., 2020. Quad Council Coalition community/public health nursing competencies: Building consensus through collaboration. Public Health Nursing, 37(1), pp.96-112.</w:t>
      </w:r>
    </w:p>
    <w:p w14:paraId="041002FD"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Haldane, V., </w:t>
      </w:r>
      <w:proofErr w:type="spellStart"/>
      <w:r w:rsidRPr="005E1F16">
        <w:rPr>
          <w:rFonts w:ascii="Times New Roman" w:hAnsi="Times New Roman" w:cs="Times New Roman"/>
          <w:sz w:val="24"/>
          <w:szCs w:val="24"/>
        </w:rPr>
        <w:t>Chuah</w:t>
      </w:r>
      <w:proofErr w:type="spellEnd"/>
      <w:r w:rsidRPr="005E1F16">
        <w:rPr>
          <w:rFonts w:ascii="Times New Roman" w:hAnsi="Times New Roman" w:cs="Times New Roman"/>
          <w:sz w:val="24"/>
          <w:szCs w:val="24"/>
        </w:rPr>
        <w:t xml:space="preserve">, F.L., Srivastava, A., Singh, S.R., Koh, G.C., Seng, C.K. and </w:t>
      </w:r>
      <w:proofErr w:type="spellStart"/>
      <w:r w:rsidRPr="005E1F16">
        <w:rPr>
          <w:rFonts w:ascii="Times New Roman" w:hAnsi="Times New Roman" w:cs="Times New Roman"/>
          <w:sz w:val="24"/>
          <w:szCs w:val="24"/>
        </w:rPr>
        <w:t>Legido</w:t>
      </w:r>
      <w:proofErr w:type="spellEnd"/>
      <w:r w:rsidRPr="005E1F16">
        <w:rPr>
          <w:rFonts w:ascii="Times New Roman" w:hAnsi="Times New Roman" w:cs="Times New Roman"/>
          <w:sz w:val="24"/>
          <w:szCs w:val="24"/>
        </w:rPr>
        <w:t xml:space="preserve">-Quigley, H., 2019. Community participation in health services development, implementation, and evaluation: A systematic review of empowerment, health, community, and process outcomes. </w:t>
      </w:r>
      <w:proofErr w:type="spellStart"/>
      <w:r w:rsidRPr="005E1F16">
        <w:rPr>
          <w:rFonts w:ascii="Times New Roman" w:hAnsi="Times New Roman" w:cs="Times New Roman"/>
          <w:sz w:val="24"/>
          <w:szCs w:val="24"/>
        </w:rPr>
        <w:t>PloS</w:t>
      </w:r>
      <w:proofErr w:type="spellEnd"/>
      <w:r w:rsidRPr="005E1F16">
        <w:rPr>
          <w:rFonts w:ascii="Times New Roman" w:hAnsi="Times New Roman" w:cs="Times New Roman"/>
          <w:sz w:val="24"/>
          <w:szCs w:val="24"/>
        </w:rPr>
        <w:t xml:space="preserve"> one, 14(5), p.e0216112.</w:t>
      </w:r>
    </w:p>
    <w:p w14:paraId="754F4B3F"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proofErr w:type="spellStart"/>
      <w:r w:rsidRPr="005E1F16">
        <w:rPr>
          <w:rFonts w:ascii="Times New Roman" w:hAnsi="Times New Roman" w:cs="Times New Roman"/>
          <w:sz w:val="24"/>
          <w:szCs w:val="24"/>
        </w:rPr>
        <w:t>Ladeiras</w:t>
      </w:r>
      <w:proofErr w:type="spellEnd"/>
      <w:r w:rsidRPr="005E1F16">
        <w:rPr>
          <w:rFonts w:ascii="Times New Roman" w:hAnsi="Times New Roman" w:cs="Times New Roman"/>
          <w:sz w:val="24"/>
          <w:szCs w:val="24"/>
        </w:rPr>
        <w:t xml:space="preserve">-Lopes, R., </w:t>
      </w:r>
      <w:proofErr w:type="spellStart"/>
      <w:r w:rsidRPr="005E1F16">
        <w:rPr>
          <w:rFonts w:ascii="Times New Roman" w:hAnsi="Times New Roman" w:cs="Times New Roman"/>
          <w:sz w:val="24"/>
          <w:szCs w:val="24"/>
        </w:rPr>
        <w:t>Baciu</w:t>
      </w:r>
      <w:proofErr w:type="spellEnd"/>
      <w:r w:rsidRPr="005E1F16">
        <w:rPr>
          <w:rFonts w:ascii="Times New Roman" w:hAnsi="Times New Roman" w:cs="Times New Roman"/>
          <w:sz w:val="24"/>
          <w:szCs w:val="24"/>
        </w:rPr>
        <w:t xml:space="preserve">, L., </w:t>
      </w:r>
      <w:proofErr w:type="spellStart"/>
      <w:r w:rsidRPr="005E1F16">
        <w:rPr>
          <w:rFonts w:ascii="Times New Roman" w:hAnsi="Times New Roman" w:cs="Times New Roman"/>
          <w:sz w:val="24"/>
          <w:szCs w:val="24"/>
        </w:rPr>
        <w:t>Grapsa</w:t>
      </w:r>
      <w:proofErr w:type="spellEnd"/>
      <w:r w:rsidRPr="005E1F16">
        <w:rPr>
          <w:rFonts w:ascii="Times New Roman" w:hAnsi="Times New Roman" w:cs="Times New Roman"/>
          <w:sz w:val="24"/>
          <w:szCs w:val="24"/>
        </w:rPr>
        <w:t xml:space="preserve">, J., Sohaib, A., Vidal-Perez, R., Bohm, A., </w:t>
      </w:r>
      <w:proofErr w:type="spellStart"/>
      <w:r w:rsidRPr="005E1F16">
        <w:rPr>
          <w:rFonts w:ascii="Times New Roman" w:hAnsi="Times New Roman" w:cs="Times New Roman"/>
          <w:sz w:val="24"/>
          <w:szCs w:val="24"/>
        </w:rPr>
        <w:t>Silvola</w:t>
      </w:r>
      <w:proofErr w:type="spellEnd"/>
      <w:r w:rsidRPr="005E1F16">
        <w:rPr>
          <w:rFonts w:ascii="Times New Roman" w:hAnsi="Times New Roman" w:cs="Times New Roman"/>
          <w:sz w:val="24"/>
          <w:szCs w:val="24"/>
        </w:rPr>
        <w:t xml:space="preserve">, H., Gimenez, M.R., </w:t>
      </w:r>
      <w:proofErr w:type="spellStart"/>
      <w:r w:rsidRPr="005E1F16">
        <w:rPr>
          <w:rFonts w:ascii="Times New Roman" w:hAnsi="Times New Roman" w:cs="Times New Roman"/>
          <w:sz w:val="24"/>
          <w:szCs w:val="24"/>
        </w:rPr>
        <w:t>Muscoli</w:t>
      </w:r>
      <w:proofErr w:type="spellEnd"/>
      <w:r w:rsidRPr="005E1F16">
        <w:rPr>
          <w:rFonts w:ascii="Times New Roman" w:hAnsi="Times New Roman" w:cs="Times New Roman"/>
          <w:sz w:val="24"/>
          <w:szCs w:val="24"/>
        </w:rPr>
        <w:t xml:space="preserve">, S., </w:t>
      </w:r>
      <w:proofErr w:type="spellStart"/>
      <w:r w:rsidRPr="005E1F16">
        <w:rPr>
          <w:rFonts w:ascii="Times New Roman" w:hAnsi="Times New Roman" w:cs="Times New Roman"/>
          <w:sz w:val="24"/>
          <w:szCs w:val="24"/>
        </w:rPr>
        <w:t>Wallner</w:t>
      </w:r>
      <w:proofErr w:type="spellEnd"/>
      <w:r w:rsidRPr="005E1F16">
        <w:rPr>
          <w:rFonts w:ascii="Times New Roman" w:hAnsi="Times New Roman" w:cs="Times New Roman"/>
          <w:sz w:val="24"/>
          <w:szCs w:val="24"/>
        </w:rPr>
        <w:t xml:space="preserve">, M. and </w:t>
      </w:r>
      <w:proofErr w:type="spellStart"/>
      <w:r w:rsidRPr="005E1F16">
        <w:rPr>
          <w:rFonts w:ascii="Times New Roman" w:hAnsi="Times New Roman" w:cs="Times New Roman"/>
          <w:sz w:val="24"/>
          <w:szCs w:val="24"/>
        </w:rPr>
        <w:t>Rakisheva</w:t>
      </w:r>
      <w:proofErr w:type="spellEnd"/>
      <w:r w:rsidRPr="005E1F16">
        <w:rPr>
          <w:rFonts w:ascii="Times New Roman" w:hAnsi="Times New Roman" w:cs="Times New Roman"/>
          <w:sz w:val="24"/>
          <w:szCs w:val="24"/>
        </w:rPr>
        <w:t>, A., 2020. Social media in cardiovascular medicine: a contemporary review. European Heart Journal-Digital Health, 1(1), pp.10-19.</w:t>
      </w:r>
    </w:p>
    <w:p w14:paraId="7E069796"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Li, S.H., Achilles, M.R., </w:t>
      </w:r>
      <w:proofErr w:type="spellStart"/>
      <w:r w:rsidRPr="005E1F16">
        <w:rPr>
          <w:rFonts w:ascii="Times New Roman" w:hAnsi="Times New Roman" w:cs="Times New Roman"/>
          <w:sz w:val="24"/>
          <w:szCs w:val="24"/>
        </w:rPr>
        <w:t>Subotic</w:t>
      </w:r>
      <w:proofErr w:type="spellEnd"/>
      <w:r w:rsidRPr="005E1F16">
        <w:rPr>
          <w:rFonts w:ascii="Times New Roman" w:hAnsi="Times New Roman" w:cs="Times New Roman"/>
          <w:sz w:val="24"/>
          <w:szCs w:val="24"/>
        </w:rPr>
        <w:t xml:space="preserve">-Kerry, M., Werner-Seidler, A., Newby, J.M., </w:t>
      </w:r>
      <w:proofErr w:type="spellStart"/>
      <w:r w:rsidRPr="005E1F16">
        <w:rPr>
          <w:rFonts w:ascii="Times New Roman" w:hAnsi="Times New Roman" w:cs="Times New Roman"/>
          <w:sz w:val="24"/>
          <w:szCs w:val="24"/>
        </w:rPr>
        <w:t>Batterham</w:t>
      </w:r>
      <w:proofErr w:type="spellEnd"/>
      <w:r w:rsidRPr="005E1F16">
        <w:rPr>
          <w:rFonts w:ascii="Times New Roman" w:hAnsi="Times New Roman" w:cs="Times New Roman"/>
          <w:sz w:val="24"/>
          <w:szCs w:val="24"/>
        </w:rPr>
        <w:t xml:space="preserve">, P.J., Christensen, H., Mackinnon, A.J. and O’Dea, B., 2022. Protocol for a </w:t>
      </w:r>
      <w:proofErr w:type="spellStart"/>
      <w:r w:rsidRPr="005E1F16">
        <w:rPr>
          <w:rFonts w:ascii="Times New Roman" w:hAnsi="Times New Roman" w:cs="Times New Roman"/>
          <w:sz w:val="24"/>
          <w:szCs w:val="24"/>
        </w:rPr>
        <w:t>randomised</w:t>
      </w:r>
      <w:proofErr w:type="spellEnd"/>
      <w:r w:rsidRPr="005E1F16">
        <w:rPr>
          <w:rFonts w:ascii="Times New Roman" w:hAnsi="Times New Roman" w:cs="Times New Roman"/>
          <w:sz w:val="24"/>
          <w:szCs w:val="24"/>
        </w:rPr>
        <w:t xml:space="preserve"> controlled trial evaluating the effectiveness of a CBT-based smartphone application for improving mental health outcomes in adolescents: the </w:t>
      </w:r>
      <w:proofErr w:type="spellStart"/>
      <w:r w:rsidRPr="005E1F16">
        <w:rPr>
          <w:rFonts w:ascii="Times New Roman" w:hAnsi="Times New Roman" w:cs="Times New Roman"/>
          <w:sz w:val="24"/>
          <w:szCs w:val="24"/>
        </w:rPr>
        <w:t>MobiliseMe</w:t>
      </w:r>
      <w:proofErr w:type="spellEnd"/>
      <w:r w:rsidRPr="005E1F16">
        <w:rPr>
          <w:rFonts w:ascii="Times New Roman" w:hAnsi="Times New Roman" w:cs="Times New Roman"/>
          <w:sz w:val="24"/>
          <w:szCs w:val="24"/>
        </w:rPr>
        <w:t xml:space="preserve"> study. BMC psychiatry, 22(1), pp.1-15.</w:t>
      </w:r>
    </w:p>
    <w:p w14:paraId="5DF23E51"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r w:rsidRPr="005E1F16">
        <w:rPr>
          <w:rFonts w:ascii="Times New Roman" w:hAnsi="Times New Roman" w:cs="Times New Roman"/>
          <w:sz w:val="24"/>
          <w:szCs w:val="24"/>
        </w:rPr>
        <w:t xml:space="preserve">McNamara, K.E., Clissold, R., Westoby, R., Piggott-McKellar, A.E., Kumar, R., Clarke, T., </w:t>
      </w:r>
      <w:proofErr w:type="spellStart"/>
      <w:r w:rsidRPr="005E1F16">
        <w:rPr>
          <w:rFonts w:ascii="Times New Roman" w:hAnsi="Times New Roman" w:cs="Times New Roman"/>
          <w:sz w:val="24"/>
          <w:szCs w:val="24"/>
        </w:rPr>
        <w:t>Namoumou</w:t>
      </w:r>
      <w:proofErr w:type="spellEnd"/>
      <w:r w:rsidRPr="005E1F16">
        <w:rPr>
          <w:rFonts w:ascii="Times New Roman" w:hAnsi="Times New Roman" w:cs="Times New Roman"/>
          <w:sz w:val="24"/>
          <w:szCs w:val="24"/>
        </w:rPr>
        <w:t xml:space="preserve">, F., </w:t>
      </w:r>
      <w:proofErr w:type="spellStart"/>
      <w:r w:rsidRPr="005E1F16">
        <w:rPr>
          <w:rFonts w:ascii="Times New Roman" w:hAnsi="Times New Roman" w:cs="Times New Roman"/>
          <w:sz w:val="24"/>
          <w:szCs w:val="24"/>
        </w:rPr>
        <w:t>Areki</w:t>
      </w:r>
      <w:proofErr w:type="spellEnd"/>
      <w:r w:rsidRPr="005E1F16">
        <w:rPr>
          <w:rFonts w:ascii="Times New Roman" w:hAnsi="Times New Roman" w:cs="Times New Roman"/>
          <w:sz w:val="24"/>
          <w:szCs w:val="24"/>
        </w:rPr>
        <w:t>, F., Joseph, E., Warrick, O. and Nunn, P.D., 2020. An assessment of community-based adaptation initiatives in the Pacific Islands. Nature Climate Change, 10(7), pp.628-639.</w:t>
      </w:r>
    </w:p>
    <w:p w14:paraId="314D87C3"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proofErr w:type="spellStart"/>
      <w:r w:rsidRPr="005E1F16">
        <w:rPr>
          <w:rFonts w:ascii="Times New Roman" w:hAnsi="Times New Roman" w:cs="Times New Roman"/>
          <w:sz w:val="24"/>
          <w:szCs w:val="24"/>
        </w:rPr>
        <w:t>Minoi</w:t>
      </w:r>
      <w:proofErr w:type="spellEnd"/>
      <w:r w:rsidRPr="005E1F16">
        <w:rPr>
          <w:rFonts w:ascii="Times New Roman" w:hAnsi="Times New Roman" w:cs="Times New Roman"/>
          <w:sz w:val="24"/>
          <w:szCs w:val="24"/>
        </w:rPr>
        <w:t xml:space="preserve">, J.L., Mohamad, F., Arnab, S., Phoa, J., </w:t>
      </w:r>
      <w:proofErr w:type="spellStart"/>
      <w:r w:rsidRPr="005E1F16">
        <w:rPr>
          <w:rFonts w:ascii="Times New Roman" w:hAnsi="Times New Roman" w:cs="Times New Roman"/>
          <w:sz w:val="24"/>
          <w:szCs w:val="24"/>
        </w:rPr>
        <w:t>Morini</w:t>
      </w:r>
      <w:proofErr w:type="spellEnd"/>
      <w:r w:rsidRPr="005E1F16">
        <w:rPr>
          <w:rFonts w:ascii="Times New Roman" w:hAnsi="Times New Roman" w:cs="Times New Roman"/>
          <w:sz w:val="24"/>
          <w:szCs w:val="24"/>
        </w:rPr>
        <w:t>, L., Beaufoy, J., Lim, T. and Clarke, S., 2019. A Participatory Co-Creation Model to Drive Community Engagement in Rural Indigenous Schools: A Case Study in Sarawak. Electronic Journal of e-Learning, 17(3), pp.173-183.</w:t>
      </w:r>
    </w:p>
    <w:p w14:paraId="065E119F"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proofErr w:type="spellStart"/>
      <w:r w:rsidRPr="005E1F16">
        <w:rPr>
          <w:rFonts w:ascii="Times New Roman" w:hAnsi="Times New Roman" w:cs="Times New Roman"/>
          <w:sz w:val="24"/>
          <w:szCs w:val="24"/>
        </w:rPr>
        <w:lastRenderedPageBreak/>
        <w:t>Moallemi</w:t>
      </w:r>
      <w:proofErr w:type="spellEnd"/>
      <w:r w:rsidRPr="005E1F16">
        <w:rPr>
          <w:rFonts w:ascii="Times New Roman" w:hAnsi="Times New Roman" w:cs="Times New Roman"/>
          <w:sz w:val="24"/>
          <w:szCs w:val="24"/>
        </w:rPr>
        <w:t xml:space="preserve">, E.A., </w:t>
      </w:r>
      <w:proofErr w:type="spellStart"/>
      <w:r w:rsidRPr="005E1F16">
        <w:rPr>
          <w:rFonts w:ascii="Times New Roman" w:hAnsi="Times New Roman" w:cs="Times New Roman"/>
          <w:sz w:val="24"/>
          <w:szCs w:val="24"/>
        </w:rPr>
        <w:t>Malekpour</w:t>
      </w:r>
      <w:proofErr w:type="spellEnd"/>
      <w:r w:rsidRPr="005E1F16">
        <w:rPr>
          <w:rFonts w:ascii="Times New Roman" w:hAnsi="Times New Roman" w:cs="Times New Roman"/>
          <w:sz w:val="24"/>
          <w:szCs w:val="24"/>
        </w:rPr>
        <w:t xml:space="preserve">, S., </w:t>
      </w:r>
      <w:proofErr w:type="spellStart"/>
      <w:r w:rsidRPr="005E1F16">
        <w:rPr>
          <w:rFonts w:ascii="Times New Roman" w:hAnsi="Times New Roman" w:cs="Times New Roman"/>
          <w:sz w:val="24"/>
          <w:szCs w:val="24"/>
        </w:rPr>
        <w:t>Hadjikakou</w:t>
      </w:r>
      <w:proofErr w:type="spellEnd"/>
      <w:r w:rsidRPr="005E1F16">
        <w:rPr>
          <w:rFonts w:ascii="Times New Roman" w:hAnsi="Times New Roman" w:cs="Times New Roman"/>
          <w:sz w:val="24"/>
          <w:szCs w:val="24"/>
        </w:rPr>
        <w:t xml:space="preserve">, M., Raven, R., </w:t>
      </w:r>
      <w:proofErr w:type="spellStart"/>
      <w:r w:rsidRPr="005E1F16">
        <w:rPr>
          <w:rFonts w:ascii="Times New Roman" w:hAnsi="Times New Roman" w:cs="Times New Roman"/>
          <w:sz w:val="24"/>
          <w:szCs w:val="24"/>
        </w:rPr>
        <w:t>Szetey</w:t>
      </w:r>
      <w:proofErr w:type="spellEnd"/>
      <w:r w:rsidRPr="005E1F16">
        <w:rPr>
          <w:rFonts w:ascii="Times New Roman" w:hAnsi="Times New Roman" w:cs="Times New Roman"/>
          <w:sz w:val="24"/>
          <w:szCs w:val="24"/>
        </w:rPr>
        <w:t xml:space="preserve">, K., </w:t>
      </w:r>
      <w:proofErr w:type="spellStart"/>
      <w:r w:rsidRPr="005E1F16">
        <w:rPr>
          <w:rFonts w:ascii="Times New Roman" w:hAnsi="Times New Roman" w:cs="Times New Roman"/>
          <w:sz w:val="24"/>
          <w:szCs w:val="24"/>
        </w:rPr>
        <w:t>Ningrum</w:t>
      </w:r>
      <w:proofErr w:type="spellEnd"/>
      <w:r w:rsidRPr="005E1F16">
        <w:rPr>
          <w:rFonts w:ascii="Times New Roman" w:hAnsi="Times New Roman" w:cs="Times New Roman"/>
          <w:sz w:val="24"/>
          <w:szCs w:val="24"/>
        </w:rPr>
        <w:t xml:space="preserve">, D., </w:t>
      </w:r>
      <w:proofErr w:type="spellStart"/>
      <w:r w:rsidRPr="005E1F16">
        <w:rPr>
          <w:rFonts w:ascii="Times New Roman" w:hAnsi="Times New Roman" w:cs="Times New Roman"/>
          <w:sz w:val="24"/>
          <w:szCs w:val="24"/>
        </w:rPr>
        <w:t>Dhiaulhaq</w:t>
      </w:r>
      <w:proofErr w:type="spellEnd"/>
      <w:r w:rsidRPr="005E1F16">
        <w:rPr>
          <w:rFonts w:ascii="Times New Roman" w:hAnsi="Times New Roman" w:cs="Times New Roman"/>
          <w:sz w:val="24"/>
          <w:szCs w:val="24"/>
        </w:rPr>
        <w:t>, A. and Bryan, B.A., 2020. Achieving the sustainable development goals requires transdisciplinary innovation at the local scale. One Earth, 3(3), pp.300-313.</w:t>
      </w:r>
    </w:p>
    <w:p w14:paraId="61D6A2B4"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proofErr w:type="spellStart"/>
      <w:r w:rsidRPr="005E1F16">
        <w:rPr>
          <w:rFonts w:ascii="Times New Roman" w:hAnsi="Times New Roman" w:cs="Times New Roman"/>
          <w:sz w:val="24"/>
          <w:szCs w:val="24"/>
        </w:rPr>
        <w:t>Strully</w:t>
      </w:r>
      <w:proofErr w:type="spellEnd"/>
      <w:r w:rsidRPr="005E1F16">
        <w:rPr>
          <w:rFonts w:ascii="Times New Roman" w:hAnsi="Times New Roman" w:cs="Times New Roman"/>
          <w:sz w:val="24"/>
          <w:szCs w:val="24"/>
        </w:rPr>
        <w:t xml:space="preserve">, K.W., Harrison, T.M., Pardo, T.A. and </w:t>
      </w:r>
      <w:proofErr w:type="spellStart"/>
      <w:r w:rsidRPr="005E1F16">
        <w:rPr>
          <w:rFonts w:ascii="Times New Roman" w:hAnsi="Times New Roman" w:cs="Times New Roman"/>
          <w:sz w:val="24"/>
          <w:szCs w:val="24"/>
        </w:rPr>
        <w:t>Carleo</w:t>
      </w:r>
      <w:proofErr w:type="spellEnd"/>
      <w:r w:rsidRPr="005E1F16">
        <w:rPr>
          <w:rFonts w:ascii="Times New Roman" w:hAnsi="Times New Roman" w:cs="Times New Roman"/>
          <w:sz w:val="24"/>
          <w:szCs w:val="24"/>
        </w:rPr>
        <w:t>-Evangelist, J., 2021. Strategies to address COVID-19 vaccine hesitancy and mitigate health disparities in minority populations. Frontiers in Public Health, 9, p.645268.</w:t>
      </w:r>
    </w:p>
    <w:p w14:paraId="022CB819" w14:textId="77777777" w:rsidR="00F20275" w:rsidRPr="005E1F16" w:rsidRDefault="00326729" w:rsidP="005E1F16">
      <w:pPr>
        <w:pStyle w:val="Normal1"/>
        <w:spacing w:before="240" w:after="240" w:line="360" w:lineRule="auto"/>
        <w:jc w:val="both"/>
        <w:rPr>
          <w:rFonts w:ascii="Times New Roman" w:hAnsi="Times New Roman" w:cs="Times New Roman"/>
          <w:sz w:val="24"/>
          <w:szCs w:val="24"/>
        </w:rPr>
      </w:pPr>
      <w:proofErr w:type="spellStart"/>
      <w:r w:rsidRPr="005E1F16">
        <w:rPr>
          <w:rFonts w:ascii="Times New Roman" w:hAnsi="Times New Roman" w:cs="Times New Roman"/>
          <w:sz w:val="24"/>
          <w:szCs w:val="24"/>
        </w:rPr>
        <w:t>Tauschisnki</w:t>
      </w:r>
      <w:proofErr w:type="spellEnd"/>
      <w:r w:rsidRPr="005E1F16">
        <w:rPr>
          <w:rFonts w:ascii="Times New Roman" w:hAnsi="Times New Roman" w:cs="Times New Roman"/>
          <w:sz w:val="24"/>
          <w:szCs w:val="24"/>
        </w:rPr>
        <w:t>, J., Wilkins, Z. and Harries, R., 2021. A Civic Strength Index for London.</w:t>
      </w:r>
    </w:p>
    <w:sectPr w:rsidR="00F20275" w:rsidRPr="005E1F16" w:rsidSect="00A923D9">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7F611" w14:textId="77777777" w:rsidR="00326729" w:rsidRDefault="00326729" w:rsidP="00F20275">
      <w:pPr>
        <w:spacing w:line="240" w:lineRule="auto"/>
      </w:pPr>
      <w:r>
        <w:separator/>
      </w:r>
    </w:p>
  </w:endnote>
  <w:endnote w:type="continuationSeparator" w:id="0">
    <w:p w14:paraId="0D149E26" w14:textId="77777777" w:rsidR="00326729" w:rsidRDefault="00326729" w:rsidP="00F202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423248438"/>
      <w:docPartObj>
        <w:docPartGallery w:val="Page Numbers (Bottom of Page)"/>
        <w:docPartUnique/>
      </w:docPartObj>
    </w:sdtPr>
    <w:sdtEndPr/>
    <w:sdtContent>
      <w:p w14:paraId="0F071363" w14:textId="77777777" w:rsidR="00A923D9" w:rsidRPr="00A923D9" w:rsidRDefault="00A923D9">
        <w:pPr>
          <w:pStyle w:val="Footer"/>
          <w:jc w:val="right"/>
          <w:rPr>
            <w:rFonts w:ascii="Times New Roman" w:hAnsi="Times New Roman" w:cs="Times New Roman"/>
            <w:sz w:val="20"/>
            <w:szCs w:val="20"/>
          </w:rPr>
        </w:pPr>
        <w:r w:rsidRPr="00A923D9">
          <w:rPr>
            <w:rFonts w:ascii="Times New Roman" w:hAnsi="Times New Roman" w:cs="Times New Roman"/>
            <w:sz w:val="20"/>
            <w:szCs w:val="20"/>
          </w:rPr>
          <w:fldChar w:fldCharType="begin"/>
        </w:r>
        <w:r w:rsidRPr="00A923D9">
          <w:rPr>
            <w:rFonts w:ascii="Times New Roman" w:hAnsi="Times New Roman" w:cs="Times New Roman"/>
            <w:sz w:val="20"/>
            <w:szCs w:val="20"/>
          </w:rPr>
          <w:instrText xml:space="preserve"> PAGE   \* MERGEFORMAT </w:instrText>
        </w:r>
        <w:r w:rsidRPr="00A923D9">
          <w:rPr>
            <w:rFonts w:ascii="Times New Roman" w:hAnsi="Times New Roman" w:cs="Times New Roman"/>
            <w:sz w:val="20"/>
            <w:szCs w:val="20"/>
          </w:rPr>
          <w:fldChar w:fldCharType="separate"/>
        </w:r>
        <w:r w:rsidR="005E1F16">
          <w:rPr>
            <w:rFonts w:ascii="Times New Roman" w:hAnsi="Times New Roman" w:cs="Times New Roman"/>
            <w:noProof/>
            <w:sz w:val="20"/>
            <w:szCs w:val="20"/>
          </w:rPr>
          <w:t>6</w:t>
        </w:r>
        <w:r w:rsidRPr="00A923D9">
          <w:rPr>
            <w:rFonts w:ascii="Times New Roman" w:hAnsi="Times New Roman" w:cs="Times New Roman"/>
            <w:sz w:val="20"/>
            <w:szCs w:val="20"/>
          </w:rPr>
          <w:fldChar w:fldCharType="end"/>
        </w:r>
      </w:p>
    </w:sdtContent>
  </w:sdt>
  <w:p w14:paraId="1D7F7922" w14:textId="77777777" w:rsidR="00A923D9" w:rsidRDefault="00A92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41958" w14:textId="77777777" w:rsidR="00326729" w:rsidRDefault="00326729" w:rsidP="00F20275">
      <w:pPr>
        <w:spacing w:line="240" w:lineRule="auto"/>
      </w:pPr>
      <w:r>
        <w:separator/>
      </w:r>
    </w:p>
  </w:footnote>
  <w:footnote w:type="continuationSeparator" w:id="0">
    <w:p w14:paraId="71EC91A7" w14:textId="77777777" w:rsidR="00326729" w:rsidRDefault="00326729" w:rsidP="00F202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275"/>
    <w:rsid w:val="00326729"/>
    <w:rsid w:val="005E1F16"/>
    <w:rsid w:val="00751885"/>
    <w:rsid w:val="0076251E"/>
    <w:rsid w:val="00A923D9"/>
    <w:rsid w:val="00F20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E28C1"/>
  <w15:docId w15:val="{00561D94-261B-40C0-8F2C-F0DF683EF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autoRedefine/>
    <w:rsid w:val="00A923D9"/>
    <w:pPr>
      <w:keepNext/>
      <w:keepLines/>
      <w:spacing w:before="400" w:after="120"/>
      <w:outlineLvl w:val="0"/>
    </w:pPr>
    <w:rPr>
      <w:rFonts w:ascii="Times New Roman" w:hAnsi="Times New Roman"/>
      <w:b/>
      <w:sz w:val="28"/>
      <w:szCs w:val="40"/>
    </w:rPr>
  </w:style>
  <w:style w:type="paragraph" w:styleId="Heading2">
    <w:name w:val="heading 2"/>
    <w:basedOn w:val="Normal1"/>
    <w:next w:val="Normal1"/>
    <w:autoRedefine/>
    <w:rsid w:val="005E1F16"/>
    <w:pPr>
      <w:keepNext/>
      <w:keepLines/>
      <w:spacing w:before="360" w:after="120"/>
      <w:outlineLvl w:val="1"/>
    </w:pPr>
    <w:rPr>
      <w:rFonts w:ascii="Times New Roman" w:hAnsi="Times New Roman"/>
      <w:b/>
      <w:sz w:val="26"/>
      <w:szCs w:val="32"/>
    </w:rPr>
  </w:style>
  <w:style w:type="paragraph" w:styleId="Heading3">
    <w:name w:val="heading 3"/>
    <w:basedOn w:val="Normal1"/>
    <w:next w:val="Normal1"/>
    <w:rsid w:val="00F20275"/>
    <w:pPr>
      <w:keepNext/>
      <w:keepLines/>
      <w:spacing w:before="320" w:after="80"/>
      <w:outlineLvl w:val="2"/>
    </w:pPr>
    <w:rPr>
      <w:color w:val="434343"/>
      <w:sz w:val="28"/>
      <w:szCs w:val="28"/>
    </w:rPr>
  </w:style>
  <w:style w:type="paragraph" w:styleId="Heading4">
    <w:name w:val="heading 4"/>
    <w:basedOn w:val="Normal1"/>
    <w:next w:val="Normal1"/>
    <w:rsid w:val="00F20275"/>
    <w:pPr>
      <w:keepNext/>
      <w:keepLines/>
      <w:spacing w:before="280" w:after="80"/>
      <w:outlineLvl w:val="3"/>
    </w:pPr>
    <w:rPr>
      <w:color w:val="666666"/>
      <w:sz w:val="24"/>
      <w:szCs w:val="24"/>
    </w:rPr>
  </w:style>
  <w:style w:type="paragraph" w:styleId="Heading5">
    <w:name w:val="heading 5"/>
    <w:basedOn w:val="Normal1"/>
    <w:next w:val="Normal1"/>
    <w:rsid w:val="00F20275"/>
    <w:pPr>
      <w:keepNext/>
      <w:keepLines/>
      <w:spacing w:before="240" w:after="80"/>
      <w:outlineLvl w:val="4"/>
    </w:pPr>
    <w:rPr>
      <w:color w:val="666666"/>
    </w:rPr>
  </w:style>
  <w:style w:type="paragraph" w:styleId="Heading6">
    <w:name w:val="heading 6"/>
    <w:basedOn w:val="Normal1"/>
    <w:next w:val="Normal1"/>
    <w:rsid w:val="00F2027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20275"/>
  </w:style>
  <w:style w:type="paragraph" w:styleId="Title">
    <w:name w:val="Title"/>
    <w:basedOn w:val="Normal1"/>
    <w:next w:val="Normal1"/>
    <w:link w:val="TitleChar"/>
    <w:qFormat/>
    <w:rsid w:val="00F20275"/>
    <w:pPr>
      <w:keepNext/>
      <w:keepLines/>
      <w:spacing w:after="60"/>
    </w:pPr>
    <w:rPr>
      <w:sz w:val="52"/>
      <w:szCs w:val="52"/>
    </w:rPr>
  </w:style>
  <w:style w:type="paragraph" w:styleId="Subtitle">
    <w:name w:val="Subtitle"/>
    <w:basedOn w:val="Normal1"/>
    <w:next w:val="Normal1"/>
    <w:rsid w:val="00F20275"/>
    <w:pPr>
      <w:keepNext/>
      <w:keepLines/>
      <w:spacing w:after="320"/>
    </w:pPr>
    <w:rPr>
      <w:color w:val="666666"/>
      <w:sz w:val="30"/>
      <w:szCs w:val="30"/>
    </w:rPr>
  </w:style>
  <w:style w:type="paragraph" w:styleId="Header">
    <w:name w:val="header"/>
    <w:basedOn w:val="Normal"/>
    <w:link w:val="HeaderChar"/>
    <w:uiPriority w:val="99"/>
    <w:semiHidden/>
    <w:unhideWhenUsed/>
    <w:rsid w:val="00A923D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923D9"/>
  </w:style>
  <w:style w:type="paragraph" w:styleId="Footer">
    <w:name w:val="footer"/>
    <w:basedOn w:val="Normal"/>
    <w:link w:val="FooterChar"/>
    <w:uiPriority w:val="99"/>
    <w:unhideWhenUsed/>
    <w:rsid w:val="00A923D9"/>
    <w:pPr>
      <w:tabs>
        <w:tab w:val="center" w:pos="4680"/>
        <w:tab w:val="right" w:pos="9360"/>
      </w:tabs>
      <w:spacing w:line="240" w:lineRule="auto"/>
    </w:pPr>
  </w:style>
  <w:style w:type="character" w:customStyle="1" w:styleId="FooterChar">
    <w:name w:val="Footer Char"/>
    <w:basedOn w:val="DefaultParagraphFont"/>
    <w:link w:val="Footer"/>
    <w:uiPriority w:val="99"/>
    <w:rsid w:val="00A923D9"/>
  </w:style>
  <w:style w:type="paragraph" w:styleId="TOCHeading">
    <w:name w:val="TOC Heading"/>
    <w:basedOn w:val="Heading1"/>
    <w:next w:val="Normal"/>
    <w:uiPriority w:val="39"/>
    <w:semiHidden/>
    <w:unhideWhenUsed/>
    <w:qFormat/>
    <w:rsid w:val="005E1F16"/>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5E1F16"/>
    <w:pPr>
      <w:spacing w:after="100"/>
    </w:pPr>
  </w:style>
  <w:style w:type="paragraph" w:styleId="TOC2">
    <w:name w:val="toc 2"/>
    <w:basedOn w:val="Normal"/>
    <w:next w:val="Normal"/>
    <w:autoRedefine/>
    <w:uiPriority w:val="39"/>
    <w:unhideWhenUsed/>
    <w:rsid w:val="005E1F16"/>
    <w:pPr>
      <w:spacing w:after="100"/>
      <w:ind w:left="220"/>
    </w:pPr>
  </w:style>
  <w:style w:type="character" w:styleId="Hyperlink">
    <w:name w:val="Hyperlink"/>
    <w:basedOn w:val="DefaultParagraphFont"/>
    <w:uiPriority w:val="99"/>
    <w:unhideWhenUsed/>
    <w:rsid w:val="005E1F16"/>
    <w:rPr>
      <w:color w:val="0000FF" w:themeColor="hyperlink"/>
      <w:u w:val="single"/>
    </w:rPr>
  </w:style>
  <w:style w:type="paragraph" w:styleId="BalloonText">
    <w:name w:val="Balloon Text"/>
    <w:basedOn w:val="Normal"/>
    <w:link w:val="BalloonTextChar"/>
    <w:uiPriority w:val="99"/>
    <w:semiHidden/>
    <w:unhideWhenUsed/>
    <w:rsid w:val="005E1F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F16"/>
    <w:rPr>
      <w:rFonts w:ascii="Tahoma" w:hAnsi="Tahoma" w:cs="Tahoma"/>
      <w:sz w:val="16"/>
      <w:szCs w:val="16"/>
    </w:rPr>
  </w:style>
  <w:style w:type="character" w:customStyle="1" w:styleId="TitleChar">
    <w:name w:val="Title Char"/>
    <w:basedOn w:val="DefaultParagraphFont"/>
    <w:link w:val="Title"/>
    <w:rsid w:val="0076251E"/>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066202">
      <w:bodyDiv w:val="1"/>
      <w:marLeft w:val="0"/>
      <w:marRight w:val="0"/>
      <w:marTop w:val="0"/>
      <w:marBottom w:val="0"/>
      <w:divBdr>
        <w:top w:val="none" w:sz="0" w:space="0" w:color="auto"/>
        <w:left w:val="none" w:sz="0" w:space="0" w:color="auto"/>
        <w:bottom w:val="none" w:sz="0" w:space="0" w:color="auto"/>
        <w:right w:val="none" w:sz="0" w:space="0" w:color="auto"/>
      </w:divBdr>
    </w:div>
    <w:div w:id="709770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1DD9B-E650-4081-8959-3EDF18F6F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2671</Words>
  <Characters>15225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 Maria Petrache</dc:creator>
  <cp:lastModifiedBy>Ramona Maria Petrache</cp:lastModifiedBy>
  <cp:revision>3</cp:revision>
  <dcterms:created xsi:type="dcterms:W3CDTF">2023-03-28T14:39:00Z</dcterms:created>
  <dcterms:modified xsi:type="dcterms:W3CDTF">2023-03-28T14:55:00Z</dcterms:modified>
</cp:coreProperties>
</file>