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B78FD" w14:textId="3594D4D2" w:rsidR="00287DEB" w:rsidRPr="00C83203" w:rsidRDefault="00287DEB" w:rsidP="00C83203">
      <w:pPr>
        <w:jc w:val="center"/>
        <w:rPr>
          <w:sz w:val="44"/>
          <w:szCs w:val="44"/>
        </w:rPr>
      </w:pPr>
      <w:r w:rsidRPr="00C83203">
        <w:rPr>
          <w:sz w:val="44"/>
          <w:szCs w:val="44"/>
        </w:rPr>
        <w:t>Environmental analysis of an industry</w:t>
      </w:r>
    </w:p>
    <w:p w14:paraId="29B53C81" w14:textId="47858ADC" w:rsidR="00287DEB" w:rsidRPr="00C83203" w:rsidRDefault="00287DEB" w:rsidP="00C83203">
      <w:pPr>
        <w:jc w:val="center"/>
        <w:rPr>
          <w:sz w:val="44"/>
          <w:szCs w:val="44"/>
        </w:rPr>
      </w:pPr>
      <w:r w:rsidRPr="00C83203">
        <w:rPr>
          <w:sz w:val="44"/>
          <w:szCs w:val="44"/>
        </w:rPr>
        <w:t>Assignment 1</w:t>
      </w:r>
    </w:p>
    <w:p w14:paraId="692CE214" w14:textId="79EA0708" w:rsidR="00287DEB" w:rsidRDefault="00287DEB" w:rsidP="00C83203">
      <w:pPr>
        <w:jc w:val="center"/>
      </w:pPr>
    </w:p>
    <w:p w14:paraId="221CC215" w14:textId="3EDDF5B0" w:rsidR="00287DEB" w:rsidRDefault="00287DEB" w:rsidP="00C83203">
      <w:pPr>
        <w:jc w:val="center"/>
      </w:pPr>
    </w:p>
    <w:p w14:paraId="642735D4" w14:textId="4F48FE80" w:rsidR="00C83203" w:rsidRDefault="00C83203" w:rsidP="00C83203">
      <w:pPr>
        <w:jc w:val="center"/>
      </w:pPr>
    </w:p>
    <w:p w14:paraId="3E585156" w14:textId="5D352C1A" w:rsidR="00C83203" w:rsidRDefault="00C83203" w:rsidP="00C83203">
      <w:pPr>
        <w:jc w:val="center"/>
      </w:pPr>
    </w:p>
    <w:p w14:paraId="5BE9D5CF" w14:textId="34BC4369" w:rsidR="00C83203" w:rsidRDefault="00C83203" w:rsidP="00C83203">
      <w:pPr>
        <w:jc w:val="center"/>
      </w:pPr>
    </w:p>
    <w:p w14:paraId="3572EB7C" w14:textId="14C0D3CF" w:rsidR="00C83203" w:rsidRDefault="00C83203" w:rsidP="00C83203">
      <w:pPr>
        <w:jc w:val="center"/>
      </w:pPr>
    </w:p>
    <w:p w14:paraId="448A64EC" w14:textId="0C4E7878" w:rsidR="00C83203" w:rsidRDefault="00C83203" w:rsidP="00C83203">
      <w:pPr>
        <w:jc w:val="center"/>
      </w:pPr>
    </w:p>
    <w:p w14:paraId="78735D1C" w14:textId="77777777" w:rsidR="00C83203" w:rsidRDefault="00C83203" w:rsidP="00C83203">
      <w:pPr>
        <w:jc w:val="center"/>
        <w:rPr>
          <w:sz w:val="40"/>
          <w:szCs w:val="40"/>
        </w:rPr>
      </w:pPr>
    </w:p>
    <w:p w14:paraId="1F31618E" w14:textId="77777777" w:rsidR="00C83203" w:rsidRDefault="00C83203" w:rsidP="00C83203">
      <w:pPr>
        <w:jc w:val="center"/>
        <w:rPr>
          <w:sz w:val="40"/>
          <w:szCs w:val="40"/>
        </w:rPr>
      </w:pPr>
    </w:p>
    <w:p w14:paraId="55A6717B" w14:textId="77777777" w:rsidR="00C83203" w:rsidRDefault="00C83203" w:rsidP="00C83203">
      <w:pPr>
        <w:jc w:val="center"/>
        <w:rPr>
          <w:sz w:val="40"/>
          <w:szCs w:val="40"/>
        </w:rPr>
      </w:pPr>
    </w:p>
    <w:p w14:paraId="0AAB82F5" w14:textId="77777777" w:rsidR="00C83203" w:rsidRDefault="00C83203" w:rsidP="00C83203">
      <w:pPr>
        <w:jc w:val="center"/>
        <w:rPr>
          <w:sz w:val="40"/>
          <w:szCs w:val="40"/>
        </w:rPr>
      </w:pPr>
    </w:p>
    <w:p w14:paraId="7A099E4D" w14:textId="6D5C5811" w:rsidR="00C83203" w:rsidRDefault="00C83203" w:rsidP="00C83203">
      <w:pPr>
        <w:jc w:val="center"/>
        <w:rPr>
          <w:sz w:val="40"/>
          <w:szCs w:val="40"/>
        </w:rPr>
      </w:pPr>
      <w:r>
        <w:rPr>
          <w:sz w:val="40"/>
          <w:szCs w:val="40"/>
        </w:rPr>
        <w:t>Viktoria Vartigorova-Ivanova, 1906318</w:t>
      </w:r>
    </w:p>
    <w:p w14:paraId="420528DD" w14:textId="77777777" w:rsidR="00C83203" w:rsidRPr="00C83203" w:rsidRDefault="00C83203" w:rsidP="00C83203">
      <w:pPr>
        <w:jc w:val="center"/>
        <w:rPr>
          <w:sz w:val="40"/>
          <w:szCs w:val="40"/>
        </w:rPr>
      </w:pPr>
    </w:p>
    <w:p w14:paraId="0E386911" w14:textId="25236CE5" w:rsidR="00287DEB" w:rsidRDefault="00287DEB" w:rsidP="00C83203">
      <w:pPr>
        <w:jc w:val="center"/>
      </w:pPr>
    </w:p>
    <w:p w14:paraId="51603E1C" w14:textId="77777777" w:rsidR="00C83203" w:rsidRDefault="00C83203" w:rsidP="00C83203">
      <w:pPr>
        <w:jc w:val="center"/>
        <w:rPr>
          <w:sz w:val="36"/>
          <w:szCs w:val="36"/>
        </w:rPr>
      </w:pPr>
    </w:p>
    <w:p w14:paraId="2F542C9F" w14:textId="77777777" w:rsidR="00C83203" w:rsidRDefault="00C83203" w:rsidP="00C83203">
      <w:pPr>
        <w:jc w:val="center"/>
        <w:rPr>
          <w:sz w:val="36"/>
          <w:szCs w:val="36"/>
        </w:rPr>
      </w:pPr>
    </w:p>
    <w:p w14:paraId="089AE2EF" w14:textId="77777777" w:rsidR="00C83203" w:rsidRDefault="00C83203" w:rsidP="00C83203">
      <w:pPr>
        <w:jc w:val="center"/>
        <w:rPr>
          <w:sz w:val="36"/>
          <w:szCs w:val="36"/>
        </w:rPr>
      </w:pPr>
    </w:p>
    <w:p w14:paraId="5B155E1D" w14:textId="4B409B84" w:rsidR="00287DEB" w:rsidRDefault="00C83203" w:rsidP="00C83203">
      <w:pPr>
        <w:jc w:val="center"/>
        <w:rPr>
          <w:sz w:val="36"/>
          <w:szCs w:val="36"/>
        </w:rPr>
      </w:pPr>
      <w:r>
        <w:rPr>
          <w:sz w:val="36"/>
          <w:szCs w:val="36"/>
        </w:rPr>
        <w:t xml:space="preserve">Module: </w:t>
      </w:r>
      <w:r w:rsidR="00287DEB" w:rsidRPr="00C83203">
        <w:rPr>
          <w:sz w:val="36"/>
          <w:szCs w:val="36"/>
        </w:rPr>
        <w:t>The Global Business Environment</w:t>
      </w:r>
    </w:p>
    <w:p w14:paraId="3F103A4B" w14:textId="7B6BB021" w:rsidR="00C83203" w:rsidRPr="00C83203" w:rsidRDefault="00C83203" w:rsidP="00C83203">
      <w:pPr>
        <w:jc w:val="center"/>
        <w:rPr>
          <w:sz w:val="36"/>
          <w:szCs w:val="36"/>
        </w:rPr>
      </w:pPr>
      <w:r>
        <w:rPr>
          <w:sz w:val="36"/>
          <w:szCs w:val="36"/>
        </w:rPr>
        <w:t>LCBB4005</w:t>
      </w:r>
    </w:p>
    <w:p w14:paraId="30C15FB5" w14:textId="05817BB3" w:rsidR="00287DEB" w:rsidRPr="00C83203" w:rsidRDefault="00287DEB" w:rsidP="00C83203">
      <w:pPr>
        <w:jc w:val="center"/>
        <w:rPr>
          <w:sz w:val="36"/>
          <w:szCs w:val="36"/>
        </w:rPr>
      </w:pPr>
    </w:p>
    <w:p w14:paraId="53732671" w14:textId="0396A189" w:rsidR="00287DEB" w:rsidRDefault="00287DEB" w:rsidP="00C83203">
      <w:pPr>
        <w:jc w:val="center"/>
      </w:pPr>
    </w:p>
    <w:p w14:paraId="44BFA823" w14:textId="07A2165E" w:rsidR="00287DEB" w:rsidRDefault="00287DEB"/>
    <w:p w14:paraId="7040CAD8" w14:textId="00B2B13D" w:rsidR="00287DEB" w:rsidRDefault="00287DEB"/>
    <w:p w14:paraId="624632DF" w14:textId="3A1A7A51" w:rsidR="00287DEB" w:rsidRDefault="00287DEB"/>
    <w:p w14:paraId="24D34A8C" w14:textId="58DF9D85" w:rsidR="00287DEB" w:rsidRDefault="00287DEB"/>
    <w:p w14:paraId="15AAEE28" w14:textId="597F2B27" w:rsidR="00287DEB" w:rsidRDefault="00287DEB"/>
    <w:p w14:paraId="7EA760F7" w14:textId="763FCFD9" w:rsidR="00287DEB" w:rsidRDefault="00287DEB"/>
    <w:p w14:paraId="0915BC3C" w14:textId="21E2FBC7" w:rsidR="00287DEB" w:rsidRDefault="00287DEB"/>
    <w:p w14:paraId="1BE1BAB1" w14:textId="00CD909E" w:rsidR="00287DEB" w:rsidRPr="00C83203" w:rsidRDefault="00C83203">
      <w:pPr>
        <w:rPr>
          <w:sz w:val="28"/>
          <w:szCs w:val="28"/>
        </w:rPr>
      </w:pPr>
      <w:r>
        <w:rPr>
          <w:sz w:val="28"/>
          <w:szCs w:val="28"/>
        </w:rPr>
        <w:t>Module Tutor: Kenny Tang</w:t>
      </w:r>
    </w:p>
    <w:p w14:paraId="1C3699EA" w14:textId="75BB6B77" w:rsidR="00287DEB" w:rsidRDefault="00287DEB"/>
    <w:p w14:paraId="32169CAF" w14:textId="2885A125" w:rsidR="00287DEB" w:rsidRDefault="00287DEB"/>
    <w:p w14:paraId="2983CB6E" w14:textId="401FFD46" w:rsidR="00287DEB" w:rsidRDefault="00287DEB"/>
    <w:p w14:paraId="264436C1" w14:textId="21F5592A" w:rsidR="00287DEB" w:rsidRDefault="00287DEB"/>
    <w:p w14:paraId="5C6A6BEF" w14:textId="79BB9B31" w:rsidR="00287DEB" w:rsidRDefault="00287DEB"/>
    <w:p w14:paraId="2D3DB22B" w14:textId="32E8EFC4" w:rsidR="00287DEB" w:rsidRDefault="00287DEB"/>
    <w:p w14:paraId="1F796E29" w14:textId="5BD43E5C" w:rsidR="00C83203" w:rsidRDefault="00C83203" w:rsidP="00C83203">
      <w:pPr>
        <w:jc w:val="center"/>
      </w:pPr>
      <w:r>
        <w:t>May 2020</w:t>
      </w:r>
    </w:p>
    <w:p w14:paraId="6726DDC7" w14:textId="79BB3E99" w:rsidR="00C83203" w:rsidRDefault="00C83203"/>
    <w:sdt>
      <w:sdtPr>
        <w:id w:val="-8792545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E8F5314" w14:textId="2718CC49" w:rsidR="00C83203" w:rsidRDefault="00C83203">
          <w:pPr>
            <w:pStyle w:val="TOCHeading"/>
          </w:pPr>
          <w:r>
            <w:t>Table of Contents</w:t>
          </w:r>
        </w:p>
        <w:p w14:paraId="27329192" w14:textId="6C783EF1" w:rsidR="00C83203" w:rsidRDefault="00C8320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0654326" w:history="1">
            <w:r w:rsidRPr="00253FA9">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_Toc40654326 \h </w:instrText>
            </w:r>
            <w:r>
              <w:rPr>
                <w:noProof/>
                <w:webHidden/>
              </w:rPr>
            </w:r>
            <w:r>
              <w:rPr>
                <w:noProof/>
                <w:webHidden/>
              </w:rPr>
              <w:fldChar w:fldCharType="separate"/>
            </w:r>
            <w:r>
              <w:rPr>
                <w:noProof/>
                <w:webHidden/>
              </w:rPr>
              <w:t>2</w:t>
            </w:r>
            <w:r>
              <w:rPr>
                <w:noProof/>
                <w:webHidden/>
              </w:rPr>
              <w:fldChar w:fldCharType="end"/>
            </w:r>
          </w:hyperlink>
        </w:p>
        <w:p w14:paraId="5A075C0A" w14:textId="26501F68" w:rsidR="00C83203" w:rsidRDefault="00C83203">
          <w:pPr>
            <w:pStyle w:val="TOC1"/>
            <w:tabs>
              <w:tab w:val="right" w:leader="dot" w:pos="9016"/>
            </w:tabs>
            <w:rPr>
              <w:rFonts w:eastAsiaTheme="minorEastAsia"/>
              <w:b w:val="0"/>
              <w:bCs w:val="0"/>
              <w:i w:val="0"/>
              <w:iCs w:val="0"/>
              <w:noProof/>
              <w:lang w:eastAsia="en-GB"/>
            </w:rPr>
          </w:pPr>
          <w:hyperlink w:anchor="_Toc40654327" w:history="1">
            <w:r w:rsidRPr="00253FA9">
              <w:rPr>
                <w:rStyle w:val="Hyperlink"/>
                <w:noProof/>
              </w:rPr>
              <w:t>PESTEL Analysis</w:t>
            </w:r>
            <w:r>
              <w:rPr>
                <w:noProof/>
                <w:webHidden/>
              </w:rPr>
              <w:tab/>
            </w:r>
            <w:r>
              <w:rPr>
                <w:noProof/>
                <w:webHidden/>
              </w:rPr>
              <w:fldChar w:fldCharType="begin"/>
            </w:r>
            <w:r>
              <w:rPr>
                <w:noProof/>
                <w:webHidden/>
              </w:rPr>
              <w:instrText xml:space="preserve"> PAGEREF _Toc40654327 \h </w:instrText>
            </w:r>
            <w:r>
              <w:rPr>
                <w:noProof/>
                <w:webHidden/>
              </w:rPr>
            </w:r>
            <w:r>
              <w:rPr>
                <w:noProof/>
                <w:webHidden/>
              </w:rPr>
              <w:fldChar w:fldCharType="separate"/>
            </w:r>
            <w:r>
              <w:rPr>
                <w:noProof/>
                <w:webHidden/>
              </w:rPr>
              <w:t>2</w:t>
            </w:r>
            <w:r>
              <w:rPr>
                <w:noProof/>
                <w:webHidden/>
              </w:rPr>
              <w:fldChar w:fldCharType="end"/>
            </w:r>
          </w:hyperlink>
        </w:p>
        <w:p w14:paraId="6762C8D7" w14:textId="58B72364" w:rsidR="00C83203" w:rsidRDefault="00C83203">
          <w:pPr>
            <w:pStyle w:val="TOC2"/>
            <w:tabs>
              <w:tab w:val="right" w:leader="dot" w:pos="9016"/>
            </w:tabs>
            <w:rPr>
              <w:rFonts w:eastAsiaTheme="minorEastAsia"/>
              <w:b w:val="0"/>
              <w:bCs w:val="0"/>
              <w:noProof/>
              <w:sz w:val="24"/>
              <w:szCs w:val="24"/>
              <w:lang w:eastAsia="en-GB"/>
            </w:rPr>
          </w:pPr>
          <w:hyperlink w:anchor="_Toc40654328" w:history="1">
            <w:r w:rsidRPr="00253FA9">
              <w:rPr>
                <w:rStyle w:val="Hyperlink"/>
                <w:noProof/>
              </w:rPr>
              <w:t>Political factors</w:t>
            </w:r>
            <w:r>
              <w:rPr>
                <w:noProof/>
                <w:webHidden/>
              </w:rPr>
              <w:tab/>
            </w:r>
            <w:r>
              <w:rPr>
                <w:noProof/>
                <w:webHidden/>
              </w:rPr>
              <w:fldChar w:fldCharType="begin"/>
            </w:r>
            <w:r>
              <w:rPr>
                <w:noProof/>
                <w:webHidden/>
              </w:rPr>
              <w:instrText xml:space="preserve"> PAGEREF _Toc40654328 \h </w:instrText>
            </w:r>
            <w:r>
              <w:rPr>
                <w:noProof/>
                <w:webHidden/>
              </w:rPr>
            </w:r>
            <w:r>
              <w:rPr>
                <w:noProof/>
                <w:webHidden/>
              </w:rPr>
              <w:fldChar w:fldCharType="separate"/>
            </w:r>
            <w:r>
              <w:rPr>
                <w:noProof/>
                <w:webHidden/>
              </w:rPr>
              <w:t>2</w:t>
            </w:r>
            <w:r>
              <w:rPr>
                <w:noProof/>
                <w:webHidden/>
              </w:rPr>
              <w:fldChar w:fldCharType="end"/>
            </w:r>
          </w:hyperlink>
        </w:p>
        <w:p w14:paraId="53BFDECF" w14:textId="33CA56AF" w:rsidR="00C83203" w:rsidRDefault="00C83203">
          <w:pPr>
            <w:pStyle w:val="TOC2"/>
            <w:tabs>
              <w:tab w:val="right" w:leader="dot" w:pos="9016"/>
            </w:tabs>
            <w:rPr>
              <w:rFonts w:eastAsiaTheme="minorEastAsia"/>
              <w:b w:val="0"/>
              <w:bCs w:val="0"/>
              <w:noProof/>
              <w:sz w:val="24"/>
              <w:szCs w:val="24"/>
              <w:lang w:eastAsia="en-GB"/>
            </w:rPr>
          </w:pPr>
          <w:hyperlink w:anchor="_Toc40654329" w:history="1">
            <w:r w:rsidRPr="00253FA9">
              <w:rPr>
                <w:rStyle w:val="Hyperlink"/>
                <w:noProof/>
              </w:rPr>
              <w:t>Economic factors</w:t>
            </w:r>
            <w:r>
              <w:rPr>
                <w:noProof/>
                <w:webHidden/>
              </w:rPr>
              <w:tab/>
            </w:r>
            <w:r>
              <w:rPr>
                <w:noProof/>
                <w:webHidden/>
              </w:rPr>
              <w:fldChar w:fldCharType="begin"/>
            </w:r>
            <w:r>
              <w:rPr>
                <w:noProof/>
                <w:webHidden/>
              </w:rPr>
              <w:instrText xml:space="preserve"> PAGEREF _Toc40654329 \h </w:instrText>
            </w:r>
            <w:r>
              <w:rPr>
                <w:noProof/>
                <w:webHidden/>
              </w:rPr>
            </w:r>
            <w:r>
              <w:rPr>
                <w:noProof/>
                <w:webHidden/>
              </w:rPr>
              <w:fldChar w:fldCharType="separate"/>
            </w:r>
            <w:r>
              <w:rPr>
                <w:noProof/>
                <w:webHidden/>
              </w:rPr>
              <w:t>3</w:t>
            </w:r>
            <w:r>
              <w:rPr>
                <w:noProof/>
                <w:webHidden/>
              </w:rPr>
              <w:fldChar w:fldCharType="end"/>
            </w:r>
          </w:hyperlink>
        </w:p>
        <w:p w14:paraId="02D38AF6" w14:textId="17A860B4" w:rsidR="00C83203" w:rsidRDefault="00C83203">
          <w:pPr>
            <w:pStyle w:val="TOC2"/>
            <w:tabs>
              <w:tab w:val="right" w:leader="dot" w:pos="9016"/>
            </w:tabs>
            <w:rPr>
              <w:rFonts w:eastAsiaTheme="minorEastAsia"/>
              <w:b w:val="0"/>
              <w:bCs w:val="0"/>
              <w:noProof/>
              <w:sz w:val="24"/>
              <w:szCs w:val="24"/>
              <w:lang w:eastAsia="en-GB"/>
            </w:rPr>
          </w:pPr>
          <w:hyperlink w:anchor="_Toc40654330" w:history="1">
            <w:r w:rsidRPr="00253FA9">
              <w:rPr>
                <w:rStyle w:val="Hyperlink"/>
                <w:noProof/>
              </w:rPr>
              <w:t>Social factors</w:t>
            </w:r>
            <w:r>
              <w:rPr>
                <w:noProof/>
                <w:webHidden/>
              </w:rPr>
              <w:tab/>
            </w:r>
            <w:r>
              <w:rPr>
                <w:noProof/>
                <w:webHidden/>
              </w:rPr>
              <w:fldChar w:fldCharType="begin"/>
            </w:r>
            <w:r>
              <w:rPr>
                <w:noProof/>
                <w:webHidden/>
              </w:rPr>
              <w:instrText xml:space="preserve"> PAGEREF _Toc40654330 \h </w:instrText>
            </w:r>
            <w:r>
              <w:rPr>
                <w:noProof/>
                <w:webHidden/>
              </w:rPr>
            </w:r>
            <w:r>
              <w:rPr>
                <w:noProof/>
                <w:webHidden/>
              </w:rPr>
              <w:fldChar w:fldCharType="separate"/>
            </w:r>
            <w:r>
              <w:rPr>
                <w:noProof/>
                <w:webHidden/>
              </w:rPr>
              <w:t>3</w:t>
            </w:r>
            <w:r>
              <w:rPr>
                <w:noProof/>
                <w:webHidden/>
              </w:rPr>
              <w:fldChar w:fldCharType="end"/>
            </w:r>
          </w:hyperlink>
        </w:p>
        <w:p w14:paraId="0886B817" w14:textId="48F596B6" w:rsidR="00C83203" w:rsidRDefault="00C83203">
          <w:pPr>
            <w:pStyle w:val="TOC2"/>
            <w:tabs>
              <w:tab w:val="right" w:leader="dot" w:pos="9016"/>
            </w:tabs>
            <w:rPr>
              <w:rFonts w:eastAsiaTheme="minorEastAsia"/>
              <w:b w:val="0"/>
              <w:bCs w:val="0"/>
              <w:noProof/>
              <w:sz w:val="24"/>
              <w:szCs w:val="24"/>
              <w:lang w:eastAsia="en-GB"/>
            </w:rPr>
          </w:pPr>
          <w:hyperlink w:anchor="_Toc40654331" w:history="1">
            <w:r w:rsidRPr="00253FA9">
              <w:rPr>
                <w:rStyle w:val="Hyperlink"/>
                <w:noProof/>
              </w:rPr>
              <w:t>Technological factors</w:t>
            </w:r>
            <w:r>
              <w:rPr>
                <w:noProof/>
                <w:webHidden/>
              </w:rPr>
              <w:tab/>
            </w:r>
            <w:r>
              <w:rPr>
                <w:noProof/>
                <w:webHidden/>
              </w:rPr>
              <w:fldChar w:fldCharType="begin"/>
            </w:r>
            <w:r>
              <w:rPr>
                <w:noProof/>
                <w:webHidden/>
              </w:rPr>
              <w:instrText xml:space="preserve"> PAGEREF _Toc40654331 \h </w:instrText>
            </w:r>
            <w:r>
              <w:rPr>
                <w:noProof/>
                <w:webHidden/>
              </w:rPr>
            </w:r>
            <w:r>
              <w:rPr>
                <w:noProof/>
                <w:webHidden/>
              </w:rPr>
              <w:fldChar w:fldCharType="separate"/>
            </w:r>
            <w:r>
              <w:rPr>
                <w:noProof/>
                <w:webHidden/>
              </w:rPr>
              <w:t>4</w:t>
            </w:r>
            <w:r>
              <w:rPr>
                <w:noProof/>
                <w:webHidden/>
              </w:rPr>
              <w:fldChar w:fldCharType="end"/>
            </w:r>
          </w:hyperlink>
        </w:p>
        <w:p w14:paraId="33511117" w14:textId="04352145" w:rsidR="00C83203" w:rsidRDefault="00C83203">
          <w:pPr>
            <w:pStyle w:val="TOC2"/>
            <w:tabs>
              <w:tab w:val="right" w:leader="dot" w:pos="9016"/>
            </w:tabs>
            <w:rPr>
              <w:rFonts w:eastAsiaTheme="minorEastAsia"/>
              <w:b w:val="0"/>
              <w:bCs w:val="0"/>
              <w:noProof/>
              <w:sz w:val="24"/>
              <w:szCs w:val="24"/>
              <w:lang w:eastAsia="en-GB"/>
            </w:rPr>
          </w:pPr>
          <w:hyperlink w:anchor="_Toc40654332" w:history="1">
            <w:r w:rsidRPr="00253FA9">
              <w:rPr>
                <w:rStyle w:val="Hyperlink"/>
                <w:noProof/>
              </w:rPr>
              <w:t>Environmental factors</w:t>
            </w:r>
            <w:r>
              <w:rPr>
                <w:noProof/>
                <w:webHidden/>
              </w:rPr>
              <w:tab/>
            </w:r>
            <w:r>
              <w:rPr>
                <w:noProof/>
                <w:webHidden/>
              </w:rPr>
              <w:fldChar w:fldCharType="begin"/>
            </w:r>
            <w:r>
              <w:rPr>
                <w:noProof/>
                <w:webHidden/>
              </w:rPr>
              <w:instrText xml:space="preserve"> PAGEREF _Toc40654332 \h </w:instrText>
            </w:r>
            <w:r>
              <w:rPr>
                <w:noProof/>
                <w:webHidden/>
              </w:rPr>
            </w:r>
            <w:r>
              <w:rPr>
                <w:noProof/>
                <w:webHidden/>
              </w:rPr>
              <w:fldChar w:fldCharType="separate"/>
            </w:r>
            <w:r>
              <w:rPr>
                <w:noProof/>
                <w:webHidden/>
              </w:rPr>
              <w:t>4</w:t>
            </w:r>
            <w:r>
              <w:rPr>
                <w:noProof/>
                <w:webHidden/>
              </w:rPr>
              <w:fldChar w:fldCharType="end"/>
            </w:r>
          </w:hyperlink>
        </w:p>
        <w:p w14:paraId="48097BCF" w14:textId="701B0904" w:rsidR="00C83203" w:rsidRDefault="00C83203">
          <w:pPr>
            <w:pStyle w:val="TOC2"/>
            <w:tabs>
              <w:tab w:val="right" w:leader="dot" w:pos="9016"/>
            </w:tabs>
            <w:rPr>
              <w:rFonts w:eastAsiaTheme="minorEastAsia"/>
              <w:b w:val="0"/>
              <w:bCs w:val="0"/>
              <w:noProof/>
              <w:sz w:val="24"/>
              <w:szCs w:val="24"/>
              <w:lang w:eastAsia="en-GB"/>
            </w:rPr>
          </w:pPr>
          <w:hyperlink w:anchor="_Toc40654333" w:history="1">
            <w:r w:rsidRPr="00253FA9">
              <w:rPr>
                <w:rStyle w:val="Hyperlink"/>
                <w:noProof/>
              </w:rPr>
              <w:t>Legal factors</w:t>
            </w:r>
            <w:r>
              <w:rPr>
                <w:noProof/>
                <w:webHidden/>
              </w:rPr>
              <w:tab/>
            </w:r>
            <w:r>
              <w:rPr>
                <w:noProof/>
                <w:webHidden/>
              </w:rPr>
              <w:fldChar w:fldCharType="begin"/>
            </w:r>
            <w:r>
              <w:rPr>
                <w:noProof/>
                <w:webHidden/>
              </w:rPr>
              <w:instrText xml:space="preserve"> PAGEREF _Toc40654333 \h </w:instrText>
            </w:r>
            <w:r>
              <w:rPr>
                <w:noProof/>
                <w:webHidden/>
              </w:rPr>
            </w:r>
            <w:r>
              <w:rPr>
                <w:noProof/>
                <w:webHidden/>
              </w:rPr>
              <w:fldChar w:fldCharType="separate"/>
            </w:r>
            <w:r>
              <w:rPr>
                <w:noProof/>
                <w:webHidden/>
              </w:rPr>
              <w:t>4</w:t>
            </w:r>
            <w:r>
              <w:rPr>
                <w:noProof/>
                <w:webHidden/>
              </w:rPr>
              <w:fldChar w:fldCharType="end"/>
            </w:r>
          </w:hyperlink>
        </w:p>
        <w:p w14:paraId="2EDF8456" w14:textId="41C1D170" w:rsidR="00C83203" w:rsidRDefault="00C83203">
          <w:pPr>
            <w:pStyle w:val="TOC1"/>
            <w:tabs>
              <w:tab w:val="right" w:leader="dot" w:pos="9016"/>
            </w:tabs>
            <w:rPr>
              <w:rFonts w:eastAsiaTheme="minorEastAsia"/>
              <w:b w:val="0"/>
              <w:bCs w:val="0"/>
              <w:i w:val="0"/>
              <w:iCs w:val="0"/>
              <w:noProof/>
              <w:lang w:eastAsia="en-GB"/>
            </w:rPr>
          </w:pPr>
          <w:hyperlink w:anchor="_Toc40654334" w:history="1">
            <w:r w:rsidRPr="00253FA9">
              <w:rPr>
                <w:rStyle w:val="Hyperlink"/>
                <w:noProof/>
              </w:rPr>
              <w:t>Porter’s Five Forces</w:t>
            </w:r>
            <w:r>
              <w:rPr>
                <w:noProof/>
                <w:webHidden/>
              </w:rPr>
              <w:tab/>
            </w:r>
            <w:r>
              <w:rPr>
                <w:noProof/>
                <w:webHidden/>
              </w:rPr>
              <w:fldChar w:fldCharType="begin"/>
            </w:r>
            <w:r>
              <w:rPr>
                <w:noProof/>
                <w:webHidden/>
              </w:rPr>
              <w:instrText xml:space="preserve"> PAGEREF _Toc40654334 \h </w:instrText>
            </w:r>
            <w:r>
              <w:rPr>
                <w:noProof/>
                <w:webHidden/>
              </w:rPr>
            </w:r>
            <w:r>
              <w:rPr>
                <w:noProof/>
                <w:webHidden/>
              </w:rPr>
              <w:fldChar w:fldCharType="separate"/>
            </w:r>
            <w:r>
              <w:rPr>
                <w:noProof/>
                <w:webHidden/>
              </w:rPr>
              <w:t>5</w:t>
            </w:r>
            <w:r>
              <w:rPr>
                <w:noProof/>
                <w:webHidden/>
              </w:rPr>
              <w:fldChar w:fldCharType="end"/>
            </w:r>
          </w:hyperlink>
        </w:p>
        <w:p w14:paraId="4FE4A804" w14:textId="1960B77B" w:rsidR="00C83203" w:rsidRDefault="00C83203">
          <w:pPr>
            <w:pStyle w:val="TOC2"/>
            <w:tabs>
              <w:tab w:val="right" w:leader="dot" w:pos="9016"/>
            </w:tabs>
            <w:rPr>
              <w:rFonts w:eastAsiaTheme="minorEastAsia"/>
              <w:b w:val="0"/>
              <w:bCs w:val="0"/>
              <w:noProof/>
              <w:sz w:val="24"/>
              <w:szCs w:val="24"/>
              <w:lang w:eastAsia="en-GB"/>
            </w:rPr>
          </w:pPr>
          <w:hyperlink w:anchor="_Toc40654335" w:history="1">
            <w:r w:rsidRPr="00253FA9">
              <w:rPr>
                <w:rStyle w:val="Hyperlink"/>
                <w:noProof/>
              </w:rPr>
              <w:t>Threat of new entrants</w:t>
            </w:r>
            <w:r>
              <w:rPr>
                <w:noProof/>
                <w:webHidden/>
              </w:rPr>
              <w:tab/>
            </w:r>
            <w:r>
              <w:rPr>
                <w:noProof/>
                <w:webHidden/>
              </w:rPr>
              <w:fldChar w:fldCharType="begin"/>
            </w:r>
            <w:r>
              <w:rPr>
                <w:noProof/>
                <w:webHidden/>
              </w:rPr>
              <w:instrText xml:space="preserve"> PAGEREF _Toc40654335 \h </w:instrText>
            </w:r>
            <w:r>
              <w:rPr>
                <w:noProof/>
                <w:webHidden/>
              </w:rPr>
            </w:r>
            <w:r>
              <w:rPr>
                <w:noProof/>
                <w:webHidden/>
              </w:rPr>
              <w:fldChar w:fldCharType="separate"/>
            </w:r>
            <w:r>
              <w:rPr>
                <w:noProof/>
                <w:webHidden/>
              </w:rPr>
              <w:t>5</w:t>
            </w:r>
            <w:r>
              <w:rPr>
                <w:noProof/>
                <w:webHidden/>
              </w:rPr>
              <w:fldChar w:fldCharType="end"/>
            </w:r>
          </w:hyperlink>
        </w:p>
        <w:p w14:paraId="120E73F4" w14:textId="414A8E9C" w:rsidR="00C83203" w:rsidRDefault="00C83203">
          <w:pPr>
            <w:pStyle w:val="TOC2"/>
            <w:tabs>
              <w:tab w:val="right" w:leader="dot" w:pos="9016"/>
            </w:tabs>
            <w:rPr>
              <w:rFonts w:eastAsiaTheme="minorEastAsia"/>
              <w:b w:val="0"/>
              <w:bCs w:val="0"/>
              <w:noProof/>
              <w:sz w:val="24"/>
              <w:szCs w:val="24"/>
              <w:lang w:eastAsia="en-GB"/>
            </w:rPr>
          </w:pPr>
          <w:hyperlink w:anchor="_Toc40654336" w:history="1">
            <w:r w:rsidRPr="00253FA9">
              <w:rPr>
                <w:rStyle w:val="Hyperlink"/>
                <w:noProof/>
              </w:rPr>
              <w:t>Competitive Rivalry</w:t>
            </w:r>
            <w:r>
              <w:rPr>
                <w:noProof/>
                <w:webHidden/>
              </w:rPr>
              <w:tab/>
            </w:r>
            <w:r>
              <w:rPr>
                <w:noProof/>
                <w:webHidden/>
              </w:rPr>
              <w:fldChar w:fldCharType="begin"/>
            </w:r>
            <w:r>
              <w:rPr>
                <w:noProof/>
                <w:webHidden/>
              </w:rPr>
              <w:instrText xml:space="preserve"> PAGEREF _Toc40654336 \h </w:instrText>
            </w:r>
            <w:r>
              <w:rPr>
                <w:noProof/>
                <w:webHidden/>
              </w:rPr>
            </w:r>
            <w:r>
              <w:rPr>
                <w:noProof/>
                <w:webHidden/>
              </w:rPr>
              <w:fldChar w:fldCharType="separate"/>
            </w:r>
            <w:r>
              <w:rPr>
                <w:noProof/>
                <w:webHidden/>
              </w:rPr>
              <w:t>6</w:t>
            </w:r>
            <w:r>
              <w:rPr>
                <w:noProof/>
                <w:webHidden/>
              </w:rPr>
              <w:fldChar w:fldCharType="end"/>
            </w:r>
          </w:hyperlink>
        </w:p>
        <w:p w14:paraId="4F830A97" w14:textId="0F63AC15" w:rsidR="00C83203" w:rsidRDefault="00C83203">
          <w:pPr>
            <w:pStyle w:val="TOC2"/>
            <w:tabs>
              <w:tab w:val="right" w:leader="dot" w:pos="9016"/>
            </w:tabs>
            <w:rPr>
              <w:rFonts w:eastAsiaTheme="minorEastAsia"/>
              <w:b w:val="0"/>
              <w:bCs w:val="0"/>
              <w:noProof/>
              <w:sz w:val="24"/>
              <w:szCs w:val="24"/>
              <w:lang w:eastAsia="en-GB"/>
            </w:rPr>
          </w:pPr>
          <w:hyperlink w:anchor="_Toc40654337" w:history="1">
            <w:r w:rsidRPr="00253FA9">
              <w:rPr>
                <w:rStyle w:val="Hyperlink"/>
                <w:noProof/>
              </w:rPr>
              <w:t>Bargaining Power of Buyers</w:t>
            </w:r>
            <w:r>
              <w:rPr>
                <w:noProof/>
                <w:webHidden/>
              </w:rPr>
              <w:tab/>
            </w:r>
            <w:r>
              <w:rPr>
                <w:noProof/>
                <w:webHidden/>
              </w:rPr>
              <w:fldChar w:fldCharType="begin"/>
            </w:r>
            <w:r>
              <w:rPr>
                <w:noProof/>
                <w:webHidden/>
              </w:rPr>
              <w:instrText xml:space="preserve"> PAGEREF _Toc40654337 \h </w:instrText>
            </w:r>
            <w:r>
              <w:rPr>
                <w:noProof/>
                <w:webHidden/>
              </w:rPr>
            </w:r>
            <w:r>
              <w:rPr>
                <w:noProof/>
                <w:webHidden/>
              </w:rPr>
              <w:fldChar w:fldCharType="separate"/>
            </w:r>
            <w:r>
              <w:rPr>
                <w:noProof/>
                <w:webHidden/>
              </w:rPr>
              <w:t>6</w:t>
            </w:r>
            <w:r>
              <w:rPr>
                <w:noProof/>
                <w:webHidden/>
              </w:rPr>
              <w:fldChar w:fldCharType="end"/>
            </w:r>
          </w:hyperlink>
        </w:p>
        <w:p w14:paraId="713A3079" w14:textId="3740D44D" w:rsidR="00C83203" w:rsidRDefault="00C83203">
          <w:pPr>
            <w:pStyle w:val="TOC2"/>
            <w:tabs>
              <w:tab w:val="right" w:leader="dot" w:pos="9016"/>
            </w:tabs>
            <w:rPr>
              <w:rFonts w:eastAsiaTheme="minorEastAsia"/>
              <w:b w:val="0"/>
              <w:bCs w:val="0"/>
              <w:noProof/>
              <w:sz w:val="24"/>
              <w:szCs w:val="24"/>
              <w:lang w:eastAsia="en-GB"/>
            </w:rPr>
          </w:pPr>
          <w:hyperlink w:anchor="_Toc40654338" w:history="1">
            <w:r w:rsidRPr="00253FA9">
              <w:rPr>
                <w:rStyle w:val="Hyperlink"/>
                <w:noProof/>
              </w:rPr>
              <w:t>Bargaining Power of Suppliers</w:t>
            </w:r>
            <w:r>
              <w:rPr>
                <w:noProof/>
                <w:webHidden/>
              </w:rPr>
              <w:tab/>
            </w:r>
            <w:r>
              <w:rPr>
                <w:noProof/>
                <w:webHidden/>
              </w:rPr>
              <w:fldChar w:fldCharType="begin"/>
            </w:r>
            <w:r>
              <w:rPr>
                <w:noProof/>
                <w:webHidden/>
              </w:rPr>
              <w:instrText xml:space="preserve"> PAGEREF _Toc40654338 \h </w:instrText>
            </w:r>
            <w:r>
              <w:rPr>
                <w:noProof/>
                <w:webHidden/>
              </w:rPr>
            </w:r>
            <w:r>
              <w:rPr>
                <w:noProof/>
                <w:webHidden/>
              </w:rPr>
              <w:fldChar w:fldCharType="separate"/>
            </w:r>
            <w:r>
              <w:rPr>
                <w:noProof/>
                <w:webHidden/>
              </w:rPr>
              <w:t>7</w:t>
            </w:r>
            <w:r>
              <w:rPr>
                <w:noProof/>
                <w:webHidden/>
              </w:rPr>
              <w:fldChar w:fldCharType="end"/>
            </w:r>
          </w:hyperlink>
        </w:p>
        <w:p w14:paraId="60628831" w14:textId="15E59760" w:rsidR="00C83203" w:rsidRDefault="00C83203">
          <w:pPr>
            <w:pStyle w:val="TOC2"/>
            <w:tabs>
              <w:tab w:val="right" w:leader="dot" w:pos="9016"/>
            </w:tabs>
            <w:rPr>
              <w:rFonts w:eastAsiaTheme="minorEastAsia"/>
              <w:b w:val="0"/>
              <w:bCs w:val="0"/>
              <w:noProof/>
              <w:sz w:val="24"/>
              <w:szCs w:val="24"/>
              <w:lang w:eastAsia="en-GB"/>
            </w:rPr>
          </w:pPr>
          <w:hyperlink w:anchor="_Toc40654339" w:history="1">
            <w:r w:rsidRPr="00253FA9">
              <w:rPr>
                <w:rStyle w:val="Hyperlink"/>
                <w:noProof/>
              </w:rPr>
              <w:t>Threat of Substitute</w:t>
            </w:r>
            <w:r>
              <w:rPr>
                <w:noProof/>
                <w:webHidden/>
              </w:rPr>
              <w:tab/>
            </w:r>
            <w:r>
              <w:rPr>
                <w:noProof/>
                <w:webHidden/>
              </w:rPr>
              <w:fldChar w:fldCharType="begin"/>
            </w:r>
            <w:r>
              <w:rPr>
                <w:noProof/>
                <w:webHidden/>
              </w:rPr>
              <w:instrText xml:space="preserve"> PAGEREF _Toc40654339 \h </w:instrText>
            </w:r>
            <w:r>
              <w:rPr>
                <w:noProof/>
                <w:webHidden/>
              </w:rPr>
            </w:r>
            <w:r>
              <w:rPr>
                <w:noProof/>
                <w:webHidden/>
              </w:rPr>
              <w:fldChar w:fldCharType="separate"/>
            </w:r>
            <w:r>
              <w:rPr>
                <w:noProof/>
                <w:webHidden/>
              </w:rPr>
              <w:t>7</w:t>
            </w:r>
            <w:r>
              <w:rPr>
                <w:noProof/>
                <w:webHidden/>
              </w:rPr>
              <w:fldChar w:fldCharType="end"/>
            </w:r>
          </w:hyperlink>
        </w:p>
        <w:p w14:paraId="3F0FB1EB" w14:textId="3717F59E" w:rsidR="00C83203" w:rsidRDefault="00C83203">
          <w:pPr>
            <w:pStyle w:val="TOC1"/>
            <w:tabs>
              <w:tab w:val="right" w:leader="dot" w:pos="9016"/>
            </w:tabs>
            <w:rPr>
              <w:rFonts w:eastAsiaTheme="minorEastAsia"/>
              <w:b w:val="0"/>
              <w:bCs w:val="0"/>
              <w:i w:val="0"/>
              <w:iCs w:val="0"/>
              <w:noProof/>
              <w:lang w:eastAsia="en-GB"/>
            </w:rPr>
          </w:pPr>
          <w:hyperlink w:anchor="_Toc40654340" w:history="1">
            <w:r w:rsidRPr="00253FA9">
              <w:rPr>
                <w:rStyle w:val="Hyperlink"/>
                <w:noProof/>
              </w:rPr>
              <w:t>Conclusion</w:t>
            </w:r>
            <w:r>
              <w:rPr>
                <w:noProof/>
                <w:webHidden/>
              </w:rPr>
              <w:tab/>
            </w:r>
            <w:r>
              <w:rPr>
                <w:noProof/>
                <w:webHidden/>
              </w:rPr>
              <w:fldChar w:fldCharType="begin"/>
            </w:r>
            <w:r>
              <w:rPr>
                <w:noProof/>
                <w:webHidden/>
              </w:rPr>
              <w:instrText xml:space="preserve"> PAGEREF _Toc40654340 \h </w:instrText>
            </w:r>
            <w:r>
              <w:rPr>
                <w:noProof/>
                <w:webHidden/>
              </w:rPr>
            </w:r>
            <w:r>
              <w:rPr>
                <w:noProof/>
                <w:webHidden/>
              </w:rPr>
              <w:fldChar w:fldCharType="separate"/>
            </w:r>
            <w:r>
              <w:rPr>
                <w:noProof/>
                <w:webHidden/>
              </w:rPr>
              <w:t>7</w:t>
            </w:r>
            <w:r>
              <w:rPr>
                <w:noProof/>
                <w:webHidden/>
              </w:rPr>
              <w:fldChar w:fldCharType="end"/>
            </w:r>
          </w:hyperlink>
        </w:p>
        <w:p w14:paraId="58295059" w14:textId="5DA7BD56" w:rsidR="00C83203" w:rsidRDefault="00C83203">
          <w:pPr>
            <w:pStyle w:val="TOC1"/>
            <w:tabs>
              <w:tab w:val="right" w:leader="dot" w:pos="9016"/>
            </w:tabs>
            <w:rPr>
              <w:rFonts w:eastAsiaTheme="minorEastAsia"/>
              <w:b w:val="0"/>
              <w:bCs w:val="0"/>
              <w:i w:val="0"/>
              <w:iCs w:val="0"/>
              <w:noProof/>
              <w:lang w:eastAsia="en-GB"/>
            </w:rPr>
          </w:pPr>
          <w:hyperlink w:anchor="_Toc40654341" w:history="1">
            <w:r w:rsidRPr="00253FA9">
              <w:rPr>
                <w:rStyle w:val="Hyperlink"/>
                <w:noProof/>
              </w:rPr>
              <w:t>References</w:t>
            </w:r>
            <w:r>
              <w:rPr>
                <w:noProof/>
                <w:webHidden/>
              </w:rPr>
              <w:tab/>
            </w:r>
            <w:r>
              <w:rPr>
                <w:noProof/>
                <w:webHidden/>
              </w:rPr>
              <w:fldChar w:fldCharType="begin"/>
            </w:r>
            <w:r>
              <w:rPr>
                <w:noProof/>
                <w:webHidden/>
              </w:rPr>
              <w:instrText xml:space="preserve"> PAGEREF _Toc40654341 \h </w:instrText>
            </w:r>
            <w:r>
              <w:rPr>
                <w:noProof/>
                <w:webHidden/>
              </w:rPr>
            </w:r>
            <w:r>
              <w:rPr>
                <w:noProof/>
                <w:webHidden/>
              </w:rPr>
              <w:fldChar w:fldCharType="separate"/>
            </w:r>
            <w:r>
              <w:rPr>
                <w:noProof/>
                <w:webHidden/>
              </w:rPr>
              <w:t>8</w:t>
            </w:r>
            <w:r>
              <w:rPr>
                <w:noProof/>
                <w:webHidden/>
              </w:rPr>
              <w:fldChar w:fldCharType="end"/>
            </w:r>
          </w:hyperlink>
        </w:p>
        <w:p w14:paraId="1B72ECDA" w14:textId="0717620A" w:rsidR="00C83203" w:rsidRDefault="00C83203">
          <w:r>
            <w:rPr>
              <w:b/>
              <w:bCs/>
              <w:noProof/>
            </w:rPr>
            <w:fldChar w:fldCharType="end"/>
          </w:r>
        </w:p>
      </w:sdtContent>
    </w:sdt>
    <w:p w14:paraId="2FBB5434" w14:textId="13596290" w:rsidR="00C83203" w:rsidRDefault="00C83203"/>
    <w:p w14:paraId="75DFB6AE" w14:textId="77777777" w:rsidR="00C83203" w:rsidRDefault="00C83203" w:rsidP="00C83203">
      <w:pPr>
        <w:jc w:val="center"/>
      </w:pPr>
    </w:p>
    <w:p w14:paraId="42B4BD65" w14:textId="77777777" w:rsidR="00C83203" w:rsidRDefault="00C83203">
      <w:r>
        <w:br w:type="page"/>
      </w:r>
    </w:p>
    <w:p w14:paraId="04677B1E" w14:textId="77777777" w:rsidR="00C83203" w:rsidRDefault="00C83203" w:rsidP="00C83203">
      <w:pPr>
        <w:pStyle w:val="Heading1"/>
        <w:rPr>
          <w:rFonts w:eastAsia="Times New Roman"/>
          <w:lang w:eastAsia="en-GB"/>
        </w:rPr>
      </w:pPr>
      <w:bookmarkStart w:id="0" w:name="_Toc40654326"/>
      <w:r>
        <w:rPr>
          <w:rFonts w:eastAsia="Times New Roman"/>
          <w:lang w:eastAsia="en-GB"/>
        </w:rPr>
        <w:lastRenderedPageBreak/>
        <w:t>Introduction</w:t>
      </w:r>
      <w:bookmarkEnd w:id="0"/>
    </w:p>
    <w:p w14:paraId="533AA874" w14:textId="16C04A14" w:rsidR="00287DEB" w:rsidRDefault="00C83203" w:rsidP="00C83203">
      <w:pPr>
        <w:spacing w:line="360" w:lineRule="auto"/>
        <w:jc w:val="both"/>
      </w:pPr>
      <w:r>
        <w:rPr>
          <w:rFonts w:eastAsia="Times New Roman" w:cs="Times New Roman"/>
          <w:lang w:eastAsia="en-GB"/>
        </w:rPr>
        <w:t xml:space="preserve">This report provide analysis of the business environment in which electric vehicle industry operates. Factors, shaping this environment, provide threats and opportunities causing constant changes in the industry’s direction. </w:t>
      </w:r>
      <w:r>
        <w:t>Although the market share of the EV’s is still just at 3,3% of the total new car sales (Statista, 2020), it is a promising beginning of the deployment of sustainable infrastructure and reducing the environmental impact of the transport in Europe.</w:t>
      </w:r>
      <w:r>
        <w:rPr>
          <w:rFonts w:eastAsia="Times New Roman" w:cs="Times New Roman"/>
          <w:lang w:eastAsia="en-GB"/>
        </w:rPr>
        <w:t xml:space="preserve"> </w:t>
      </w:r>
      <w:r w:rsidR="00055027" w:rsidRPr="00AC5F57">
        <w:rPr>
          <w:rFonts w:eastAsia="Times New Roman" w:cs="Times New Roman"/>
          <w:lang w:eastAsia="en-GB"/>
        </w:rPr>
        <w:t xml:space="preserve">For the last few decades the increasing demand </w:t>
      </w:r>
      <w:r w:rsidR="00AC5F57" w:rsidRPr="00AC5F57">
        <w:rPr>
          <w:rFonts w:eastAsia="Times New Roman" w:cs="Times New Roman"/>
          <w:lang w:eastAsia="en-GB"/>
        </w:rPr>
        <w:t>for</w:t>
      </w:r>
      <w:r w:rsidR="00055027" w:rsidRPr="00AC5F57">
        <w:rPr>
          <w:rFonts w:eastAsia="Times New Roman" w:cs="Times New Roman"/>
          <w:lang w:eastAsia="en-GB"/>
        </w:rPr>
        <w:t xml:space="preserve"> reducing the green</w:t>
      </w:r>
      <w:r w:rsidR="00AC5F57" w:rsidRPr="00AC5F57">
        <w:rPr>
          <w:rFonts w:eastAsia="Times New Roman" w:cs="Times New Roman"/>
          <w:lang w:eastAsia="en-GB"/>
        </w:rPr>
        <w:t xml:space="preserve">house </w:t>
      </w:r>
      <w:r w:rsidR="00055027" w:rsidRPr="00AC5F57">
        <w:rPr>
          <w:rFonts w:eastAsia="Times New Roman" w:cs="Times New Roman"/>
          <w:lang w:eastAsia="en-GB"/>
        </w:rPr>
        <w:t>gas emission</w:t>
      </w:r>
      <w:r w:rsidR="00AC5F57" w:rsidRPr="00AC5F57">
        <w:rPr>
          <w:rFonts w:eastAsia="Times New Roman" w:cs="Times New Roman"/>
          <w:lang w:eastAsia="en-GB"/>
        </w:rPr>
        <w:t>s has led Europe to reconsider the need for stable policies</w:t>
      </w:r>
      <w:r>
        <w:rPr>
          <w:rFonts w:eastAsia="Times New Roman" w:cs="Times New Roman"/>
          <w:lang w:eastAsia="en-GB"/>
        </w:rPr>
        <w:t xml:space="preserve"> and charging infrastructure improvements</w:t>
      </w:r>
      <w:r w:rsidR="00AC5F57" w:rsidRPr="00AC5F57">
        <w:rPr>
          <w:rFonts w:eastAsia="Times New Roman" w:cs="Times New Roman"/>
          <w:lang w:eastAsia="en-GB"/>
        </w:rPr>
        <w:t xml:space="preserve"> that </w:t>
      </w:r>
      <w:r w:rsidR="00AC5F57" w:rsidRPr="00AC5F57">
        <w:t>support the electric vehicles industry</w:t>
      </w:r>
      <w:r>
        <w:t xml:space="preserve">. </w:t>
      </w:r>
    </w:p>
    <w:p w14:paraId="006154FA" w14:textId="3105BE42" w:rsidR="00C83203" w:rsidRDefault="00C83203" w:rsidP="00C83203">
      <w:pPr>
        <w:spacing w:line="360" w:lineRule="auto"/>
        <w:jc w:val="both"/>
      </w:pPr>
    </w:p>
    <w:p w14:paraId="4460AFBC" w14:textId="4C42ABA5" w:rsidR="00C83203" w:rsidRDefault="00C83203"/>
    <w:p w14:paraId="34BFA572" w14:textId="0D72AEC3" w:rsidR="00C83203" w:rsidRDefault="00C83203" w:rsidP="00C83203">
      <w:pPr>
        <w:pStyle w:val="Heading1"/>
      </w:pPr>
      <w:bookmarkStart w:id="1" w:name="_Toc40654327"/>
      <w:r>
        <w:t>PESTEL Analysis</w:t>
      </w:r>
      <w:bookmarkEnd w:id="1"/>
    </w:p>
    <w:p w14:paraId="18C8E733" w14:textId="6E5A4194" w:rsidR="00C83203" w:rsidRDefault="00C83203"/>
    <w:p w14:paraId="43566374" w14:textId="77777777" w:rsidR="00C83203" w:rsidRDefault="00C83203" w:rsidP="00C83203">
      <w:pPr>
        <w:pStyle w:val="Heading2"/>
      </w:pPr>
      <w:bookmarkStart w:id="2" w:name="_Toc40654328"/>
      <w:r>
        <w:t>Political factors</w:t>
      </w:r>
      <w:bookmarkEnd w:id="2"/>
      <w:r>
        <w:t xml:space="preserve"> </w:t>
      </w:r>
    </w:p>
    <w:p w14:paraId="1792B17F" w14:textId="672AD2C7" w:rsidR="00C83203" w:rsidRDefault="00C83203" w:rsidP="00C83203">
      <w:pPr>
        <w:spacing w:line="360" w:lineRule="auto"/>
        <w:jc w:val="both"/>
      </w:pPr>
      <w:r>
        <w:t>The basic external factors that affect the electric vehicles industry are related to the actions taken by governments to support the adoption of the industry, such as providing benefits to both customers and manufacturers and establishing strict regulations about the ICEVs. Many governments across Europe encourage the growth of the electric vehicles industry, providing subsidies, incentive schemes, loans and tax exemptions to manufacturers and potential buyers. Some of the</w:t>
      </w:r>
      <w:r>
        <w:t xml:space="preserve"> incentives </w:t>
      </w:r>
      <w:r>
        <w:t xml:space="preserve">already laid down involve </w:t>
      </w:r>
      <w:r>
        <w:t>one-time grants, exempts or reductions on the toll and parking fees, road taxes and access to bus and taxi lanes.</w:t>
      </w:r>
      <w:r>
        <w:t xml:space="preserve"> Countries like Belgium, Latvia, Hungary, Portugal and the Netherlands offer full exemptions of the registration tax and Finland and Denmark – a limited reduction of the tax. (European Environment Agency, 2016, p.60) European governments take the initiative to establish emission regulations and restrictions for traditional internal combustion engines. Some European cities are planning to ban   diesel cars </w:t>
      </w:r>
      <w:r>
        <w:t>entirely</w:t>
      </w:r>
      <w:r>
        <w:t>, while others are limiting the access of these types of vehicles to city centres.</w:t>
      </w:r>
      <w:r w:rsidRPr="00C83203">
        <w:t xml:space="preserve"> </w:t>
      </w:r>
      <w:r>
        <w:t>(</w:t>
      </w:r>
      <w:r w:rsidRPr="00C83203">
        <w:t>Wappelhorst</w:t>
      </w:r>
      <w:r>
        <w:t>, 2020</w:t>
      </w:r>
      <w:r>
        <w:t>, p.8</w:t>
      </w:r>
      <w:r>
        <w:t>)</w:t>
      </w:r>
      <w:r>
        <w:t xml:space="preserve"> To make the EV industry more attractive and to provide alternate solutions to the customers, European governments are investing in charging stations and parking spots, specially provided for the EV owners. The number of charging stations in Europe has raised to 170,000 in 2019. (Statista, 2020) Another part of the incentives includes one-time grants, exempts or reductions on the toll and parking fees, road taxes and access to bus and taxi lanes.</w:t>
      </w:r>
    </w:p>
    <w:p w14:paraId="78C62E6A" w14:textId="65EF96E9" w:rsidR="00C83203" w:rsidRDefault="00C83203" w:rsidP="00C83203">
      <w:pPr>
        <w:spacing w:line="360" w:lineRule="auto"/>
        <w:jc w:val="both"/>
      </w:pPr>
    </w:p>
    <w:p w14:paraId="3084B463" w14:textId="77777777" w:rsidR="00C83203" w:rsidRDefault="00C83203" w:rsidP="00C83203">
      <w:pPr>
        <w:pStyle w:val="Heading2"/>
      </w:pPr>
      <w:bookmarkStart w:id="3" w:name="_Toc40654329"/>
      <w:r>
        <w:t>Economic factors</w:t>
      </w:r>
      <w:bookmarkEnd w:id="3"/>
      <w:r>
        <w:t xml:space="preserve"> </w:t>
      </w:r>
    </w:p>
    <w:p w14:paraId="337D52F8" w14:textId="6A9EAABB" w:rsidR="00C83203" w:rsidRDefault="00C83203" w:rsidP="00C83203">
      <w:pPr>
        <w:spacing w:line="360" w:lineRule="auto"/>
        <w:jc w:val="both"/>
      </w:pPr>
      <w:r w:rsidRPr="00C83203">
        <w:t>The external variables are linked to the overall economic condition of the automobile industry.</w:t>
      </w:r>
      <w:r>
        <w:t xml:space="preserve"> Economic instability could be a threat for the automotive industry as it could lead to a decrease in the demand of luxury goods, this including new vehicles, drawing a parallel to what has happened in 2008, with the economic crisis causing a drastic decline in car sales. The industry itself is a well-known marker for the wellbeing of a country’s or even global economy and lowering numbers in manufacturing and sales are often accompanied by a downward slope in the wide economic picture. A potential growth of the economic would have a positive impact on the electric vehicles industry, increasing the investments in electric vehicle development. Among the economic factors is the decreasing price of the batteries that makes EV’s more affordable, reducing the total cost of ownership and causing the penetration decline of the internal combustion engines vehicles. (Deloitte, 2019, p.4)</w:t>
      </w:r>
    </w:p>
    <w:p w14:paraId="11CBDCE5" w14:textId="54E60293" w:rsidR="00C83203" w:rsidRDefault="00C83203" w:rsidP="00C83203">
      <w:pPr>
        <w:spacing w:line="360" w:lineRule="auto"/>
        <w:jc w:val="both"/>
      </w:pPr>
    </w:p>
    <w:p w14:paraId="3A78561E" w14:textId="77777777" w:rsidR="00C83203" w:rsidRDefault="00C83203" w:rsidP="00C83203">
      <w:pPr>
        <w:pStyle w:val="Heading2"/>
      </w:pPr>
    </w:p>
    <w:p w14:paraId="3F1602D3" w14:textId="00B4FDC6" w:rsidR="00C83203" w:rsidRDefault="00C83203" w:rsidP="00C83203">
      <w:pPr>
        <w:pStyle w:val="Heading2"/>
      </w:pPr>
      <w:bookmarkStart w:id="4" w:name="_Toc40654330"/>
      <w:r>
        <w:t>Social factors</w:t>
      </w:r>
      <w:bookmarkEnd w:id="4"/>
      <w:r>
        <w:t xml:space="preserve"> </w:t>
      </w:r>
    </w:p>
    <w:p w14:paraId="17E06767" w14:textId="5AFB88A5" w:rsidR="00C83203" w:rsidRDefault="00C83203" w:rsidP="00C83203">
      <w:pPr>
        <w:spacing w:line="360" w:lineRule="auto"/>
        <w:jc w:val="both"/>
      </w:pPr>
      <w:r>
        <w:t>The social variables that could be unfavourable for the industry, despite the governments initiatives to encourage the adoption of the EV’s industry, are the customers’ concerns about costs, time for charging, driving range and the insufficient infrastructure. Customers’ decisions are often driven by the cost of ownership. The total cost of the electric cars is up to EUR 10 000 higher compared to the cost of the traditional ICE’s (</w:t>
      </w:r>
      <w:r w:rsidRPr="00C83203">
        <w:t>Hacker et al., 2015</w:t>
      </w:r>
      <w:r>
        <w:t xml:space="preserve">, p.29) A key point in the customers’ refusal to switch between conventional and electric cars is their adaptation to the ICEV’s capability to deal with distance and the common availability of fuel supply.  The limited distance range and the lack of charging infrastructure are determining the main uncertainty among buyers. (Deloitte, 2019, p.6) Although governments have already taken actions in improving the charging infrastructure, the number of charging points is still not adequate to change drivers’ minds. A favourable aspect in consumer behaviour is the willingness to reduce their carbon footprint, resulting in more sustainable choices regarding alternate transport options. The incentives provided by some of the European governments may also have a positive impact on buyers’ decisions. </w:t>
      </w:r>
    </w:p>
    <w:p w14:paraId="6143D62F" w14:textId="027CAAC9" w:rsidR="00C83203" w:rsidRDefault="00C83203"/>
    <w:p w14:paraId="7287FBA8" w14:textId="77777777" w:rsidR="00C83203" w:rsidRDefault="00C83203" w:rsidP="00C83203">
      <w:pPr>
        <w:pStyle w:val="Heading2"/>
      </w:pPr>
      <w:bookmarkStart w:id="5" w:name="_Toc40654331"/>
      <w:r>
        <w:lastRenderedPageBreak/>
        <w:t>Technological factors</w:t>
      </w:r>
      <w:bookmarkEnd w:id="5"/>
    </w:p>
    <w:p w14:paraId="32C02415" w14:textId="6E1FD4D5" w:rsidR="00C83203" w:rsidRDefault="00C83203" w:rsidP="00C83203">
      <w:pPr>
        <w:spacing w:line="360" w:lineRule="auto"/>
        <w:jc w:val="both"/>
      </w:pPr>
      <w:r>
        <w:t>The main technological forces that shape the business environment of the EV’s industry concern the most problematic component – the electric vehicle battery, regarding to its weight, limited driving range, power capacity, and price. There is a need for more technological advancements and lowering the cost to enlarge the demand for these vehicles.</w:t>
      </w:r>
      <w:r w:rsidRPr="00C83203">
        <w:t xml:space="preserve"> </w:t>
      </w:r>
      <w:r w:rsidRPr="00C83203">
        <w:t xml:space="preserve">Recent forecasts indicate that </w:t>
      </w:r>
      <w:r>
        <w:t xml:space="preserve">EV battery </w:t>
      </w:r>
      <w:r w:rsidRPr="00C83203">
        <w:t>pack prices could drop below $100 / kWh by 2030.</w:t>
      </w:r>
      <w:r>
        <w:rPr>
          <w:rFonts w:ascii="Times New Roman" w:eastAsia="Times New Roman" w:hAnsi="Times New Roman" w:cs="Times New Roman"/>
          <w:lang w:eastAsia="en-GB"/>
        </w:rPr>
        <w:t xml:space="preserve"> </w:t>
      </w:r>
      <w:r>
        <w:t>Further investments in expanding the range of charging opportunities could also help the growth of the EV industry. (McKinsey, 2017, p.10) The EU has developed a program, which has invested in various initiatives to support the development and the renovation of transport infrastructure across the continent, including the deployment of 115 fast charging stations on central roads, which allow long-distance driving and encourage more sustainable transport. (European Environment Agency, 2016, p.35)</w:t>
      </w:r>
    </w:p>
    <w:p w14:paraId="107A982B" w14:textId="4A2C6171" w:rsidR="00C83203" w:rsidRDefault="00C83203" w:rsidP="00C83203"/>
    <w:p w14:paraId="454F0C5C" w14:textId="77777777" w:rsidR="00C83203" w:rsidRDefault="00C83203" w:rsidP="00C83203">
      <w:pPr>
        <w:pStyle w:val="Heading2"/>
      </w:pPr>
      <w:bookmarkStart w:id="6" w:name="_Toc40654332"/>
      <w:r>
        <w:t>Environmental factors</w:t>
      </w:r>
      <w:bookmarkEnd w:id="6"/>
    </w:p>
    <w:p w14:paraId="23A31241" w14:textId="38859955" w:rsidR="00C83203" w:rsidRDefault="00C83203" w:rsidP="00C83203">
      <w:pPr>
        <w:spacing w:line="360" w:lineRule="auto"/>
        <w:jc w:val="both"/>
      </w:pPr>
      <w:r>
        <w:t>As the issues of climate change, air pollution, environment, are dramatically growing, with transport being responsible for a quarter of the greenhouse gas emissions in Europe, this is an opportunity for the electric car industry to further grow. Through their lifetime electric cars are much cleaner than conventional vehicles. According to the Internal Council on Clean Transportation (2018, p.11), an average electric car is responsible for just half of the GHG emissions of a typical internal combustion engine vehicle. In countries, such as Norway and France, EV’s generates a third of the pollution, produced by an ICEV. This results in governments reinforcing their objectives to promote electric vehicles as a key element of their emissions reduction strategies. The use of renewable energy sources in Europe would also increase the benefits of the electric vehicles.</w:t>
      </w:r>
    </w:p>
    <w:p w14:paraId="316D5712" w14:textId="4AB2207C" w:rsidR="00C83203" w:rsidRDefault="00C83203" w:rsidP="00C83203">
      <w:pPr>
        <w:spacing w:line="360" w:lineRule="auto"/>
        <w:jc w:val="both"/>
      </w:pPr>
    </w:p>
    <w:p w14:paraId="5E96D99F" w14:textId="77777777" w:rsidR="00C83203" w:rsidRDefault="00C83203" w:rsidP="00C83203">
      <w:pPr>
        <w:pStyle w:val="Heading2"/>
      </w:pPr>
      <w:bookmarkStart w:id="7" w:name="_Toc40654333"/>
      <w:r>
        <w:t>Legal factors</w:t>
      </w:r>
      <w:bookmarkEnd w:id="7"/>
      <w:r>
        <w:t xml:space="preserve"> </w:t>
      </w:r>
    </w:p>
    <w:p w14:paraId="2E9511CF" w14:textId="4B99908D" w:rsidR="00C83203" w:rsidRPr="00C83203" w:rsidRDefault="00C83203" w:rsidP="00C83203">
      <w:pPr>
        <w:spacing w:line="360" w:lineRule="auto"/>
        <w:jc w:val="both"/>
        <w:rPr>
          <w:rFonts w:ascii="Times New Roman" w:eastAsia="Times New Roman" w:hAnsi="Times New Roman" w:cs="Times New Roman"/>
          <w:lang w:eastAsia="en-GB"/>
        </w:rPr>
      </w:pPr>
      <w:r>
        <w:t xml:space="preserve">The legal factors related to the electric automotive industry comprise of legislations, rules and regulations, proposed by the European entities, which the industry should meet. Some of the regulations regarding  combustion vehicles could be an opportunity for the electric car industry, such as the White Paper on Transport of the EU Commission, which represents the goal to halve </w:t>
      </w:r>
      <w:r w:rsidRPr="00C83203">
        <w:t>the use of traditional internal combustion engines in urban transport by 2030 and process them out of major cities before 2050.</w:t>
      </w:r>
    </w:p>
    <w:p w14:paraId="7BF8BDEE" w14:textId="109B3CBD" w:rsidR="00C83203" w:rsidRDefault="00C83203" w:rsidP="00C83203">
      <w:pPr>
        <w:spacing w:line="360" w:lineRule="auto"/>
        <w:jc w:val="both"/>
      </w:pPr>
    </w:p>
    <w:p w14:paraId="5D9CCDF0" w14:textId="447983F8" w:rsidR="00C83203" w:rsidRPr="00C83203" w:rsidRDefault="00C83203" w:rsidP="00C83203">
      <w:pPr>
        <w:pStyle w:val="Heading1"/>
        <w:rPr>
          <w:color w:val="000000" w:themeColor="text1"/>
        </w:rPr>
      </w:pPr>
      <w:bookmarkStart w:id="8" w:name="_Toc40654334"/>
      <w:r>
        <w:lastRenderedPageBreak/>
        <w:t>Porter’s Five Forces</w:t>
      </w:r>
      <w:bookmarkEnd w:id="8"/>
    </w:p>
    <w:p w14:paraId="4702D99D" w14:textId="4B75FE9D" w:rsidR="00C83203" w:rsidRPr="00C83203" w:rsidRDefault="00C83203">
      <w:pPr>
        <w:rPr>
          <w:color w:val="000000" w:themeColor="text1"/>
        </w:rPr>
      </w:pPr>
    </w:p>
    <w:p w14:paraId="1DEEBCE1" w14:textId="7A774BB2" w:rsidR="00C83203" w:rsidRDefault="00C83203">
      <w:r>
        <w:rPr>
          <w:noProof/>
        </w:rPr>
        <mc:AlternateContent>
          <mc:Choice Requires="wps">
            <w:drawing>
              <wp:anchor distT="0" distB="0" distL="114300" distR="114300" simplePos="0" relativeHeight="251662336" behindDoc="0" locked="0" layoutInCell="1" allowOverlap="1" wp14:anchorId="2E1ABD8B" wp14:editId="4EA41DE9">
                <wp:simplePos x="0" y="0"/>
                <wp:positionH relativeFrom="column">
                  <wp:posOffset>2257743</wp:posOffset>
                </wp:positionH>
                <wp:positionV relativeFrom="paragraph">
                  <wp:posOffset>124144</wp:posOffset>
                </wp:positionV>
                <wp:extent cx="1260000" cy="1728000"/>
                <wp:effectExtent l="7302" t="18098" r="0" b="119062"/>
                <wp:wrapNone/>
                <wp:docPr id="3" name="Right Arrow 3"/>
                <wp:cNvGraphicFramePr/>
                <a:graphic xmlns:a="http://schemas.openxmlformats.org/drawingml/2006/main">
                  <a:graphicData uri="http://schemas.microsoft.com/office/word/2010/wordprocessingShape">
                    <wps:wsp>
                      <wps:cNvSpPr/>
                      <wps:spPr>
                        <a:xfrm rot="5400000">
                          <a:off x="0" y="0"/>
                          <a:ext cx="1260000" cy="1728000"/>
                        </a:xfrm>
                        <a:prstGeom prst="rightArrow">
                          <a:avLst/>
                        </a:prstGeom>
                        <a:solidFill>
                          <a:schemeClr val="accent2">
                            <a:lumMod val="40000"/>
                            <a:lumOff val="60000"/>
                          </a:schemeClr>
                        </a:solidFill>
                        <a:effectLst>
                          <a:outerShdw blurRad="50800" dist="38100" dir="5400000" algn="t"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83CF328" w14:textId="0BCD7FAE" w:rsidR="00C83203" w:rsidRDefault="00C83203" w:rsidP="00C83203">
                            <w:pPr>
                              <w:jc w:val="right"/>
                            </w:pPr>
                            <w:r w:rsidRPr="00C83203">
                              <w:rPr>
                                <w:color w:val="000000" w:themeColor="text1"/>
                              </w:rPr>
                              <w:t>Threat              of New              Entrants</w:t>
                            </w:r>
                          </w:p>
                        </w:txbxContent>
                      </wps:txbx>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1ABD8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177.8pt;margin-top:9.8pt;width:99.2pt;height:136.0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" adj="10800" fillcolor="#f7caac [1301]" strokecolor="#1f3763 [1604]" strokeweight="1pt">
                <v:shadow on="t" color="black" opacity="26214f" origin=",-.5" offset="0,3pt"/>
                <v:textbox>
                  <w:txbxContent>
                    <w:p w14:paraId="583CF328" w14:textId="0BCD7FAE" w:rsidR="00C83203" w:rsidRDefault="00C83203" w:rsidP="00C83203">
                      <w:pPr>
                        <w:jc w:val="right"/>
                      </w:pPr>
                      <w:r w:rsidRPr="00C83203">
                        <w:rPr>
                          <w:color w:val="000000" w:themeColor="text1"/>
                        </w:rPr>
                        <w:t>Threat              of New              Entrants</w:t>
                      </w:r>
                    </w:p>
                  </w:txbxContent>
                </v:textbox>
              </v:shape>
            </w:pict>
          </mc:Fallback>
        </mc:AlternateContent>
      </w:r>
    </w:p>
    <w:p w14:paraId="6798220B" w14:textId="758E9858" w:rsidR="00C83203" w:rsidRDefault="00C83203" w:rsidP="00C83203">
      <w:pPr>
        <w:jc w:val="center"/>
      </w:pPr>
    </w:p>
    <w:p w14:paraId="015347C7" w14:textId="730F2B12" w:rsidR="00C83203" w:rsidRDefault="00C83203" w:rsidP="00C83203"/>
    <w:p w14:paraId="27F44ED2" w14:textId="62809CBD" w:rsidR="00C83203" w:rsidRDefault="00C83203" w:rsidP="00C83203"/>
    <w:p w14:paraId="7B09DF50" w14:textId="77777777" w:rsidR="00C83203" w:rsidRPr="00C83203" w:rsidRDefault="00C83203" w:rsidP="00C83203">
      <w:pPr>
        <w:rPr>
          <w:color w:val="000000" w:themeColor="text1"/>
        </w:rPr>
      </w:pPr>
    </w:p>
    <w:p w14:paraId="46063FD0" w14:textId="77777777" w:rsidR="00C83203" w:rsidRDefault="00C83203" w:rsidP="00C83203">
      <w:pPr>
        <w:jc w:val="center"/>
      </w:pPr>
    </w:p>
    <w:p w14:paraId="2A55C192" w14:textId="1C75EB04" w:rsidR="00C83203" w:rsidRDefault="00C83203" w:rsidP="00C83203">
      <w:pPr>
        <w:jc w:val="center"/>
      </w:pPr>
    </w:p>
    <w:p w14:paraId="098DCA92" w14:textId="36689F77" w:rsidR="00C83203" w:rsidRDefault="00C83203" w:rsidP="00C83203">
      <w:pPr>
        <w:jc w:val="center"/>
      </w:pPr>
    </w:p>
    <w:p w14:paraId="2BFB0BDC" w14:textId="516E7D05" w:rsidR="00C83203" w:rsidRDefault="00C83203" w:rsidP="00C83203">
      <w:pPr>
        <w:jc w:val="center"/>
      </w:pPr>
    </w:p>
    <w:p w14:paraId="588EC2DC" w14:textId="17160895" w:rsidR="00C83203" w:rsidRDefault="00C83203" w:rsidP="00C83203">
      <w:pPr>
        <w:jc w:val="center"/>
      </w:pPr>
      <w:r>
        <w:rPr>
          <w:noProof/>
        </w:rPr>
        <mc:AlternateContent>
          <mc:Choice Requires="wps">
            <w:drawing>
              <wp:anchor distT="0" distB="0" distL="114300" distR="114300" simplePos="0" relativeHeight="251664384" behindDoc="0" locked="0" layoutInCell="1" allowOverlap="1" wp14:anchorId="5464432D" wp14:editId="12220557">
                <wp:simplePos x="0" y="0"/>
                <wp:positionH relativeFrom="column">
                  <wp:posOffset>4089400</wp:posOffset>
                </wp:positionH>
                <wp:positionV relativeFrom="paragraph">
                  <wp:posOffset>176530</wp:posOffset>
                </wp:positionV>
                <wp:extent cx="1257300" cy="1727836"/>
                <wp:effectExtent l="76200" t="76200" r="152400" b="139065"/>
                <wp:wrapNone/>
                <wp:docPr id="4" name="Right Arrow 4"/>
                <wp:cNvGraphicFramePr/>
                <a:graphic xmlns:a="http://schemas.openxmlformats.org/drawingml/2006/main">
                  <a:graphicData uri="http://schemas.microsoft.com/office/word/2010/wordprocessingShape">
                    <wps:wsp>
                      <wps:cNvSpPr/>
                      <wps:spPr>
                        <a:xfrm rot="10800000">
                          <a:off x="0" y="0"/>
                          <a:ext cx="1257300" cy="1727836"/>
                        </a:xfrm>
                        <a:prstGeom prst="rightArrow">
                          <a:avLst/>
                        </a:prstGeom>
                        <a:solidFill>
                          <a:schemeClr val="accent2">
                            <a:lumMod val="40000"/>
                            <a:lumOff val="60000"/>
                          </a:schemeClr>
                        </a:solidFill>
                        <a:effectLst>
                          <a:glow rad="63500">
                            <a:schemeClr val="accent3">
                              <a:satMod val="175000"/>
                              <a:alpha val="40000"/>
                            </a:schemeClr>
                          </a:glow>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4F48554" w14:textId="20571D25" w:rsidR="00C83203" w:rsidRPr="00C83203" w:rsidRDefault="00C83203" w:rsidP="00C83203">
                            <w:pPr>
                              <w:jc w:val="right"/>
                              <w:rPr>
                                <w:color w:val="44546A" w:themeColor="text2"/>
                              </w:rPr>
                            </w:pPr>
                            <w:r w:rsidRPr="00C83203">
                              <w:rPr>
                                <w:color w:val="44546A" w:themeColor="text2"/>
                              </w:rPr>
                              <w:t xml:space="preserve">   Bargaining Power of Customers</w:t>
                            </w:r>
                          </w:p>
                        </w:txbxContent>
                      </wps:txbx>
                      <wps:bodyPr rot="0" spcFirstLastPara="0" vertOverflow="overflow" horzOverflow="overflow" vert="horz" wrap="square" lIns="0" tIns="144000" rIns="0" bIns="1440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4432D" id="Right Arrow 4" o:spid="_x0000_s1027" type="#_x0000_t13" style="position:absolute;left:0;text-align:left;margin-left:322pt;margin-top:13.9pt;width:99pt;height:136.05pt;rotation:18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" adj="10800" fillcolor="#f7caac [1301]" strokecolor="#1f3763 [1604]" strokeweight="1pt">
                <v:shadow on="t" color="black" opacity="26214f" origin="-.5,-.5" offset=".74836mm,.74836mm"/>
                <v:textbox inset="0,4mm,0,4mm">
                  <w:txbxContent>
                    <w:p w14:paraId="34F48554" w14:textId="20571D25" w:rsidR="00C83203" w:rsidRPr="00C83203" w:rsidRDefault="00C83203" w:rsidP="00C83203">
                      <w:pPr>
                        <w:jc w:val="right"/>
                        <w:rPr>
                          <w:color w:val="44546A" w:themeColor="text2"/>
                        </w:rPr>
                      </w:pPr>
                      <w:r w:rsidRPr="00C83203">
                        <w:rPr>
                          <w:color w:val="44546A" w:themeColor="text2"/>
                        </w:rPr>
                        <w:t xml:space="preserve">   Bargaining Power of Customers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EFC4735" wp14:editId="5224144F">
                <wp:simplePos x="0" y="0"/>
                <wp:positionH relativeFrom="column">
                  <wp:posOffset>400050</wp:posOffset>
                </wp:positionH>
                <wp:positionV relativeFrom="paragraph">
                  <wp:posOffset>173355</wp:posOffset>
                </wp:positionV>
                <wp:extent cx="1259840" cy="1727835"/>
                <wp:effectExtent l="63500" t="88900" r="35560" b="100965"/>
                <wp:wrapNone/>
                <wp:docPr id="2" name="Right Arrow 2"/>
                <wp:cNvGraphicFramePr/>
                <a:graphic xmlns:a="http://schemas.openxmlformats.org/drawingml/2006/main">
                  <a:graphicData uri="http://schemas.microsoft.com/office/word/2010/wordprocessingShape">
                    <wps:wsp>
                      <wps:cNvSpPr/>
                      <wps:spPr>
                        <a:xfrm>
                          <a:off x="0" y="0"/>
                          <a:ext cx="1259840" cy="1727835"/>
                        </a:xfrm>
                        <a:prstGeom prst="rightArrow">
                          <a:avLst/>
                        </a:prstGeom>
                        <a:solidFill>
                          <a:schemeClr val="accent2">
                            <a:lumMod val="40000"/>
                            <a:lumOff val="60000"/>
                          </a:schemeClr>
                        </a:solidFill>
                        <a:effectLst>
                          <a:glow rad="63500">
                            <a:schemeClr val="accent3">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8E0F922" w14:textId="77777777" w:rsidR="00C83203" w:rsidRDefault="00C83203" w:rsidP="00C83203">
                            <w:pPr>
                              <w:jc w:val="center"/>
                              <w:rPr>
                                <w:color w:val="44546A" w:themeColor="text2"/>
                              </w:rPr>
                            </w:pPr>
                          </w:p>
                          <w:p w14:paraId="7DBF34F2" w14:textId="17CCF2BE" w:rsidR="00C83203" w:rsidRPr="00C83203" w:rsidRDefault="00C83203" w:rsidP="00C83203">
                            <w:pPr>
                              <w:jc w:val="center"/>
                              <w:rPr>
                                <w:color w:val="44546A" w:themeColor="text2"/>
                              </w:rPr>
                            </w:pPr>
                            <w:r w:rsidRPr="00C83203">
                              <w:rPr>
                                <w:color w:val="44546A" w:themeColor="text2"/>
                              </w:rPr>
                              <w:t>Bargaining</w:t>
                            </w:r>
                          </w:p>
                          <w:p w14:paraId="40AB599E" w14:textId="2C89239D" w:rsidR="00C83203" w:rsidRPr="00C83203" w:rsidRDefault="00C83203" w:rsidP="00C83203">
                            <w:pPr>
                              <w:jc w:val="center"/>
                              <w:rPr>
                                <w:color w:val="44546A" w:themeColor="text2"/>
                              </w:rPr>
                            </w:pPr>
                            <w:r w:rsidRPr="00C83203">
                              <w:rPr>
                                <w:color w:val="44546A" w:themeColor="text2"/>
                              </w:rPr>
                              <w:t>Power of</w:t>
                            </w:r>
                          </w:p>
                          <w:p w14:paraId="0ED16E4E" w14:textId="0155D921" w:rsidR="00C83203" w:rsidRPr="00C83203" w:rsidRDefault="00C83203" w:rsidP="00C83203">
                            <w:pPr>
                              <w:jc w:val="center"/>
                              <w:rPr>
                                <w:color w:val="44546A" w:themeColor="text2"/>
                              </w:rPr>
                            </w:pPr>
                            <w:r w:rsidRPr="00C83203">
                              <w:rPr>
                                <w:color w:val="44546A" w:themeColor="text2"/>
                              </w:rPr>
                              <w:t>Suppliers</w:t>
                            </w:r>
                          </w:p>
                          <w:p w14:paraId="4382DB62" w14:textId="77777777" w:rsidR="00C83203" w:rsidRPr="00C83203" w:rsidRDefault="00C83203">
                            <w:pPr>
                              <w:rPr>
                                <w:color w:val="44546A" w:themeColor="text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C4735" id="Right Arrow 2" o:spid="_x0000_s1028" type="#_x0000_t13" style="position:absolute;left:0;text-align:left;margin-left:31.5pt;margin-top:13.65pt;width:99.2pt;height:13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" adj="10800" fillcolor="#f7caac [1301]" strokecolor="#1f3763 [1604]" strokeweight="1pt">
                <v:textbox>
                  <w:txbxContent>
                    <w:p w14:paraId="48E0F922" w14:textId="77777777" w:rsidR="00C83203" w:rsidRDefault="00C83203" w:rsidP="00C83203">
                      <w:pPr>
                        <w:jc w:val="center"/>
                        <w:rPr>
                          <w:color w:val="44546A" w:themeColor="text2"/>
                        </w:rPr>
                      </w:pPr>
                    </w:p>
                    <w:p w14:paraId="7DBF34F2" w14:textId="17CCF2BE" w:rsidR="00C83203" w:rsidRPr="00C83203" w:rsidRDefault="00C83203" w:rsidP="00C83203">
                      <w:pPr>
                        <w:jc w:val="center"/>
                        <w:rPr>
                          <w:color w:val="44546A" w:themeColor="text2"/>
                        </w:rPr>
                      </w:pPr>
                      <w:r w:rsidRPr="00C83203">
                        <w:rPr>
                          <w:color w:val="44546A" w:themeColor="text2"/>
                        </w:rPr>
                        <w:t>Bargaining</w:t>
                      </w:r>
                    </w:p>
                    <w:p w14:paraId="40AB599E" w14:textId="2C89239D" w:rsidR="00C83203" w:rsidRPr="00C83203" w:rsidRDefault="00C83203" w:rsidP="00C83203">
                      <w:pPr>
                        <w:jc w:val="center"/>
                        <w:rPr>
                          <w:color w:val="44546A" w:themeColor="text2"/>
                        </w:rPr>
                      </w:pPr>
                      <w:r w:rsidRPr="00C83203">
                        <w:rPr>
                          <w:color w:val="44546A" w:themeColor="text2"/>
                        </w:rPr>
                        <w:t>Power of</w:t>
                      </w:r>
                    </w:p>
                    <w:p w14:paraId="0ED16E4E" w14:textId="0155D921" w:rsidR="00C83203" w:rsidRPr="00C83203" w:rsidRDefault="00C83203" w:rsidP="00C83203">
                      <w:pPr>
                        <w:jc w:val="center"/>
                        <w:rPr>
                          <w:color w:val="44546A" w:themeColor="text2"/>
                        </w:rPr>
                      </w:pPr>
                      <w:r w:rsidRPr="00C83203">
                        <w:rPr>
                          <w:color w:val="44546A" w:themeColor="text2"/>
                        </w:rPr>
                        <w:t>Suppliers</w:t>
                      </w:r>
                    </w:p>
                    <w:p w14:paraId="4382DB62" w14:textId="77777777" w:rsidR="00C83203" w:rsidRPr="00C83203" w:rsidRDefault="00C83203">
                      <w:pPr>
                        <w:rPr>
                          <w:color w:val="44546A" w:themeColor="text2"/>
                        </w:rPr>
                      </w:pPr>
                    </w:p>
                  </w:txbxContent>
                </v:textbox>
              </v:shape>
            </w:pict>
          </mc:Fallback>
        </mc:AlternateContent>
      </w:r>
    </w:p>
    <w:p w14:paraId="760AE825" w14:textId="54892E4A" w:rsidR="00C83203" w:rsidRDefault="00C83203" w:rsidP="00C83203">
      <w:pPr>
        <w:jc w:val="center"/>
      </w:pPr>
      <w:r>
        <w:rPr>
          <w:noProof/>
        </w:rPr>
        <mc:AlternateContent>
          <mc:Choice Requires="wps">
            <w:drawing>
              <wp:anchor distT="0" distB="0" distL="114300" distR="114300" simplePos="0" relativeHeight="251659264" behindDoc="0" locked="0" layoutInCell="1" allowOverlap="1" wp14:anchorId="01BA97D9" wp14:editId="7D49E11C">
                <wp:simplePos x="0" y="0"/>
                <wp:positionH relativeFrom="column">
                  <wp:posOffset>2174240</wp:posOffset>
                </wp:positionH>
                <wp:positionV relativeFrom="paragraph">
                  <wp:posOffset>74930</wp:posOffset>
                </wp:positionV>
                <wp:extent cx="1511300" cy="1511300"/>
                <wp:effectExtent l="0" t="0" r="12700" b="12700"/>
                <wp:wrapNone/>
                <wp:docPr id="1" name="Oval 1"/>
                <wp:cNvGraphicFramePr/>
                <a:graphic xmlns:a="http://schemas.openxmlformats.org/drawingml/2006/main">
                  <a:graphicData uri="http://schemas.microsoft.com/office/word/2010/wordprocessingShape">
                    <wps:wsp>
                      <wps:cNvSpPr/>
                      <wps:spPr>
                        <a:xfrm>
                          <a:off x="0" y="0"/>
                          <a:ext cx="1511300" cy="1511300"/>
                        </a:xfrm>
                        <a:prstGeom prst="ellipse">
                          <a:avLst/>
                        </a:prstGeom>
                        <a:solidFill>
                          <a:schemeClr val="accent1">
                            <a:lumMod val="20000"/>
                            <a:lumOff val="8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ED88E6" w14:textId="58E90FAE" w:rsidR="00C83203" w:rsidRPr="00C83203" w:rsidRDefault="00C83203" w:rsidP="00C83203">
                            <w:pPr>
                              <w:jc w:val="center"/>
                              <w:rPr>
                                <w:color w:val="000000" w:themeColor="text1"/>
                              </w:rPr>
                            </w:pPr>
                            <w:r w:rsidRPr="00C83203">
                              <w:rPr>
                                <w:color w:val="000000" w:themeColor="text1"/>
                              </w:rPr>
                              <w:t>Industry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BA97D9" id="Oval 1" o:spid="_x0000_s1029" style="position:absolute;left:0;text-align:left;margin-left:171.2pt;margin-top:5.9pt;width:119pt;height:1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" fillcolor="#d9e2f3 [660]" strokecolor="#b4c6e7 [1300]" strokeweight="1pt">
                <v:stroke joinstyle="miter"/>
                <v:textbox>
                  <w:txbxContent>
                    <w:p w14:paraId="76ED88E6" w14:textId="58E90FAE" w:rsidR="00C83203" w:rsidRPr="00C83203" w:rsidRDefault="00C83203" w:rsidP="00C83203">
                      <w:pPr>
                        <w:jc w:val="center"/>
                        <w:rPr>
                          <w:color w:val="000000" w:themeColor="text1"/>
                        </w:rPr>
                      </w:pPr>
                      <w:r w:rsidRPr="00C83203">
                        <w:rPr>
                          <w:color w:val="000000" w:themeColor="text1"/>
                        </w:rPr>
                        <w:t>Industry Rivalry</w:t>
                      </w:r>
                    </w:p>
                  </w:txbxContent>
                </v:textbox>
              </v:oval>
            </w:pict>
          </mc:Fallback>
        </mc:AlternateContent>
      </w:r>
    </w:p>
    <w:p w14:paraId="012EE2CD" w14:textId="765BC693" w:rsidR="00C83203" w:rsidRDefault="00C83203" w:rsidP="00C83203">
      <w:pPr>
        <w:jc w:val="center"/>
      </w:pPr>
    </w:p>
    <w:p w14:paraId="1543244A" w14:textId="6B1D61F8" w:rsidR="00C83203" w:rsidRDefault="00C83203" w:rsidP="00C83203">
      <w:pPr>
        <w:jc w:val="center"/>
      </w:pPr>
    </w:p>
    <w:p w14:paraId="1A903AE4" w14:textId="62E02E5D" w:rsidR="00C83203" w:rsidRDefault="00C83203" w:rsidP="00C83203">
      <w:pPr>
        <w:jc w:val="center"/>
      </w:pPr>
    </w:p>
    <w:p w14:paraId="0B2B7D22" w14:textId="45F248B7" w:rsidR="00C83203" w:rsidRDefault="00C83203" w:rsidP="00C83203">
      <w:pPr>
        <w:jc w:val="center"/>
      </w:pPr>
    </w:p>
    <w:p w14:paraId="3980EBB0" w14:textId="343EAAF0" w:rsidR="00C83203" w:rsidRDefault="00C83203" w:rsidP="00C83203">
      <w:pPr>
        <w:jc w:val="center"/>
      </w:pPr>
    </w:p>
    <w:p w14:paraId="70E03B42" w14:textId="715878F9" w:rsidR="00C83203" w:rsidRDefault="00C83203" w:rsidP="00C83203">
      <w:pPr>
        <w:jc w:val="center"/>
      </w:pPr>
    </w:p>
    <w:p w14:paraId="08C2DE7F" w14:textId="77777777" w:rsidR="00C83203" w:rsidRDefault="00C83203" w:rsidP="00C83203">
      <w:pPr>
        <w:jc w:val="center"/>
      </w:pPr>
    </w:p>
    <w:p w14:paraId="0C7EB3C5" w14:textId="5D9DF1C5" w:rsidR="00C83203" w:rsidRDefault="00C83203" w:rsidP="00C83203">
      <w:pPr>
        <w:jc w:val="center"/>
      </w:pPr>
      <w:r>
        <w:rPr>
          <w:noProof/>
        </w:rPr>
        <mc:AlternateContent>
          <mc:Choice Requires="wps">
            <w:drawing>
              <wp:anchor distT="0" distB="0" distL="114300" distR="114300" simplePos="0" relativeHeight="251666432" behindDoc="0" locked="0" layoutInCell="1" allowOverlap="1" wp14:anchorId="23D0D3F4" wp14:editId="7633BAE3">
                <wp:simplePos x="0" y="0"/>
                <wp:positionH relativeFrom="column">
                  <wp:posOffset>2295526</wp:posOffset>
                </wp:positionH>
                <wp:positionV relativeFrom="paragraph">
                  <wp:posOffset>127952</wp:posOffset>
                </wp:positionV>
                <wp:extent cx="1259840" cy="1797688"/>
                <wp:effectExtent l="73977" t="78423" r="33338" b="71437"/>
                <wp:wrapNone/>
                <wp:docPr id="5" name="Right Arrow 5"/>
                <wp:cNvGraphicFramePr/>
                <a:graphic xmlns:a="http://schemas.openxmlformats.org/drawingml/2006/main">
                  <a:graphicData uri="http://schemas.microsoft.com/office/word/2010/wordprocessingShape">
                    <wps:wsp>
                      <wps:cNvSpPr/>
                      <wps:spPr>
                        <a:xfrm rot="16200000">
                          <a:off x="0" y="0"/>
                          <a:ext cx="1259840" cy="1797688"/>
                        </a:xfrm>
                        <a:prstGeom prst="rightArrow">
                          <a:avLst/>
                        </a:prstGeom>
                        <a:solidFill>
                          <a:schemeClr val="accent2">
                            <a:lumMod val="40000"/>
                            <a:lumOff val="60000"/>
                          </a:schemeClr>
                        </a:solidFill>
                        <a:effectLst>
                          <a:glow rad="63500">
                            <a:schemeClr val="bg2">
                              <a:lumMod val="50000"/>
                              <a:alpha val="40000"/>
                            </a:schemeClr>
                          </a:glow>
                          <a:reflection endPos="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34127118" w14:textId="77777777" w:rsidR="00C83203" w:rsidRDefault="00C83203" w:rsidP="00C83203">
                            <w:r>
                              <w:t xml:space="preserve">        </w:t>
                            </w:r>
                          </w:p>
                          <w:p w14:paraId="3CE9316F" w14:textId="51B0221D" w:rsidR="00C83203" w:rsidRPr="00C83203" w:rsidRDefault="00C83203" w:rsidP="00C83203">
                            <w:pPr>
                              <w:jc w:val="center"/>
                              <w:rPr>
                                <w:color w:val="3B3838" w:themeColor="background2" w:themeShade="40"/>
                              </w:rPr>
                            </w:pPr>
                            <w:r>
                              <w:rPr>
                                <w:color w:val="3B3838" w:themeColor="background2" w:themeShade="40"/>
                              </w:rPr>
                              <w:t xml:space="preserve">       </w:t>
                            </w:r>
                            <w:r w:rsidRPr="00C83203">
                              <w:rPr>
                                <w:color w:val="3B3838" w:themeColor="background2" w:themeShade="40"/>
                              </w:rPr>
                              <w:t>Threat</w:t>
                            </w:r>
                          </w:p>
                          <w:p w14:paraId="3C2A8670" w14:textId="5925ED7B" w:rsidR="00C83203" w:rsidRPr="00C83203" w:rsidRDefault="00C83203" w:rsidP="00C83203">
                            <w:pPr>
                              <w:rPr>
                                <w:color w:val="3B3838" w:themeColor="background2" w:themeShade="40"/>
                              </w:rPr>
                            </w:pPr>
                            <w:r w:rsidRPr="00C83203">
                              <w:rPr>
                                <w:color w:val="3B3838" w:themeColor="background2" w:themeShade="40"/>
                              </w:rPr>
                              <w:t xml:space="preserve">        </w:t>
                            </w:r>
                            <w:r>
                              <w:rPr>
                                <w:color w:val="3B3838" w:themeColor="background2" w:themeShade="40"/>
                              </w:rPr>
                              <w:t xml:space="preserve">  </w:t>
                            </w:r>
                            <w:r w:rsidRPr="00C83203">
                              <w:rPr>
                                <w:color w:val="3B3838" w:themeColor="background2" w:themeShade="40"/>
                              </w:rPr>
                              <w:t xml:space="preserve">  of</w:t>
                            </w:r>
                          </w:p>
                          <w:p w14:paraId="3728BDDC" w14:textId="1A90CA8E" w:rsidR="00C83203" w:rsidRPr="00C83203" w:rsidRDefault="00C83203" w:rsidP="00C83203">
                            <w:pPr>
                              <w:jc w:val="center"/>
                              <w:rPr>
                                <w:color w:val="3B3838" w:themeColor="background2" w:themeShade="40"/>
                              </w:rPr>
                            </w:pPr>
                            <w:r>
                              <w:rPr>
                                <w:color w:val="3B3838" w:themeColor="background2" w:themeShade="40"/>
                              </w:rPr>
                              <w:t xml:space="preserve">    </w:t>
                            </w:r>
                            <w:r w:rsidRPr="00C83203">
                              <w:rPr>
                                <w:color w:val="3B3838" w:themeColor="background2" w:themeShade="40"/>
                              </w:rPr>
                              <w:t>Substitute</w:t>
                            </w:r>
                          </w:p>
                          <w:p w14:paraId="7D25A9F1" w14:textId="77777777" w:rsidR="00C83203" w:rsidRDefault="00C83203"/>
                        </w:txbxContent>
                      </wps:txbx>
                      <wps:bodyPr rot="0" spcFirstLastPara="0" vertOverflow="overflow" horzOverflow="overflow" vert="horz" wrap="square" lIns="90000" tIns="45720" rIns="90000" bIns="4572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0D3F4" id="Right Arrow 5" o:spid="_x0000_s1030" type="#_x0000_t13" style="position:absolute;left:0;text-align:left;margin-left:180.75pt;margin-top:10.05pt;width:99.2pt;height:141.5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" adj="10800" fillcolor="#f7caac [1301]" strokecolor="#1f3763 [1604]" strokeweight="1pt">
                <v:textbox inset="2.5mm,,2.5mm">
                  <w:txbxContent>
                    <w:p w14:paraId="34127118" w14:textId="77777777" w:rsidR="00C83203" w:rsidRDefault="00C83203" w:rsidP="00C83203">
                      <w:r>
                        <w:t xml:space="preserve">        </w:t>
                      </w:r>
                    </w:p>
                    <w:p w14:paraId="3CE9316F" w14:textId="51B0221D" w:rsidR="00C83203" w:rsidRPr="00C83203" w:rsidRDefault="00C83203" w:rsidP="00C83203">
                      <w:pPr>
                        <w:jc w:val="center"/>
                        <w:rPr>
                          <w:color w:val="3B3838" w:themeColor="background2" w:themeShade="40"/>
                        </w:rPr>
                      </w:pPr>
                      <w:r>
                        <w:rPr>
                          <w:color w:val="3B3838" w:themeColor="background2" w:themeShade="40"/>
                        </w:rPr>
                        <w:t xml:space="preserve">       </w:t>
                      </w:r>
                      <w:r w:rsidRPr="00C83203">
                        <w:rPr>
                          <w:color w:val="3B3838" w:themeColor="background2" w:themeShade="40"/>
                        </w:rPr>
                        <w:t>Threat</w:t>
                      </w:r>
                    </w:p>
                    <w:p w14:paraId="3C2A8670" w14:textId="5925ED7B" w:rsidR="00C83203" w:rsidRPr="00C83203" w:rsidRDefault="00C83203" w:rsidP="00C83203">
                      <w:pPr>
                        <w:rPr>
                          <w:color w:val="3B3838" w:themeColor="background2" w:themeShade="40"/>
                        </w:rPr>
                      </w:pPr>
                      <w:r w:rsidRPr="00C83203">
                        <w:rPr>
                          <w:color w:val="3B3838" w:themeColor="background2" w:themeShade="40"/>
                        </w:rPr>
                        <w:t xml:space="preserve">        </w:t>
                      </w:r>
                      <w:r>
                        <w:rPr>
                          <w:color w:val="3B3838" w:themeColor="background2" w:themeShade="40"/>
                        </w:rPr>
                        <w:t xml:space="preserve">  </w:t>
                      </w:r>
                      <w:r w:rsidRPr="00C83203">
                        <w:rPr>
                          <w:color w:val="3B3838" w:themeColor="background2" w:themeShade="40"/>
                        </w:rPr>
                        <w:t xml:space="preserve">  of</w:t>
                      </w:r>
                    </w:p>
                    <w:p w14:paraId="3728BDDC" w14:textId="1A90CA8E" w:rsidR="00C83203" w:rsidRPr="00C83203" w:rsidRDefault="00C83203" w:rsidP="00C83203">
                      <w:pPr>
                        <w:jc w:val="center"/>
                        <w:rPr>
                          <w:color w:val="3B3838" w:themeColor="background2" w:themeShade="40"/>
                        </w:rPr>
                      </w:pPr>
                      <w:r>
                        <w:rPr>
                          <w:color w:val="3B3838" w:themeColor="background2" w:themeShade="40"/>
                        </w:rPr>
                        <w:t xml:space="preserve">    </w:t>
                      </w:r>
                      <w:r w:rsidRPr="00C83203">
                        <w:rPr>
                          <w:color w:val="3B3838" w:themeColor="background2" w:themeShade="40"/>
                        </w:rPr>
                        <w:t>Substitute</w:t>
                      </w:r>
                    </w:p>
                    <w:p w14:paraId="7D25A9F1" w14:textId="77777777" w:rsidR="00C83203" w:rsidRDefault="00C83203"/>
                  </w:txbxContent>
                </v:textbox>
              </v:shape>
            </w:pict>
          </mc:Fallback>
        </mc:AlternateContent>
      </w:r>
    </w:p>
    <w:p w14:paraId="26A77EB6" w14:textId="5DF00FE0" w:rsidR="00C83203" w:rsidRDefault="00C83203" w:rsidP="00C83203">
      <w:pPr>
        <w:jc w:val="center"/>
      </w:pPr>
    </w:p>
    <w:p w14:paraId="6CA26AD1" w14:textId="17737416" w:rsidR="00C83203" w:rsidRDefault="00C83203" w:rsidP="00C83203">
      <w:pPr>
        <w:jc w:val="center"/>
      </w:pPr>
    </w:p>
    <w:p w14:paraId="6B902FEB" w14:textId="65B5D44C" w:rsidR="00C83203" w:rsidRDefault="00C83203" w:rsidP="00C83203">
      <w:pPr>
        <w:jc w:val="center"/>
      </w:pPr>
    </w:p>
    <w:p w14:paraId="1B400095" w14:textId="2CA3B247" w:rsidR="00C83203" w:rsidRDefault="00C83203"/>
    <w:p w14:paraId="5312C9D8" w14:textId="145F4F08" w:rsidR="00C83203" w:rsidRDefault="00C83203"/>
    <w:p w14:paraId="42D7DBDB" w14:textId="3AC7CBD1" w:rsidR="00C83203" w:rsidRDefault="00C83203">
      <w:r>
        <w:t xml:space="preserve">                                                               </w:t>
      </w:r>
    </w:p>
    <w:p w14:paraId="01785320" w14:textId="4CB10CB5" w:rsidR="00C83203" w:rsidRDefault="00C83203">
      <w:r>
        <w:t xml:space="preserve">                                                                    </w:t>
      </w:r>
    </w:p>
    <w:p w14:paraId="716817BD" w14:textId="5F6D578B" w:rsidR="00C83203" w:rsidRDefault="00C83203"/>
    <w:p w14:paraId="26ABD458" w14:textId="352B4CE2" w:rsidR="00C83203" w:rsidRDefault="00C83203"/>
    <w:p w14:paraId="593138AA" w14:textId="76E0A183" w:rsidR="00C83203" w:rsidRPr="00C83203" w:rsidRDefault="00C83203" w:rsidP="00C83203">
      <w:pPr>
        <w:ind w:left="6480"/>
        <w:rPr>
          <w:sz w:val="21"/>
          <w:szCs w:val="21"/>
        </w:rPr>
      </w:pPr>
      <w:r w:rsidRPr="00C83203">
        <w:rPr>
          <w:sz w:val="21"/>
          <w:szCs w:val="21"/>
        </w:rPr>
        <w:t>(Porter, 1979, p.141)</w:t>
      </w:r>
    </w:p>
    <w:p w14:paraId="3070E8E8" w14:textId="645DECB3" w:rsidR="00C83203" w:rsidRDefault="00C83203"/>
    <w:p w14:paraId="05140F3A" w14:textId="248B8888" w:rsidR="00C83203" w:rsidRDefault="00C83203"/>
    <w:p w14:paraId="1C3E5FC6" w14:textId="2ABBF669" w:rsidR="00C83203" w:rsidRDefault="00C83203"/>
    <w:p w14:paraId="60DB5D3D" w14:textId="55362A27" w:rsidR="00C83203" w:rsidRDefault="00C83203"/>
    <w:p w14:paraId="1DDEA069" w14:textId="70AC6561" w:rsidR="00C83203" w:rsidRDefault="00C83203"/>
    <w:p w14:paraId="20BA26D0" w14:textId="77777777" w:rsidR="00C83203" w:rsidRDefault="00C83203"/>
    <w:p w14:paraId="490A42C5" w14:textId="77777777" w:rsidR="00C83203" w:rsidRDefault="00C83203">
      <w:pPr>
        <w:rPr>
          <w:rStyle w:val="Heading2Char"/>
        </w:rPr>
      </w:pPr>
    </w:p>
    <w:p w14:paraId="7067F9A9" w14:textId="77777777" w:rsidR="00C83203" w:rsidRDefault="00C83203">
      <w:pPr>
        <w:rPr>
          <w:rStyle w:val="Heading2Char"/>
        </w:rPr>
      </w:pPr>
    </w:p>
    <w:p w14:paraId="74608153" w14:textId="77777777" w:rsidR="00C83203" w:rsidRDefault="00C83203">
      <w:pPr>
        <w:rPr>
          <w:rStyle w:val="Heading2Char"/>
        </w:rPr>
      </w:pPr>
    </w:p>
    <w:p w14:paraId="564B8D42" w14:textId="5FE1CC1E" w:rsidR="00C83203" w:rsidRDefault="00C83203">
      <w:bookmarkStart w:id="9" w:name="_Toc40654335"/>
      <w:r w:rsidRPr="00C83203">
        <w:rPr>
          <w:rStyle w:val="Heading2Char"/>
        </w:rPr>
        <w:t>Threat of new entrants</w:t>
      </w:r>
      <w:bookmarkEnd w:id="9"/>
      <w:r>
        <w:t xml:space="preserve"> </w:t>
      </w:r>
    </w:p>
    <w:p w14:paraId="082C332B" w14:textId="78E2459F" w:rsidR="00C83203" w:rsidRDefault="00C83203" w:rsidP="00C83203">
      <w:pPr>
        <w:spacing w:line="360" w:lineRule="auto"/>
        <w:jc w:val="both"/>
      </w:pPr>
      <w:r>
        <w:t xml:space="preserve">The barrier to entry for new players in the EV industry is quite high. With very high costs of infrastructure, insufficient manpower in the research and development field, and the current manufacturers having established strong brands and customer loyalty, chances for start-ups or companies who want to enter this industry will most certainly face difficulties, unless a </w:t>
      </w:r>
      <w:r>
        <w:lastRenderedPageBreak/>
        <w:t>breakthrough technology is created, which will lower the costs of all the stated above. For the moment, the large industry conglomerates such as BMW, VAG group, Ford, General Motors and Mercedes-Benz are the companies, which can allocate these resources in order to branch out in to the EV segment. Also, now, the market leader Tesla motors is the only company which business is based around electric vehicles and it is currently the only one making significant profits from the production of EVs. Nevertheless, the number of new entrants, attracted by the industry, pose a significant threat to the current situation, considered combined their market share would be the largest. (Deloitte, 2019, p.10)</w:t>
      </w:r>
    </w:p>
    <w:p w14:paraId="3169B68A" w14:textId="3F8CA227" w:rsidR="00C83203" w:rsidRDefault="00C83203" w:rsidP="00C83203">
      <w:pPr>
        <w:spacing w:line="360" w:lineRule="auto"/>
        <w:jc w:val="both"/>
      </w:pPr>
    </w:p>
    <w:p w14:paraId="113579BA" w14:textId="77777777" w:rsidR="00C83203" w:rsidRDefault="00C83203" w:rsidP="00C83203">
      <w:pPr>
        <w:spacing w:line="360" w:lineRule="auto"/>
        <w:jc w:val="both"/>
      </w:pPr>
    </w:p>
    <w:p w14:paraId="30BF558B" w14:textId="77777777" w:rsidR="00C83203" w:rsidRDefault="00C83203" w:rsidP="00C83203">
      <w:pPr>
        <w:pStyle w:val="Heading2"/>
      </w:pPr>
      <w:bookmarkStart w:id="10" w:name="_Toc40654336"/>
      <w:r>
        <w:t>Competitive Rivalry</w:t>
      </w:r>
      <w:bookmarkEnd w:id="10"/>
      <w:r>
        <w:t xml:space="preserve"> </w:t>
      </w:r>
    </w:p>
    <w:p w14:paraId="6CBF39C3" w14:textId="593A0915" w:rsidR="00C83203" w:rsidRDefault="00C83203" w:rsidP="00C83203">
      <w:pPr>
        <w:spacing w:line="360" w:lineRule="auto"/>
        <w:jc w:val="both"/>
      </w:pPr>
      <w:r>
        <w:t xml:space="preserve">The force of the competitive rivalry is high, with the main manufacturers facing growing competition. Most of the manufacturers are directing their efforts towards EV industry and the flow of new entrants, seeing the potential in this field makes the number of competitors unacceptable. The industry’s capacity is likely to overweight customer demand, setting up a gap between supply and demand. As Deloitte (2019) estimates it is possible that some of the existing manufacturers might be out of the business by 2030, whereas other start-ups are unlikely to succeed. To build competitive advantages manufacturers need to address their investments toward innovative technology, research and development, to reconsider potential partnerships with local battery suppliers, or even develop in-house manufacturing. Another key element is the establishment of a business strategy that meets the evolving needs of the customers.  </w:t>
      </w:r>
    </w:p>
    <w:p w14:paraId="7C6F68B0" w14:textId="59103301" w:rsidR="00C83203" w:rsidRDefault="00C83203"/>
    <w:p w14:paraId="5D818BFF" w14:textId="4DE49F49" w:rsidR="00C83203" w:rsidRDefault="00C83203"/>
    <w:p w14:paraId="65D8C7E6" w14:textId="77777777" w:rsidR="00C83203" w:rsidRDefault="00C83203">
      <w:bookmarkStart w:id="11" w:name="_Toc40654337"/>
      <w:r w:rsidRPr="00C83203">
        <w:rPr>
          <w:rStyle w:val="Heading2Char"/>
        </w:rPr>
        <w:t>Bargaining Power of Buyers</w:t>
      </w:r>
      <w:bookmarkEnd w:id="11"/>
      <w:r>
        <w:t xml:space="preserve"> </w:t>
      </w:r>
    </w:p>
    <w:p w14:paraId="23ABC752" w14:textId="5A175529" w:rsidR="00C83203" w:rsidRDefault="00C83203" w:rsidP="00C83203">
      <w:pPr>
        <w:spacing w:line="360" w:lineRule="auto"/>
        <w:jc w:val="both"/>
      </w:pPr>
      <w:r>
        <w:t>Although the consumers’ concerns about the environmental problems and the demand for alternative transport are rising, still the number of those ready to adopt an EV is not sufficient. The intensive competitiveness and numerous new manufacturers provide wide selection to the buyers, thus maximizing their power. The expected gap between supply and demand also illustrates buyers’ advantage over the industry. Main barriers standing in front of the potential customers remain the premium cost and the limited distance range. Advancing the battery, improving its efficiency and extending the driving range would eliminate most of the buyers’ concerns, thus lowering the extent of their power.</w:t>
      </w:r>
    </w:p>
    <w:p w14:paraId="75D0C6E1" w14:textId="656AA94F" w:rsidR="00C83203" w:rsidRDefault="00C83203"/>
    <w:p w14:paraId="39723486" w14:textId="77777777" w:rsidR="00C83203" w:rsidRDefault="00C83203" w:rsidP="00C83203">
      <w:pPr>
        <w:rPr>
          <w:rStyle w:val="Heading2Char"/>
        </w:rPr>
      </w:pPr>
      <w:bookmarkStart w:id="12" w:name="_Toc40654338"/>
      <w:r w:rsidRPr="00C83203">
        <w:rPr>
          <w:rStyle w:val="Heading2Char"/>
        </w:rPr>
        <w:t>Bargaining Power of Suppliers</w:t>
      </w:r>
      <w:bookmarkEnd w:id="12"/>
    </w:p>
    <w:p w14:paraId="67AB248A" w14:textId="7142FBA1" w:rsidR="00C83203" w:rsidRDefault="00C83203" w:rsidP="00C83203">
      <w:pPr>
        <w:spacing w:line="360" w:lineRule="auto"/>
        <w:jc w:val="both"/>
      </w:pPr>
      <w:r>
        <w:t>The increased production in the electric vehicles industry has resulted in a high level of growth in the EV’s battery industry, with three prevailing suppliers – China, Japan and Korea. In 2018, only 1 percent of the battery packs are provided by European suppliers.</w:t>
      </w:r>
      <w:r w:rsidRPr="00C83203">
        <w:t xml:space="preserve"> </w:t>
      </w:r>
      <w:r>
        <w:t>(McKinsey, 2019)</w:t>
      </w:r>
      <w:r w:rsidRPr="00C83203">
        <w:rPr>
          <w:rFonts w:ascii="Arial" w:hAnsi="Arial" w:cs="Arial"/>
          <w:color w:val="252525"/>
          <w:shd w:val="clear" w:color="auto" w:fill="FFFFFF"/>
        </w:rPr>
        <w:t xml:space="preserve"> </w:t>
      </w:r>
      <w:r w:rsidRPr="00C83203">
        <w:rPr>
          <w:rFonts w:cs="Arial"/>
          <w:color w:val="000000" w:themeColor="text1"/>
          <w:shd w:val="clear" w:color="auto" w:fill="FFFFFF"/>
        </w:rPr>
        <w:t xml:space="preserve">The </w:t>
      </w:r>
      <w:r>
        <w:rPr>
          <w:rFonts w:cs="Arial"/>
          <w:color w:val="000000" w:themeColor="text1"/>
          <w:shd w:val="clear" w:color="auto" w:fill="FFFFFF"/>
        </w:rPr>
        <w:t>complexity and high cost of</w:t>
      </w:r>
      <w:r w:rsidRPr="00C83203">
        <w:rPr>
          <w:rFonts w:cs="Arial"/>
          <w:color w:val="000000" w:themeColor="text1"/>
          <w:shd w:val="clear" w:color="auto" w:fill="FFFFFF"/>
        </w:rPr>
        <w:t xml:space="preserve"> transportation of the batteries requires their production to be close to the vehicles manufacturing pr</w:t>
      </w:r>
      <w:r>
        <w:rPr>
          <w:rFonts w:cs="Arial"/>
          <w:color w:val="000000" w:themeColor="text1"/>
          <w:shd w:val="clear" w:color="auto" w:fill="FFFFFF"/>
        </w:rPr>
        <w:t>emises</w:t>
      </w:r>
      <w:r w:rsidRPr="00C83203">
        <w:rPr>
          <w:rFonts w:cs="Arial"/>
          <w:color w:val="000000" w:themeColor="text1"/>
          <w:shd w:val="clear" w:color="auto" w:fill="FFFFFF"/>
        </w:rPr>
        <w:t xml:space="preserve">. </w:t>
      </w:r>
      <w:r w:rsidRPr="00C83203">
        <w:rPr>
          <w:rFonts w:cs="Arial"/>
          <w:color w:val="000000" w:themeColor="text1"/>
          <w:shd w:val="clear" w:color="auto" w:fill="FFFFFF"/>
        </w:rPr>
        <w:t>Though, mass production is concentrated in Asia. Consequently</w:t>
      </w:r>
      <w:r>
        <w:rPr>
          <w:rFonts w:cs="Arial"/>
          <w:color w:val="252525"/>
          <w:shd w:val="clear" w:color="auto" w:fill="FFFFFF"/>
        </w:rPr>
        <w:t xml:space="preserve">, </w:t>
      </w:r>
      <w:r>
        <w:t>the electric cars manufacturers in Europe will depend heavily on the Asian battery suppliers and need to effectively guarantee supplying by signing long-term contracts with them, to create favourable supply chain. (Deloitte, 2019, p.14) These relationships with the suppliers defines the moderate extent of the force.</w:t>
      </w:r>
    </w:p>
    <w:p w14:paraId="43888A66" w14:textId="68324B09" w:rsidR="00C83203" w:rsidRDefault="00C83203" w:rsidP="00C83203">
      <w:pPr>
        <w:spacing w:line="360" w:lineRule="auto"/>
        <w:jc w:val="both"/>
      </w:pPr>
    </w:p>
    <w:p w14:paraId="468C66F0" w14:textId="77777777" w:rsidR="00C83203" w:rsidRPr="00C83203" w:rsidRDefault="00C83203" w:rsidP="00C83203">
      <w:pPr>
        <w:pStyle w:val="Heading2"/>
      </w:pPr>
      <w:bookmarkStart w:id="13" w:name="_Toc40654339"/>
      <w:r w:rsidRPr="00C83203">
        <w:t>Threat of Substitute</w:t>
      </w:r>
      <w:bookmarkEnd w:id="13"/>
      <w:r w:rsidRPr="00C83203">
        <w:t xml:space="preserve"> </w:t>
      </w:r>
    </w:p>
    <w:p w14:paraId="06254256" w14:textId="7FB794FA" w:rsidR="00C83203" w:rsidRDefault="00C83203" w:rsidP="00C83203">
      <w:pPr>
        <w:spacing w:line="360" w:lineRule="auto"/>
        <w:jc w:val="both"/>
      </w:pPr>
      <w:bookmarkStart w:id="14" w:name="OLE_LINK1"/>
      <w:bookmarkStart w:id="15" w:name="OLE_LINK2"/>
      <w:r>
        <w:t xml:space="preserve">Many options exist regarding transport, but still the internal combustion engine vehicles are the most preferred. Conventional cars are the basic threat for electric vehicles, offering lower purchase price, wide range of models, unlimited distance range and certainty about performance on the road, that better cover customers’ expectations. However, even strengthening the improvements in fuel economy they would not meet the evolving preferences of customers and the government targets in reducing the greenhouse gas emissions, which would give an advantage to the electric cars over the traditional vehicles. </w:t>
      </w:r>
    </w:p>
    <w:p w14:paraId="40DB2C90" w14:textId="43252AC9" w:rsidR="00C83203" w:rsidRDefault="00C83203" w:rsidP="00C83203">
      <w:pPr>
        <w:spacing w:line="360" w:lineRule="auto"/>
        <w:jc w:val="both"/>
      </w:pPr>
    </w:p>
    <w:p w14:paraId="606E5484" w14:textId="3B4CDD62" w:rsidR="00C83203" w:rsidRPr="00C83203" w:rsidRDefault="00C83203" w:rsidP="00C83203">
      <w:pPr>
        <w:pStyle w:val="Heading1"/>
      </w:pPr>
      <w:bookmarkStart w:id="16" w:name="_Toc40654340"/>
      <w:bookmarkEnd w:id="14"/>
      <w:bookmarkEnd w:id="15"/>
      <w:r>
        <w:t>Conclusion</w:t>
      </w:r>
      <w:bookmarkEnd w:id="16"/>
    </w:p>
    <w:p w14:paraId="043BE1A6" w14:textId="77777777" w:rsidR="00C83203" w:rsidRDefault="00C83203" w:rsidP="00C83203">
      <w:pPr>
        <w:spacing w:line="360" w:lineRule="auto"/>
        <w:jc w:val="both"/>
        <w:rPr>
          <w:rFonts w:eastAsia="Times New Roman" w:cs="Times New Roman"/>
          <w:lang w:eastAsia="en-GB"/>
        </w:rPr>
      </w:pPr>
      <w:r w:rsidRPr="00C83203">
        <w:rPr>
          <w:rFonts w:eastAsia="Times New Roman" w:cs="Times New Roman"/>
          <w:lang w:eastAsia="en-GB"/>
        </w:rPr>
        <w:t>Nowadays, what makes the electric vehicle industry more attractive is first</w:t>
      </w:r>
      <w:r>
        <w:rPr>
          <w:rFonts w:eastAsia="Times New Roman" w:cs="Times New Roman"/>
          <w:lang w:eastAsia="en-GB"/>
        </w:rPr>
        <w:t>ly</w:t>
      </w:r>
      <w:r w:rsidRPr="00C83203">
        <w:rPr>
          <w:rFonts w:eastAsia="Times New Roman" w:cs="Times New Roman"/>
          <w:lang w:eastAsia="en-GB"/>
        </w:rPr>
        <w:t>, the governments initiatives to foster the industry’s adoption,</w:t>
      </w:r>
      <w:r>
        <w:rPr>
          <w:rFonts w:eastAsia="Times New Roman" w:cs="Times New Roman"/>
          <w:lang w:eastAsia="en-GB"/>
        </w:rPr>
        <w:t xml:space="preserve"> </w:t>
      </w:r>
      <w:r w:rsidRPr="00C83203">
        <w:rPr>
          <w:rFonts w:eastAsia="Times New Roman" w:cs="Times New Roman"/>
          <w:lang w:eastAsia="en-GB"/>
        </w:rPr>
        <w:t>tighte</w:t>
      </w:r>
      <w:r>
        <w:rPr>
          <w:rFonts w:eastAsia="Times New Roman" w:cs="Times New Roman"/>
          <w:lang w:eastAsia="en-GB"/>
        </w:rPr>
        <w:t>r</w:t>
      </w:r>
      <w:r w:rsidRPr="00C83203">
        <w:rPr>
          <w:rFonts w:eastAsia="Times New Roman" w:cs="Times New Roman"/>
          <w:lang w:eastAsia="en-GB"/>
        </w:rPr>
        <w:t xml:space="preserve"> restrictions towards  internal combustion engine cars</w:t>
      </w:r>
      <w:r>
        <w:rPr>
          <w:rFonts w:eastAsia="Times New Roman" w:cs="Times New Roman"/>
          <w:lang w:eastAsia="en-GB"/>
        </w:rPr>
        <w:t xml:space="preserve"> and secondly, customers are becoming more informed about the benefits that electric cars provide and are more likely to change  their perception and  take  a conscious decision, reconsidering the option for an EV adoption. ICEV’s manufacturers see the potential of and the growing possibilities in the industry and are focusing their investments in this field increasing competition, but with the introduction of new start-ups who are bound to bring new ideas and technology to the table, the industry is set to be very innovation driven, which will surely be greatly beneficial to the end customer, environment, and mostly to the business as a whole.</w:t>
      </w:r>
    </w:p>
    <w:p w14:paraId="4367057C" w14:textId="735D2941" w:rsidR="00C83203" w:rsidRDefault="00C83203" w:rsidP="00C83203">
      <w:pPr>
        <w:pStyle w:val="Heading1"/>
      </w:pPr>
      <w:bookmarkStart w:id="17" w:name="_Toc40654341"/>
      <w:r>
        <w:lastRenderedPageBreak/>
        <w:t>References</w:t>
      </w:r>
      <w:bookmarkEnd w:id="17"/>
    </w:p>
    <w:p w14:paraId="4FDC1810" w14:textId="2E1749D5" w:rsidR="00C83203" w:rsidRDefault="00C83203" w:rsidP="00C83203"/>
    <w:p w14:paraId="7E9AFF54" w14:textId="77777777" w:rsidR="00C83203" w:rsidRDefault="00C83203" w:rsidP="00C83203">
      <w:pPr>
        <w:rPr>
          <w:i/>
          <w:iCs/>
        </w:rPr>
      </w:pPr>
      <w:r>
        <w:t xml:space="preserve">Deloitte (2019), </w:t>
      </w:r>
      <w:r>
        <w:rPr>
          <w:i/>
          <w:iCs/>
        </w:rPr>
        <w:t xml:space="preserve">New markets. New entrants. New challenges. </w:t>
      </w:r>
    </w:p>
    <w:p w14:paraId="27EE3B2D" w14:textId="2882CBB3" w:rsidR="00C83203" w:rsidRDefault="00C83203" w:rsidP="00C83203">
      <w:r>
        <w:t>Available at:</w:t>
      </w:r>
      <w:r w:rsidRPr="00C83203">
        <w:t xml:space="preserve"> </w:t>
      </w:r>
      <w:r>
        <w:fldChar w:fldCharType="begin"/>
      </w:r>
      <w:r>
        <w:instrText xml:space="preserve"> HYPERLINK "https://www2.deloitte.com/content/dam/Deloitte/uk/Documents/manufacturing/deloitte-uk-battery-electric-vehicles.pdf" </w:instrText>
      </w:r>
      <w:r>
        <w:fldChar w:fldCharType="separate"/>
      </w:r>
      <w:r>
        <w:rPr>
          <w:rStyle w:val="Hyperlink"/>
        </w:rPr>
        <w:t>https://www2.deloitte.com/content/dam/Deloitte/uk/Documents/manufacturing/deloitte-uk-battery-electric-vehicles.pdf</w:t>
      </w:r>
      <w:r>
        <w:fldChar w:fldCharType="end"/>
      </w:r>
    </w:p>
    <w:p w14:paraId="3CCD516B" w14:textId="2436EB69" w:rsidR="00C83203" w:rsidRDefault="00C83203" w:rsidP="00C83203">
      <w:r>
        <w:t>(Accessed: 15 May 2020)</w:t>
      </w:r>
    </w:p>
    <w:p w14:paraId="69F1F14F" w14:textId="01C35F8F" w:rsidR="00C83203" w:rsidRDefault="00C83203" w:rsidP="00C83203"/>
    <w:p w14:paraId="3F35AE17" w14:textId="1C10C073" w:rsidR="00C83203" w:rsidRDefault="00C83203" w:rsidP="00C83203">
      <w:pPr>
        <w:rPr>
          <w:i/>
          <w:iCs/>
        </w:rPr>
      </w:pPr>
      <w:r>
        <w:t xml:space="preserve">Eddy, A., Pfeiffer, A. and Staaij, J. (2019) </w:t>
      </w:r>
      <w:r w:rsidRPr="00C83203">
        <w:rPr>
          <w:i/>
          <w:iCs/>
        </w:rPr>
        <w:t xml:space="preserve">Recharging </w:t>
      </w:r>
      <w:r w:rsidRPr="00C83203">
        <w:rPr>
          <w:i/>
          <w:iCs/>
        </w:rPr>
        <w:t>E</w:t>
      </w:r>
      <w:r w:rsidRPr="00C83203">
        <w:rPr>
          <w:i/>
          <w:iCs/>
        </w:rPr>
        <w:t xml:space="preserve">conomies: The EV-battery </w:t>
      </w:r>
      <w:r w:rsidRPr="00C83203">
        <w:rPr>
          <w:i/>
          <w:iCs/>
        </w:rPr>
        <w:t>M</w:t>
      </w:r>
      <w:r w:rsidRPr="00C83203">
        <w:rPr>
          <w:i/>
          <w:iCs/>
        </w:rPr>
        <w:t xml:space="preserve">anufacturing </w:t>
      </w:r>
      <w:r w:rsidRPr="00C83203">
        <w:rPr>
          <w:i/>
          <w:iCs/>
        </w:rPr>
        <w:t>O</w:t>
      </w:r>
      <w:r w:rsidRPr="00C83203">
        <w:rPr>
          <w:i/>
          <w:iCs/>
        </w:rPr>
        <w:t>utlook for Europe</w:t>
      </w:r>
      <w:r>
        <w:rPr>
          <w:i/>
          <w:iCs/>
        </w:rPr>
        <w:t>.</w:t>
      </w:r>
    </w:p>
    <w:p w14:paraId="35CD50A2" w14:textId="77777777" w:rsidR="00C83203" w:rsidRDefault="00C83203" w:rsidP="00C83203">
      <w:r>
        <w:t xml:space="preserve">Available at: </w:t>
      </w:r>
      <w:hyperlink r:id="rId7" w:history="1">
        <w:r>
          <w:rPr>
            <w:rStyle w:val="Hyperlink"/>
          </w:rPr>
          <w:t>https://www.mckinsey.com/industries/oil-and-gas/our-insights/recharging-economies-the-ev-battery-manufacturing-outlook-for-europe</w:t>
        </w:r>
      </w:hyperlink>
    </w:p>
    <w:p w14:paraId="49B3B399" w14:textId="7487732E" w:rsidR="00C83203" w:rsidRPr="00C83203" w:rsidRDefault="00C83203" w:rsidP="00C83203">
      <w:r>
        <w:t>(Accessed: 16 May 2020)</w:t>
      </w:r>
    </w:p>
    <w:p w14:paraId="0D77E040" w14:textId="63482488" w:rsidR="00C83203" w:rsidRPr="00C83203" w:rsidRDefault="00C83203">
      <w:pPr>
        <w:rPr>
          <w:i/>
          <w:iCs/>
        </w:rPr>
      </w:pPr>
      <w:r>
        <w:rPr>
          <w:i/>
          <w:iCs/>
        </w:rPr>
        <w:t xml:space="preserve"> </w:t>
      </w:r>
    </w:p>
    <w:p w14:paraId="05E6DE44" w14:textId="763724DD" w:rsidR="00C83203" w:rsidRDefault="00C83203" w:rsidP="00C83203">
      <w:r w:rsidRPr="00C83203">
        <w:t>E</w:t>
      </w:r>
      <w:r>
        <w:t xml:space="preserve">uropean Commission </w:t>
      </w:r>
      <w:r w:rsidRPr="00C83203">
        <w:t>(</w:t>
      </w:r>
      <w:r w:rsidRPr="00C83203">
        <w:t>2011</w:t>
      </w:r>
      <w:r>
        <w:t>)</w:t>
      </w:r>
      <w:r w:rsidRPr="00C83203">
        <w:t xml:space="preserve">, </w:t>
      </w:r>
      <w:r w:rsidRPr="00C83203">
        <w:rPr>
          <w:i/>
          <w:iCs/>
        </w:rPr>
        <w:t>White Paper, Roadmap to a Single European Transport Area — Towards a competitive and resource efficient transport system</w:t>
      </w:r>
      <w:r w:rsidRPr="00C83203">
        <w:t xml:space="preserve">, 144 final </w:t>
      </w:r>
    </w:p>
    <w:p w14:paraId="76771F53" w14:textId="3C8E23BA" w:rsidR="00C83203" w:rsidRDefault="00C83203">
      <w:r>
        <w:t xml:space="preserve">Available at: </w:t>
      </w:r>
      <w:hyperlink r:id="rId8" w:history="1">
        <w:r w:rsidRPr="001D0D51">
          <w:rPr>
            <w:rStyle w:val="Hyperlink"/>
          </w:rPr>
          <w:t>http://eur-lex.europa.eu/LexUriServ/LexUriServ.do?uri=COM:2011:0144:FIN:en:PDF</w:t>
        </w:r>
      </w:hyperlink>
    </w:p>
    <w:p w14:paraId="33FD70B6" w14:textId="33F9F818" w:rsidR="00C83203" w:rsidRDefault="00C83203">
      <w:r>
        <w:t>(Accessed: 15 May 2020)</w:t>
      </w:r>
    </w:p>
    <w:p w14:paraId="265A528C" w14:textId="721D82F9" w:rsidR="00C83203" w:rsidRDefault="00C83203"/>
    <w:p w14:paraId="71367A8C" w14:textId="63F2CDF9" w:rsidR="00C83203" w:rsidRDefault="00C83203">
      <w:pPr>
        <w:rPr>
          <w:i/>
          <w:iCs/>
        </w:rPr>
      </w:pPr>
      <w:r>
        <w:t xml:space="preserve">European Environment Agency (2016) </w:t>
      </w:r>
      <w:r>
        <w:rPr>
          <w:i/>
          <w:iCs/>
        </w:rPr>
        <w:t>Electric Vehicles in Europe</w:t>
      </w:r>
    </w:p>
    <w:p w14:paraId="2CEA65BF" w14:textId="25F7D705" w:rsidR="00C83203" w:rsidRDefault="00C83203">
      <w:r>
        <w:t xml:space="preserve">Available at: </w:t>
      </w:r>
      <w:hyperlink r:id="rId9" w:history="1">
        <w:r w:rsidRPr="001D0D51">
          <w:rPr>
            <w:rStyle w:val="Hyperlink"/>
          </w:rPr>
          <w:t>https://www.eea.europa.eu/publications/electric-vehicles-in-europe</w:t>
        </w:r>
      </w:hyperlink>
    </w:p>
    <w:p w14:paraId="498B83D0" w14:textId="154DD64A" w:rsidR="00C83203" w:rsidRPr="00C83203" w:rsidRDefault="00C83203">
      <w:r>
        <w:t>(Accessed: 15 May 2020)</w:t>
      </w:r>
    </w:p>
    <w:p w14:paraId="3B301304" w14:textId="77777777" w:rsidR="00C83203" w:rsidRDefault="00C83203"/>
    <w:p w14:paraId="3C6A969D" w14:textId="77E6ED32" w:rsidR="00C83203" w:rsidRPr="00C83203" w:rsidRDefault="00C83203" w:rsidP="00C83203">
      <w:r>
        <w:t>H</w:t>
      </w:r>
      <w:r w:rsidRPr="00C83203">
        <w:t>acker, F., Waldenfels, R. and Mottschall, M.</w:t>
      </w:r>
      <w:r>
        <w:t xml:space="preserve"> (2015) </w:t>
      </w:r>
    </w:p>
    <w:p w14:paraId="508D9951" w14:textId="518BA2BF" w:rsidR="00C83203" w:rsidRDefault="00C83203" w:rsidP="00C83203">
      <w:r w:rsidRPr="00C83203">
        <w:rPr>
          <w:i/>
          <w:iCs/>
        </w:rPr>
        <w:t>Wirtschaftlichkeit von Elektromobilität in gewerblichen Anwendunge</w:t>
      </w:r>
      <w:r>
        <w:rPr>
          <w:i/>
          <w:iCs/>
        </w:rPr>
        <w:t>n</w:t>
      </w:r>
      <w:r>
        <w:t>.</w:t>
      </w:r>
      <w:r w:rsidRPr="00C83203">
        <w:t xml:space="preserve"> Berlin</w:t>
      </w:r>
      <w:r>
        <w:t xml:space="preserve">: </w:t>
      </w:r>
      <w:r w:rsidRPr="00C83203">
        <w:t>Öko-Institut</w:t>
      </w:r>
    </w:p>
    <w:p w14:paraId="591C1131" w14:textId="77777777" w:rsidR="00C83203" w:rsidRDefault="00C83203" w:rsidP="00C83203">
      <w:r>
        <w:t xml:space="preserve">Available at: </w:t>
      </w:r>
      <w:hyperlink r:id="rId10" w:history="1">
        <w:r>
          <w:rPr>
            <w:rStyle w:val="Hyperlink"/>
          </w:rPr>
          <w:t>https://www.oeko.de/fileadmin/oekodoc/Gesamtbericht-Wirtschaftlichkeit-von-Elektromobilitaet.pdf</w:t>
        </w:r>
      </w:hyperlink>
    </w:p>
    <w:p w14:paraId="18EB0A87" w14:textId="6B09CE6D" w:rsidR="00C83203" w:rsidRDefault="00C83203" w:rsidP="00C83203">
      <w:r>
        <w:t>(Accessed: 15 May 2020)</w:t>
      </w:r>
    </w:p>
    <w:p w14:paraId="7241135F" w14:textId="45911361" w:rsidR="00C83203" w:rsidRDefault="00C83203" w:rsidP="00C83203"/>
    <w:p w14:paraId="69A1516B" w14:textId="2E436D91" w:rsidR="00C83203" w:rsidRDefault="00C83203" w:rsidP="00C83203">
      <w:pPr>
        <w:rPr>
          <w:i/>
          <w:iCs/>
        </w:rPr>
      </w:pPr>
      <w:r>
        <w:t xml:space="preserve">McKinsey (2014) </w:t>
      </w:r>
      <w:r w:rsidRPr="00C83203">
        <w:rPr>
          <w:i/>
          <w:iCs/>
        </w:rPr>
        <w:t xml:space="preserve">Electric </w:t>
      </w:r>
      <w:r>
        <w:rPr>
          <w:i/>
          <w:iCs/>
        </w:rPr>
        <w:t>V</w:t>
      </w:r>
      <w:r w:rsidRPr="00C83203">
        <w:rPr>
          <w:i/>
          <w:iCs/>
        </w:rPr>
        <w:t>ehicles in Europe:</w:t>
      </w:r>
      <w:r>
        <w:rPr>
          <w:i/>
          <w:iCs/>
        </w:rPr>
        <w:t xml:space="preserve"> G</w:t>
      </w:r>
      <w:r w:rsidRPr="00C83203">
        <w:rPr>
          <w:i/>
          <w:iCs/>
        </w:rPr>
        <w:t>earing up for a</w:t>
      </w:r>
      <w:r>
        <w:rPr>
          <w:i/>
          <w:iCs/>
        </w:rPr>
        <w:t xml:space="preserve"> N</w:t>
      </w:r>
      <w:r w:rsidRPr="00C83203">
        <w:rPr>
          <w:i/>
          <w:iCs/>
        </w:rPr>
        <w:t xml:space="preserve">ew </w:t>
      </w:r>
      <w:r>
        <w:rPr>
          <w:i/>
          <w:iCs/>
        </w:rPr>
        <w:t>P</w:t>
      </w:r>
      <w:r w:rsidRPr="00C83203">
        <w:rPr>
          <w:i/>
          <w:iCs/>
        </w:rPr>
        <w:t>hase?</w:t>
      </w:r>
    </w:p>
    <w:p w14:paraId="75F9FB65" w14:textId="77777777" w:rsidR="00C83203" w:rsidRDefault="00C83203" w:rsidP="00C83203">
      <w:r>
        <w:t xml:space="preserve">Available at: </w:t>
      </w:r>
      <w:hyperlink r:id="rId11" w:history="1">
        <w:r>
          <w:rPr>
            <w:rStyle w:val="Hyperlink"/>
          </w:rPr>
          <w:t>https://www.mckinsey.com/~/media/McKinsey/Locations/Europe%20and%20Middle%20East/Netherlands/Our%20Insights/Electric%20vehicles%20in%20Europe%20Gearing%20up%20for%20a%20new%20phase/Electric%20vehicles%20in%20Europe%20Gearing%20up%20for%20a%20new%20phase.ashx</w:t>
        </w:r>
      </w:hyperlink>
    </w:p>
    <w:p w14:paraId="6BCF1935" w14:textId="485A0656" w:rsidR="00C83203" w:rsidRPr="00C83203" w:rsidRDefault="00C83203" w:rsidP="00C83203">
      <w:r>
        <w:t>(Accessed: 15 May 2020)</w:t>
      </w:r>
    </w:p>
    <w:p w14:paraId="4C334B2C" w14:textId="66D7AC2D" w:rsidR="00C83203" w:rsidRPr="00C83203" w:rsidRDefault="00C83203" w:rsidP="00C83203">
      <w:pPr>
        <w:rPr>
          <w:i/>
          <w:iCs/>
        </w:rPr>
      </w:pPr>
    </w:p>
    <w:p w14:paraId="7AF52857" w14:textId="2C39B28D" w:rsidR="00C83203" w:rsidRPr="00C83203" w:rsidRDefault="00C83203" w:rsidP="00C83203">
      <w:pPr>
        <w:rPr>
          <w:i/>
          <w:iCs/>
        </w:rPr>
      </w:pPr>
      <w:r>
        <w:t xml:space="preserve">McKinsey (2017) </w:t>
      </w:r>
      <w:r w:rsidRPr="00C83203">
        <w:rPr>
          <w:i/>
          <w:iCs/>
        </w:rPr>
        <w:t xml:space="preserve">Electrifying </w:t>
      </w:r>
      <w:r>
        <w:rPr>
          <w:i/>
          <w:iCs/>
        </w:rPr>
        <w:t>I</w:t>
      </w:r>
      <w:r w:rsidRPr="00C83203">
        <w:rPr>
          <w:i/>
          <w:iCs/>
        </w:rPr>
        <w:t>nsights: How</w:t>
      </w:r>
      <w:r>
        <w:rPr>
          <w:i/>
          <w:iCs/>
        </w:rPr>
        <w:t xml:space="preserve"> A</w:t>
      </w:r>
      <w:r w:rsidRPr="00C83203">
        <w:rPr>
          <w:i/>
          <w:iCs/>
        </w:rPr>
        <w:t xml:space="preserve">utomakers </w:t>
      </w:r>
      <w:r>
        <w:rPr>
          <w:i/>
          <w:iCs/>
        </w:rPr>
        <w:t>C</w:t>
      </w:r>
      <w:r w:rsidRPr="00C83203">
        <w:rPr>
          <w:i/>
          <w:iCs/>
        </w:rPr>
        <w:t>an</w:t>
      </w:r>
      <w:r>
        <w:rPr>
          <w:i/>
          <w:iCs/>
        </w:rPr>
        <w:t xml:space="preserve"> D</w:t>
      </w:r>
      <w:r w:rsidRPr="00C83203">
        <w:rPr>
          <w:i/>
          <w:iCs/>
        </w:rPr>
        <w:t xml:space="preserve">rive </w:t>
      </w:r>
      <w:r>
        <w:rPr>
          <w:i/>
          <w:iCs/>
        </w:rPr>
        <w:t>E</w:t>
      </w:r>
      <w:r w:rsidRPr="00C83203">
        <w:rPr>
          <w:i/>
          <w:iCs/>
        </w:rPr>
        <w:t>lectrified</w:t>
      </w:r>
      <w:r>
        <w:rPr>
          <w:i/>
          <w:iCs/>
        </w:rPr>
        <w:t xml:space="preserve"> V</w:t>
      </w:r>
      <w:r w:rsidRPr="00C83203">
        <w:rPr>
          <w:i/>
          <w:iCs/>
        </w:rPr>
        <w:t xml:space="preserve">ehicle </w:t>
      </w:r>
      <w:r>
        <w:rPr>
          <w:i/>
          <w:iCs/>
        </w:rPr>
        <w:t>S</w:t>
      </w:r>
      <w:r w:rsidRPr="00C83203">
        <w:rPr>
          <w:i/>
          <w:iCs/>
        </w:rPr>
        <w:t xml:space="preserve">ales and </w:t>
      </w:r>
      <w:r>
        <w:rPr>
          <w:i/>
          <w:iCs/>
        </w:rPr>
        <w:t>P</w:t>
      </w:r>
      <w:r w:rsidRPr="00C83203">
        <w:rPr>
          <w:i/>
          <w:iCs/>
        </w:rPr>
        <w:t>rofitability</w:t>
      </w:r>
    </w:p>
    <w:p w14:paraId="0FEB9B08" w14:textId="77777777" w:rsidR="00C83203" w:rsidRDefault="00C83203" w:rsidP="00C83203">
      <w:r>
        <w:t xml:space="preserve">Available at: </w:t>
      </w:r>
      <w:hyperlink r:id="rId12" w:history="1">
        <w:r>
          <w:rPr>
            <w:rStyle w:val="Hyperlink"/>
          </w:rPr>
          <w:t>https://www.mckinsey.com/~/media/McKinsey/Industries/Automotive%20and%20Assembly/Our%20Insights/Electrifying%20insights%20How%20automakers%20can%20drive%20electrified%20vehicle%20sales%20and%20profitability/Electrifying%20insights%20-%20How%20automakers%20can%20drive%20electrified%20vehicle%20sales%20and%20profitability_vF.ashx</w:t>
        </w:r>
      </w:hyperlink>
    </w:p>
    <w:p w14:paraId="2EB61A3E" w14:textId="5E876623" w:rsidR="00C83203" w:rsidRDefault="00C83203">
      <w:r>
        <w:t>(Accessed: 15 May 2020)</w:t>
      </w:r>
    </w:p>
    <w:p w14:paraId="0B6634F2" w14:textId="77777777" w:rsidR="00C83203" w:rsidRDefault="00C83203"/>
    <w:p w14:paraId="3C4066C6" w14:textId="6A68D2D2" w:rsidR="00C83203" w:rsidRDefault="00C83203">
      <w:r>
        <w:t xml:space="preserve">Porter, M. (1979) </w:t>
      </w:r>
      <w:r>
        <w:rPr>
          <w:i/>
          <w:iCs/>
        </w:rPr>
        <w:t xml:space="preserve">How Competitive Forces Shape Strategy. </w:t>
      </w:r>
      <w:r>
        <w:t>Harvard Business Review</w:t>
      </w:r>
    </w:p>
    <w:p w14:paraId="526CC32A" w14:textId="31880C48" w:rsidR="00C83203" w:rsidRDefault="00C83203"/>
    <w:p w14:paraId="4B4C00D2" w14:textId="51E220C8" w:rsidR="00C83203" w:rsidRDefault="00C83203">
      <w:pPr>
        <w:rPr>
          <w:i/>
          <w:iCs/>
        </w:rPr>
      </w:pPr>
      <w:r>
        <w:t xml:space="preserve">Statista (2020) </w:t>
      </w:r>
      <w:r>
        <w:rPr>
          <w:i/>
          <w:iCs/>
        </w:rPr>
        <w:t>Number of Electric Vehicles Charging Stations in Europe 2010-1019</w:t>
      </w:r>
    </w:p>
    <w:p w14:paraId="6B107723" w14:textId="18466DC9" w:rsidR="00C83203" w:rsidRDefault="00C83203">
      <w:r>
        <w:t xml:space="preserve">Available at: </w:t>
      </w:r>
      <w:hyperlink r:id="rId13" w:history="1">
        <w:r w:rsidRPr="001D0D51">
          <w:rPr>
            <w:rStyle w:val="Hyperlink"/>
          </w:rPr>
          <w:t>https://www.statista.com/statistics/955443/number-of-electric-vehicle-charging-stations-in-europe/</w:t>
        </w:r>
      </w:hyperlink>
    </w:p>
    <w:p w14:paraId="30667574" w14:textId="725A77BE" w:rsidR="00C83203" w:rsidRDefault="00C83203">
      <w:r>
        <w:t>(Accessed: 15 May 2020)</w:t>
      </w:r>
    </w:p>
    <w:p w14:paraId="13B0BAAC" w14:textId="7DF61BB1" w:rsidR="00C83203" w:rsidRDefault="00C83203"/>
    <w:p w14:paraId="659152E1" w14:textId="67FE4FBC" w:rsidR="00C83203" w:rsidRDefault="00C83203">
      <w:pPr>
        <w:rPr>
          <w:i/>
          <w:iCs/>
        </w:rPr>
      </w:pPr>
      <w:r>
        <w:t xml:space="preserve">Statista (2020) </w:t>
      </w:r>
      <w:r>
        <w:rPr>
          <w:i/>
          <w:iCs/>
        </w:rPr>
        <w:t>Total Market Share of Newly Registered Passenger Electric Vehicles in the European Union from 2012-2019</w:t>
      </w:r>
    </w:p>
    <w:p w14:paraId="4A29F275" w14:textId="77777777" w:rsidR="00C83203" w:rsidRDefault="00C83203" w:rsidP="00C83203">
      <w:r>
        <w:t xml:space="preserve">Available at: </w:t>
      </w:r>
      <w:hyperlink r:id="rId14" w:history="1">
        <w:r>
          <w:rPr>
            <w:rStyle w:val="Hyperlink"/>
          </w:rPr>
          <w:t>https://www.statista.com/statistics/625010/electric-vehicle-market-share-in-eu-annual/</w:t>
        </w:r>
      </w:hyperlink>
    </w:p>
    <w:p w14:paraId="2245C0EE" w14:textId="0E1865E1" w:rsidR="00C83203" w:rsidRPr="00C83203" w:rsidRDefault="00C83203">
      <w:r>
        <w:t>(Accessed: 15 May 2020)</w:t>
      </w:r>
    </w:p>
    <w:p w14:paraId="1DA33ADF" w14:textId="40B1E3D0" w:rsidR="00C83203" w:rsidRDefault="00C83203"/>
    <w:p w14:paraId="037D82D9" w14:textId="011181F9" w:rsidR="00C83203" w:rsidRDefault="00C83203"/>
    <w:p w14:paraId="24AF18E6" w14:textId="0B5AB01D" w:rsidR="00C83203" w:rsidRDefault="00C83203" w:rsidP="00C83203">
      <w:pPr>
        <w:rPr>
          <w:rFonts w:eastAsia="Times New Roman" w:cs="Times New Roman"/>
          <w:i/>
          <w:iCs/>
          <w:lang w:eastAsia="en-GB"/>
        </w:rPr>
      </w:pPr>
      <w:r>
        <w:t xml:space="preserve">The Internal Council on Clean Transportation (2018) </w:t>
      </w:r>
      <w:r w:rsidRPr="00C83203">
        <w:rPr>
          <w:rFonts w:eastAsia="Times New Roman" w:cs="Times New Roman"/>
          <w:i/>
          <w:iCs/>
          <w:lang w:eastAsia="en-GB"/>
        </w:rPr>
        <w:t xml:space="preserve">Effects of </w:t>
      </w:r>
      <w:r>
        <w:rPr>
          <w:rFonts w:eastAsia="Times New Roman" w:cs="Times New Roman"/>
          <w:i/>
          <w:iCs/>
          <w:lang w:eastAsia="en-GB"/>
        </w:rPr>
        <w:t>B</w:t>
      </w:r>
      <w:r w:rsidRPr="00C83203">
        <w:rPr>
          <w:rFonts w:eastAsia="Times New Roman" w:cs="Times New Roman"/>
          <w:i/>
          <w:iCs/>
          <w:lang w:eastAsia="en-GB"/>
        </w:rPr>
        <w:t>attery</w:t>
      </w:r>
      <w:r>
        <w:rPr>
          <w:rFonts w:eastAsia="Times New Roman" w:cs="Times New Roman"/>
          <w:i/>
          <w:iCs/>
          <w:lang w:eastAsia="en-GB"/>
        </w:rPr>
        <w:t xml:space="preserve"> M</w:t>
      </w:r>
      <w:r w:rsidRPr="00C83203">
        <w:rPr>
          <w:rFonts w:eastAsia="Times New Roman" w:cs="Times New Roman"/>
          <w:i/>
          <w:iCs/>
          <w:lang w:eastAsia="en-GB"/>
        </w:rPr>
        <w:t xml:space="preserve">anufacturing on </w:t>
      </w:r>
      <w:r>
        <w:rPr>
          <w:rFonts w:eastAsia="Times New Roman" w:cs="Times New Roman"/>
          <w:i/>
          <w:iCs/>
          <w:lang w:eastAsia="en-GB"/>
        </w:rPr>
        <w:t>E</w:t>
      </w:r>
      <w:r w:rsidRPr="00C83203">
        <w:rPr>
          <w:rFonts w:eastAsia="Times New Roman" w:cs="Times New Roman"/>
          <w:i/>
          <w:iCs/>
          <w:lang w:eastAsia="en-GB"/>
        </w:rPr>
        <w:t xml:space="preserve">lectric </w:t>
      </w:r>
      <w:r>
        <w:rPr>
          <w:rFonts w:eastAsia="Times New Roman" w:cs="Times New Roman"/>
          <w:i/>
          <w:iCs/>
          <w:lang w:eastAsia="en-GB"/>
        </w:rPr>
        <w:t>V</w:t>
      </w:r>
      <w:r w:rsidRPr="00C83203">
        <w:rPr>
          <w:rFonts w:eastAsia="Times New Roman" w:cs="Times New Roman"/>
          <w:i/>
          <w:iCs/>
          <w:lang w:eastAsia="en-GB"/>
        </w:rPr>
        <w:t xml:space="preserve">ehicle life-cycle </w:t>
      </w:r>
      <w:r>
        <w:rPr>
          <w:rFonts w:eastAsia="Times New Roman" w:cs="Times New Roman"/>
          <w:i/>
          <w:iCs/>
          <w:lang w:eastAsia="en-GB"/>
        </w:rPr>
        <w:t>G</w:t>
      </w:r>
      <w:r w:rsidRPr="00C83203">
        <w:rPr>
          <w:rFonts w:eastAsia="Times New Roman" w:cs="Times New Roman"/>
          <w:i/>
          <w:iCs/>
          <w:lang w:eastAsia="en-GB"/>
        </w:rPr>
        <w:t xml:space="preserve">reenhouse </w:t>
      </w:r>
      <w:r>
        <w:rPr>
          <w:rFonts w:eastAsia="Times New Roman" w:cs="Times New Roman"/>
          <w:i/>
          <w:iCs/>
          <w:lang w:eastAsia="en-GB"/>
        </w:rPr>
        <w:t>G</w:t>
      </w:r>
      <w:r w:rsidRPr="00C83203">
        <w:rPr>
          <w:rFonts w:eastAsia="Times New Roman" w:cs="Times New Roman"/>
          <w:i/>
          <w:iCs/>
          <w:lang w:eastAsia="en-GB"/>
        </w:rPr>
        <w:t xml:space="preserve">as </w:t>
      </w:r>
      <w:r>
        <w:rPr>
          <w:rFonts w:eastAsia="Times New Roman" w:cs="Times New Roman"/>
          <w:i/>
          <w:iCs/>
          <w:lang w:eastAsia="en-GB"/>
        </w:rPr>
        <w:t>E</w:t>
      </w:r>
      <w:r w:rsidRPr="00C83203">
        <w:rPr>
          <w:rFonts w:eastAsia="Times New Roman" w:cs="Times New Roman"/>
          <w:i/>
          <w:iCs/>
          <w:lang w:eastAsia="en-GB"/>
        </w:rPr>
        <w:t>missions</w:t>
      </w:r>
    </w:p>
    <w:p w14:paraId="38D82BBE" w14:textId="77777777" w:rsidR="00C83203" w:rsidRDefault="00C83203" w:rsidP="00C83203">
      <w:r>
        <w:rPr>
          <w:rFonts w:eastAsia="Times New Roman" w:cs="Times New Roman"/>
          <w:lang w:eastAsia="en-GB"/>
        </w:rPr>
        <w:t xml:space="preserve">Available at: </w:t>
      </w:r>
      <w:hyperlink r:id="rId15" w:history="1">
        <w:r>
          <w:rPr>
            <w:rStyle w:val="Hyperlink"/>
          </w:rPr>
          <w:t>https://theicct.org/sites/default/files/publications/EV-life-cycle-GHG_ICCT-Briefing_09022018_vF.pdf</w:t>
        </w:r>
      </w:hyperlink>
    </w:p>
    <w:p w14:paraId="3122FA83" w14:textId="714ECDD8" w:rsidR="00C83203" w:rsidRPr="00C83203" w:rsidRDefault="00C83203" w:rsidP="00C83203">
      <w:pPr>
        <w:rPr>
          <w:rFonts w:ascii="Times New Roman" w:eastAsia="Times New Roman" w:hAnsi="Times New Roman" w:cs="Times New Roman"/>
          <w:lang w:eastAsia="en-GB"/>
        </w:rPr>
      </w:pPr>
      <w:r>
        <w:rPr>
          <w:rFonts w:ascii="Times New Roman" w:eastAsia="Times New Roman" w:hAnsi="Times New Roman" w:cs="Times New Roman"/>
          <w:lang w:eastAsia="en-GB"/>
        </w:rPr>
        <w:t>(Accessed: 15 May 2020)</w:t>
      </w:r>
    </w:p>
    <w:p w14:paraId="17B3D758" w14:textId="6C5AE87F" w:rsidR="00C83203" w:rsidRPr="00C83203" w:rsidRDefault="00C83203">
      <w:pPr>
        <w:rPr>
          <w:i/>
          <w:iCs/>
        </w:rPr>
      </w:pPr>
    </w:p>
    <w:p w14:paraId="63F812EB" w14:textId="7CF61781" w:rsidR="00C83203" w:rsidRDefault="00C83203">
      <w:pPr>
        <w:rPr>
          <w:i/>
          <w:iCs/>
        </w:rPr>
      </w:pPr>
      <w:r>
        <w:t xml:space="preserve">Wappelhorts, S. (2020) </w:t>
      </w:r>
      <w:r w:rsidRPr="00C83203">
        <w:rPr>
          <w:i/>
          <w:iCs/>
        </w:rPr>
        <w:t xml:space="preserve">The </w:t>
      </w:r>
      <w:r>
        <w:rPr>
          <w:i/>
          <w:iCs/>
        </w:rPr>
        <w:t>E</w:t>
      </w:r>
      <w:r w:rsidRPr="00C83203">
        <w:rPr>
          <w:i/>
          <w:iCs/>
        </w:rPr>
        <w:t xml:space="preserve">nd of the </w:t>
      </w:r>
      <w:r>
        <w:rPr>
          <w:i/>
          <w:iCs/>
        </w:rPr>
        <w:t>R</w:t>
      </w:r>
      <w:r w:rsidRPr="00C83203">
        <w:rPr>
          <w:i/>
          <w:iCs/>
        </w:rPr>
        <w:t xml:space="preserve">oad? An </w:t>
      </w:r>
      <w:r>
        <w:rPr>
          <w:i/>
          <w:iCs/>
        </w:rPr>
        <w:t>O</w:t>
      </w:r>
      <w:r w:rsidRPr="00C83203">
        <w:rPr>
          <w:i/>
          <w:iCs/>
        </w:rPr>
        <w:t xml:space="preserve">verview of </w:t>
      </w:r>
      <w:r>
        <w:rPr>
          <w:i/>
          <w:iCs/>
        </w:rPr>
        <w:t>C</w:t>
      </w:r>
      <w:r w:rsidRPr="00C83203">
        <w:rPr>
          <w:i/>
          <w:iCs/>
        </w:rPr>
        <w:t xml:space="preserve">ombustion-engine </w:t>
      </w:r>
      <w:r>
        <w:rPr>
          <w:i/>
          <w:iCs/>
        </w:rPr>
        <w:t>C</w:t>
      </w:r>
      <w:r w:rsidRPr="00C83203">
        <w:rPr>
          <w:i/>
          <w:iCs/>
        </w:rPr>
        <w:t xml:space="preserve">ar </w:t>
      </w:r>
      <w:r>
        <w:rPr>
          <w:i/>
          <w:iCs/>
        </w:rPr>
        <w:t>P</w:t>
      </w:r>
      <w:r w:rsidRPr="00C83203">
        <w:rPr>
          <w:i/>
          <w:iCs/>
        </w:rPr>
        <w:t xml:space="preserve">hase-out </w:t>
      </w:r>
      <w:r>
        <w:rPr>
          <w:i/>
          <w:iCs/>
        </w:rPr>
        <w:t>A</w:t>
      </w:r>
      <w:r w:rsidRPr="00C83203">
        <w:rPr>
          <w:i/>
          <w:iCs/>
        </w:rPr>
        <w:t xml:space="preserve">nnouncements </w:t>
      </w:r>
      <w:r>
        <w:rPr>
          <w:i/>
          <w:iCs/>
        </w:rPr>
        <w:t>A</w:t>
      </w:r>
      <w:r w:rsidRPr="00C83203">
        <w:rPr>
          <w:i/>
          <w:iCs/>
        </w:rPr>
        <w:t>cross Europe</w:t>
      </w:r>
    </w:p>
    <w:p w14:paraId="474F11D7" w14:textId="77777777" w:rsidR="00C83203" w:rsidRDefault="00C83203" w:rsidP="00C83203">
      <w:r>
        <w:t xml:space="preserve">Available at: </w:t>
      </w:r>
      <w:hyperlink r:id="rId16" w:history="1">
        <w:r>
          <w:rPr>
            <w:rStyle w:val="Hyperlink"/>
          </w:rPr>
          <w:t>https://theicct.org/publications/combustion-engine-car-phase-out-EU</w:t>
        </w:r>
      </w:hyperlink>
    </w:p>
    <w:p w14:paraId="07F0A97A" w14:textId="17C7E354" w:rsidR="00C83203" w:rsidRPr="00C83203" w:rsidRDefault="00C83203">
      <w:r>
        <w:t>(Accessed 15 May 2020)</w:t>
      </w:r>
    </w:p>
    <w:sectPr w:rsidR="00C83203" w:rsidRPr="00C83203" w:rsidSect="00C83203">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70D0F" w14:textId="77777777" w:rsidR="00D9293D" w:rsidRDefault="00D9293D" w:rsidP="00C83203">
      <w:r>
        <w:separator/>
      </w:r>
    </w:p>
  </w:endnote>
  <w:endnote w:type="continuationSeparator" w:id="0">
    <w:p w14:paraId="6ECBCCE1" w14:textId="77777777" w:rsidR="00D9293D" w:rsidRDefault="00D9293D" w:rsidP="00C83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7279194"/>
      <w:docPartObj>
        <w:docPartGallery w:val="Page Numbers (Bottom of Page)"/>
        <w:docPartUnique/>
      </w:docPartObj>
    </w:sdtPr>
    <w:sdtContent>
      <w:p w14:paraId="694CB107" w14:textId="5B6C3A0C" w:rsidR="00C83203" w:rsidRDefault="00C83203" w:rsidP="001D0D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EE7D60" w14:textId="77777777" w:rsidR="00C83203" w:rsidRDefault="00C83203" w:rsidP="00C832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5025762"/>
      <w:docPartObj>
        <w:docPartGallery w:val="Page Numbers (Bottom of Page)"/>
        <w:docPartUnique/>
      </w:docPartObj>
    </w:sdtPr>
    <w:sdtContent>
      <w:p w14:paraId="151C3DCF" w14:textId="4CF5297F" w:rsidR="00C83203" w:rsidRDefault="00C83203" w:rsidP="001D0D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443E71" w14:textId="77777777" w:rsidR="00C83203" w:rsidRDefault="00C83203" w:rsidP="00C832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ED26D" w14:textId="77777777" w:rsidR="00D9293D" w:rsidRDefault="00D9293D" w:rsidP="00C83203">
      <w:r>
        <w:separator/>
      </w:r>
    </w:p>
  </w:footnote>
  <w:footnote w:type="continuationSeparator" w:id="0">
    <w:p w14:paraId="69245980" w14:textId="77777777" w:rsidR="00D9293D" w:rsidRDefault="00D9293D" w:rsidP="00C832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DEB"/>
    <w:rsid w:val="00055027"/>
    <w:rsid w:val="00287DEB"/>
    <w:rsid w:val="004C14D2"/>
    <w:rsid w:val="00AC5F57"/>
    <w:rsid w:val="00C83203"/>
    <w:rsid w:val="00D92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C73CE"/>
  <w15:chartTrackingRefBased/>
  <w15:docId w15:val="{372CEF46-5550-1145-996B-81A66BE99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2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32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203"/>
    <w:rPr>
      <w:color w:val="0563C1" w:themeColor="hyperlink"/>
      <w:u w:val="single"/>
    </w:rPr>
  </w:style>
  <w:style w:type="character" w:styleId="UnresolvedMention">
    <w:name w:val="Unresolved Mention"/>
    <w:basedOn w:val="DefaultParagraphFont"/>
    <w:uiPriority w:val="99"/>
    <w:semiHidden/>
    <w:unhideWhenUsed/>
    <w:rsid w:val="00C83203"/>
    <w:rPr>
      <w:color w:val="605E5C"/>
      <w:shd w:val="clear" w:color="auto" w:fill="E1DFDD"/>
    </w:rPr>
  </w:style>
  <w:style w:type="character" w:customStyle="1" w:styleId="Heading1Char">
    <w:name w:val="Heading 1 Char"/>
    <w:basedOn w:val="DefaultParagraphFont"/>
    <w:link w:val="Heading1"/>
    <w:uiPriority w:val="9"/>
    <w:rsid w:val="00C832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320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8320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83203"/>
    <w:pPr>
      <w:spacing w:before="120"/>
    </w:pPr>
    <w:rPr>
      <w:b/>
      <w:bCs/>
      <w:i/>
      <w:iCs/>
    </w:rPr>
  </w:style>
  <w:style w:type="paragraph" w:styleId="TOC2">
    <w:name w:val="toc 2"/>
    <w:basedOn w:val="Normal"/>
    <w:next w:val="Normal"/>
    <w:autoRedefine/>
    <w:uiPriority w:val="39"/>
    <w:unhideWhenUsed/>
    <w:rsid w:val="00C83203"/>
    <w:pPr>
      <w:spacing w:before="120"/>
      <w:ind w:left="240"/>
    </w:pPr>
    <w:rPr>
      <w:b/>
      <w:bCs/>
      <w:sz w:val="22"/>
      <w:szCs w:val="22"/>
    </w:rPr>
  </w:style>
  <w:style w:type="paragraph" w:styleId="TOC3">
    <w:name w:val="toc 3"/>
    <w:basedOn w:val="Normal"/>
    <w:next w:val="Normal"/>
    <w:autoRedefine/>
    <w:uiPriority w:val="39"/>
    <w:semiHidden/>
    <w:unhideWhenUsed/>
    <w:rsid w:val="00C83203"/>
    <w:pPr>
      <w:ind w:left="480"/>
    </w:pPr>
    <w:rPr>
      <w:sz w:val="20"/>
      <w:szCs w:val="20"/>
    </w:rPr>
  </w:style>
  <w:style w:type="paragraph" w:styleId="TOC4">
    <w:name w:val="toc 4"/>
    <w:basedOn w:val="Normal"/>
    <w:next w:val="Normal"/>
    <w:autoRedefine/>
    <w:uiPriority w:val="39"/>
    <w:semiHidden/>
    <w:unhideWhenUsed/>
    <w:rsid w:val="00C83203"/>
    <w:pPr>
      <w:ind w:left="720"/>
    </w:pPr>
    <w:rPr>
      <w:sz w:val="20"/>
      <w:szCs w:val="20"/>
    </w:rPr>
  </w:style>
  <w:style w:type="paragraph" w:styleId="TOC5">
    <w:name w:val="toc 5"/>
    <w:basedOn w:val="Normal"/>
    <w:next w:val="Normal"/>
    <w:autoRedefine/>
    <w:uiPriority w:val="39"/>
    <w:semiHidden/>
    <w:unhideWhenUsed/>
    <w:rsid w:val="00C83203"/>
    <w:pPr>
      <w:ind w:left="960"/>
    </w:pPr>
    <w:rPr>
      <w:sz w:val="20"/>
      <w:szCs w:val="20"/>
    </w:rPr>
  </w:style>
  <w:style w:type="paragraph" w:styleId="TOC6">
    <w:name w:val="toc 6"/>
    <w:basedOn w:val="Normal"/>
    <w:next w:val="Normal"/>
    <w:autoRedefine/>
    <w:uiPriority w:val="39"/>
    <w:semiHidden/>
    <w:unhideWhenUsed/>
    <w:rsid w:val="00C83203"/>
    <w:pPr>
      <w:ind w:left="1200"/>
    </w:pPr>
    <w:rPr>
      <w:sz w:val="20"/>
      <w:szCs w:val="20"/>
    </w:rPr>
  </w:style>
  <w:style w:type="paragraph" w:styleId="TOC7">
    <w:name w:val="toc 7"/>
    <w:basedOn w:val="Normal"/>
    <w:next w:val="Normal"/>
    <w:autoRedefine/>
    <w:uiPriority w:val="39"/>
    <w:semiHidden/>
    <w:unhideWhenUsed/>
    <w:rsid w:val="00C83203"/>
    <w:pPr>
      <w:ind w:left="1440"/>
    </w:pPr>
    <w:rPr>
      <w:sz w:val="20"/>
      <w:szCs w:val="20"/>
    </w:rPr>
  </w:style>
  <w:style w:type="paragraph" w:styleId="TOC8">
    <w:name w:val="toc 8"/>
    <w:basedOn w:val="Normal"/>
    <w:next w:val="Normal"/>
    <w:autoRedefine/>
    <w:uiPriority w:val="39"/>
    <w:semiHidden/>
    <w:unhideWhenUsed/>
    <w:rsid w:val="00C83203"/>
    <w:pPr>
      <w:ind w:left="1680"/>
    </w:pPr>
    <w:rPr>
      <w:sz w:val="20"/>
      <w:szCs w:val="20"/>
    </w:rPr>
  </w:style>
  <w:style w:type="paragraph" w:styleId="TOC9">
    <w:name w:val="toc 9"/>
    <w:basedOn w:val="Normal"/>
    <w:next w:val="Normal"/>
    <w:autoRedefine/>
    <w:uiPriority w:val="39"/>
    <w:semiHidden/>
    <w:unhideWhenUsed/>
    <w:rsid w:val="00C83203"/>
    <w:pPr>
      <w:ind w:left="1920"/>
    </w:pPr>
    <w:rPr>
      <w:sz w:val="20"/>
      <w:szCs w:val="20"/>
    </w:rPr>
  </w:style>
  <w:style w:type="character" w:styleId="FollowedHyperlink">
    <w:name w:val="FollowedHyperlink"/>
    <w:basedOn w:val="DefaultParagraphFont"/>
    <w:uiPriority w:val="99"/>
    <w:semiHidden/>
    <w:unhideWhenUsed/>
    <w:rsid w:val="00C83203"/>
    <w:rPr>
      <w:color w:val="954F72" w:themeColor="followedHyperlink"/>
      <w:u w:val="single"/>
    </w:rPr>
  </w:style>
  <w:style w:type="paragraph" w:styleId="Footer">
    <w:name w:val="footer"/>
    <w:basedOn w:val="Normal"/>
    <w:link w:val="FooterChar"/>
    <w:uiPriority w:val="99"/>
    <w:unhideWhenUsed/>
    <w:rsid w:val="00C83203"/>
    <w:pPr>
      <w:tabs>
        <w:tab w:val="center" w:pos="4513"/>
        <w:tab w:val="right" w:pos="9026"/>
      </w:tabs>
    </w:pPr>
  </w:style>
  <w:style w:type="character" w:customStyle="1" w:styleId="FooterChar">
    <w:name w:val="Footer Char"/>
    <w:basedOn w:val="DefaultParagraphFont"/>
    <w:link w:val="Footer"/>
    <w:uiPriority w:val="99"/>
    <w:rsid w:val="00C83203"/>
  </w:style>
  <w:style w:type="character" w:styleId="PageNumber">
    <w:name w:val="page number"/>
    <w:basedOn w:val="DefaultParagraphFont"/>
    <w:uiPriority w:val="99"/>
    <w:semiHidden/>
    <w:unhideWhenUsed/>
    <w:rsid w:val="00C83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313283">
      <w:bodyDiv w:val="1"/>
      <w:marLeft w:val="0"/>
      <w:marRight w:val="0"/>
      <w:marTop w:val="0"/>
      <w:marBottom w:val="0"/>
      <w:divBdr>
        <w:top w:val="none" w:sz="0" w:space="0" w:color="auto"/>
        <w:left w:val="none" w:sz="0" w:space="0" w:color="auto"/>
        <w:bottom w:val="none" w:sz="0" w:space="0" w:color="auto"/>
        <w:right w:val="none" w:sz="0" w:space="0" w:color="auto"/>
      </w:divBdr>
      <w:divsChild>
        <w:div w:id="1984918983">
          <w:marLeft w:val="0"/>
          <w:marRight w:val="0"/>
          <w:marTop w:val="0"/>
          <w:marBottom w:val="0"/>
          <w:divBdr>
            <w:top w:val="none" w:sz="0" w:space="0" w:color="auto"/>
            <w:left w:val="none" w:sz="0" w:space="0" w:color="auto"/>
            <w:bottom w:val="none" w:sz="0" w:space="0" w:color="auto"/>
            <w:right w:val="none" w:sz="0" w:space="0" w:color="auto"/>
          </w:divBdr>
        </w:div>
        <w:div w:id="2082560807">
          <w:marLeft w:val="0"/>
          <w:marRight w:val="0"/>
          <w:marTop w:val="0"/>
          <w:marBottom w:val="0"/>
          <w:divBdr>
            <w:top w:val="none" w:sz="0" w:space="0" w:color="auto"/>
            <w:left w:val="none" w:sz="0" w:space="0" w:color="auto"/>
            <w:bottom w:val="none" w:sz="0" w:space="0" w:color="auto"/>
            <w:right w:val="none" w:sz="0" w:space="0" w:color="auto"/>
          </w:divBdr>
        </w:div>
      </w:divsChild>
    </w:div>
    <w:div w:id="141503690">
      <w:bodyDiv w:val="1"/>
      <w:marLeft w:val="0"/>
      <w:marRight w:val="0"/>
      <w:marTop w:val="0"/>
      <w:marBottom w:val="0"/>
      <w:divBdr>
        <w:top w:val="none" w:sz="0" w:space="0" w:color="auto"/>
        <w:left w:val="none" w:sz="0" w:space="0" w:color="auto"/>
        <w:bottom w:val="none" w:sz="0" w:space="0" w:color="auto"/>
        <w:right w:val="none" w:sz="0" w:space="0" w:color="auto"/>
      </w:divBdr>
    </w:div>
    <w:div w:id="194538046">
      <w:bodyDiv w:val="1"/>
      <w:marLeft w:val="0"/>
      <w:marRight w:val="0"/>
      <w:marTop w:val="0"/>
      <w:marBottom w:val="0"/>
      <w:divBdr>
        <w:top w:val="none" w:sz="0" w:space="0" w:color="auto"/>
        <w:left w:val="none" w:sz="0" w:space="0" w:color="auto"/>
        <w:bottom w:val="none" w:sz="0" w:space="0" w:color="auto"/>
        <w:right w:val="none" w:sz="0" w:space="0" w:color="auto"/>
      </w:divBdr>
    </w:div>
    <w:div w:id="265357627">
      <w:bodyDiv w:val="1"/>
      <w:marLeft w:val="0"/>
      <w:marRight w:val="0"/>
      <w:marTop w:val="0"/>
      <w:marBottom w:val="0"/>
      <w:divBdr>
        <w:top w:val="none" w:sz="0" w:space="0" w:color="auto"/>
        <w:left w:val="none" w:sz="0" w:space="0" w:color="auto"/>
        <w:bottom w:val="none" w:sz="0" w:space="0" w:color="auto"/>
        <w:right w:val="none" w:sz="0" w:space="0" w:color="auto"/>
      </w:divBdr>
    </w:div>
    <w:div w:id="365569620">
      <w:bodyDiv w:val="1"/>
      <w:marLeft w:val="0"/>
      <w:marRight w:val="0"/>
      <w:marTop w:val="0"/>
      <w:marBottom w:val="0"/>
      <w:divBdr>
        <w:top w:val="none" w:sz="0" w:space="0" w:color="auto"/>
        <w:left w:val="none" w:sz="0" w:space="0" w:color="auto"/>
        <w:bottom w:val="none" w:sz="0" w:space="0" w:color="auto"/>
        <w:right w:val="none" w:sz="0" w:space="0" w:color="auto"/>
      </w:divBdr>
    </w:div>
    <w:div w:id="387846161">
      <w:bodyDiv w:val="1"/>
      <w:marLeft w:val="0"/>
      <w:marRight w:val="0"/>
      <w:marTop w:val="0"/>
      <w:marBottom w:val="0"/>
      <w:divBdr>
        <w:top w:val="none" w:sz="0" w:space="0" w:color="auto"/>
        <w:left w:val="none" w:sz="0" w:space="0" w:color="auto"/>
        <w:bottom w:val="none" w:sz="0" w:space="0" w:color="auto"/>
        <w:right w:val="none" w:sz="0" w:space="0" w:color="auto"/>
      </w:divBdr>
    </w:div>
    <w:div w:id="401217319">
      <w:bodyDiv w:val="1"/>
      <w:marLeft w:val="0"/>
      <w:marRight w:val="0"/>
      <w:marTop w:val="0"/>
      <w:marBottom w:val="0"/>
      <w:divBdr>
        <w:top w:val="none" w:sz="0" w:space="0" w:color="auto"/>
        <w:left w:val="none" w:sz="0" w:space="0" w:color="auto"/>
        <w:bottom w:val="none" w:sz="0" w:space="0" w:color="auto"/>
        <w:right w:val="none" w:sz="0" w:space="0" w:color="auto"/>
      </w:divBdr>
      <w:divsChild>
        <w:div w:id="446199087">
          <w:marLeft w:val="0"/>
          <w:marRight w:val="0"/>
          <w:marTop w:val="0"/>
          <w:marBottom w:val="0"/>
          <w:divBdr>
            <w:top w:val="none" w:sz="0" w:space="0" w:color="auto"/>
            <w:left w:val="none" w:sz="0" w:space="0" w:color="auto"/>
            <w:bottom w:val="none" w:sz="0" w:space="0" w:color="auto"/>
            <w:right w:val="none" w:sz="0" w:space="0" w:color="auto"/>
          </w:divBdr>
        </w:div>
        <w:div w:id="1161972315">
          <w:marLeft w:val="0"/>
          <w:marRight w:val="0"/>
          <w:marTop w:val="0"/>
          <w:marBottom w:val="0"/>
          <w:divBdr>
            <w:top w:val="none" w:sz="0" w:space="0" w:color="auto"/>
            <w:left w:val="none" w:sz="0" w:space="0" w:color="auto"/>
            <w:bottom w:val="none" w:sz="0" w:space="0" w:color="auto"/>
            <w:right w:val="none" w:sz="0" w:space="0" w:color="auto"/>
          </w:divBdr>
        </w:div>
      </w:divsChild>
    </w:div>
    <w:div w:id="468942127">
      <w:bodyDiv w:val="1"/>
      <w:marLeft w:val="0"/>
      <w:marRight w:val="0"/>
      <w:marTop w:val="0"/>
      <w:marBottom w:val="0"/>
      <w:divBdr>
        <w:top w:val="none" w:sz="0" w:space="0" w:color="auto"/>
        <w:left w:val="none" w:sz="0" w:space="0" w:color="auto"/>
        <w:bottom w:val="none" w:sz="0" w:space="0" w:color="auto"/>
        <w:right w:val="none" w:sz="0" w:space="0" w:color="auto"/>
      </w:divBdr>
      <w:divsChild>
        <w:div w:id="93747353">
          <w:marLeft w:val="0"/>
          <w:marRight w:val="0"/>
          <w:marTop w:val="0"/>
          <w:marBottom w:val="0"/>
          <w:divBdr>
            <w:top w:val="none" w:sz="0" w:space="0" w:color="auto"/>
            <w:left w:val="none" w:sz="0" w:space="0" w:color="auto"/>
            <w:bottom w:val="none" w:sz="0" w:space="0" w:color="auto"/>
            <w:right w:val="none" w:sz="0" w:space="0" w:color="auto"/>
          </w:divBdr>
        </w:div>
        <w:div w:id="901788800">
          <w:marLeft w:val="0"/>
          <w:marRight w:val="0"/>
          <w:marTop w:val="0"/>
          <w:marBottom w:val="0"/>
          <w:divBdr>
            <w:top w:val="none" w:sz="0" w:space="0" w:color="auto"/>
            <w:left w:val="none" w:sz="0" w:space="0" w:color="auto"/>
            <w:bottom w:val="none" w:sz="0" w:space="0" w:color="auto"/>
            <w:right w:val="none" w:sz="0" w:space="0" w:color="auto"/>
          </w:divBdr>
        </w:div>
      </w:divsChild>
    </w:div>
    <w:div w:id="472253789">
      <w:bodyDiv w:val="1"/>
      <w:marLeft w:val="0"/>
      <w:marRight w:val="0"/>
      <w:marTop w:val="0"/>
      <w:marBottom w:val="0"/>
      <w:divBdr>
        <w:top w:val="none" w:sz="0" w:space="0" w:color="auto"/>
        <w:left w:val="none" w:sz="0" w:space="0" w:color="auto"/>
        <w:bottom w:val="none" w:sz="0" w:space="0" w:color="auto"/>
        <w:right w:val="none" w:sz="0" w:space="0" w:color="auto"/>
      </w:divBdr>
    </w:div>
    <w:div w:id="581260738">
      <w:bodyDiv w:val="1"/>
      <w:marLeft w:val="0"/>
      <w:marRight w:val="0"/>
      <w:marTop w:val="0"/>
      <w:marBottom w:val="0"/>
      <w:divBdr>
        <w:top w:val="none" w:sz="0" w:space="0" w:color="auto"/>
        <w:left w:val="none" w:sz="0" w:space="0" w:color="auto"/>
        <w:bottom w:val="none" w:sz="0" w:space="0" w:color="auto"/>
        <w:right w:val="none" w:sz="0" w:space="0" w:color="auto"/>
      </w:divBdr>
    </w:div>
    <w:div w:id="901212192">
      <w:bodyDiv w:val="1"/>
      <w:marLeft w:val="0"/>
      <w:marRight w:val="0"/>
      <w:marTop w:val="0"/>
      <w:marBottom w:val="0"/>
      <w:divBdr>
        <w:top w:val="none" w:sz="0" w:space="0" w:color="auto"/>
        <w:left w:val="none" w:sz="0" w:space="0" w:color="auto"/>
        <w:bottom w:val="none" w:sz="0" w:space="0" w:color="auto"/>
        <w:right w:val="none" w:sz="0" w:space="0" w:color="auto"/>
      </w:divBdr>
    </w:div>
    <w:div w:id="988941880">
      <w:bodyDiv w:val="1"/>
      <w:marLeft w:val="0"/>
      <w:marRight w:val="0"/>
      <w:marTop w:val="0"/>
      <w:marBottom w:val="0"/>
      <w:divBdr>
        <w:top w:val="none" w:sz="0" w:space="0" w:color="auto"/>
        <w:left w:val="none" w:sz="0" w:space="0" w:color="auto"/>
        <w:bottom w:val="none" w:sz="0" w:space="0" w:color="auto"/>
        <w:right w:val="none" w:sz="0" w:space="0" w:color="auto"/>
      </w:divBdr>
    </w:div>
    <w:div w:id="1137912475">
      <w:bodyDiv w:val="1"/>
      <w:marLeft w:val="0"/>
      <w:marRight w:val="0"/>
      <w:marTop w:val="0"/>
      <w:marBottom w:val="0"/>
      <w:divBdr>
        <w:top w:val="none" w:sz="0" w:space="0" w:color="auto"/>
        <w:left w:val="none" w:sz="0" w:space="0" w:color="auto"/>
        <w:bottom w:val="none" w:sz="0" w:space="0" w:color="auto"/>
        <w:right w:val="none" w:sz="0" w:space="0" w:color="auto"/>
      </w:divBdr>
    </w:div>
    <w:div w:id="1145470387">
      <w:bodyDiv w:val="1"/>
      <w:marLeft w:val="0"/>
      <w:marRight w:val="0"/>
      <w:marTop w:val="0"/>
      <w:marBottom w:val="0"/>
      <w:divBdr>
        <w:top w:val="none" w:sz="0" w:space="0" w:color="auto"/>
        <w:left w:val="none" w:sz="0" w:space="0" w:color="auto"/>
        <w:bottom w:val="none" w:sz="0" w:space="0" w:color="auto"/>
        <w:right w:val="none" w:sz="0" w:space="0" w:color="auto"/>
      </w:divBdr>
    </w:div>
    <w:div w:id="1185287199">
      <w:bodyDiv w:val="1"/>
      <w:marLeft w:val="0"/>
      <w:marRight w:val="0"/>
      <w:marTop w:val="0"/>
      <w:marBottom w:val="0"/>
      <w:divBdr>
        <w:top w:val="none" w:sz="0" w:space="0" w:color="auto"/>
        <w:left w:val="none" w:sz="0" w:space="0" w:color="auto"/>
        <w:bottom w:val="none" w:sz="0" w:space="0" w:color="auto"/>
        <w:right w:val="none" w:sz="0" w:space="0" w:color="auto"/>
      </w:divBdr>
    </w:div>
    <w:div w:id="1275407291">
      <w:bodyDiv w:val="1"/>
      <w:marLeft w:val="0"/>
      <w:marRight w:val="0"/>
      <w:marTop w:val="0"/>
      <w:marBottom w:val="0"/>
      <w:divBdr>
        <w:top w:val="none" w:sz="0" w:space="0" w:color="auto"/>
        <w:left w:val="none" w:sz="0" w:space="0" w:color="auto"/>
        <w:bottom w:val="none" w:sz="0" w:space="0" w:color="auto"/>
        <w:right w:val="none" w:sz="0" w:space="0" w:color="auto"/>
      </w:divBdr>
    </w:div>
    <w:div w:id="1315375561">
      <w:bodyDiv w:val="1"/>
      <w:marLeft w:val="0"/>
      <w:marRight w:val="0"/>
      <w:marTop w:val="0"/>
      <w:marBottom w:val="0"/>
      <w:divBdr>
        <w:top w:val="none" w:sz="0" w:space="0" w:color="auto"/>
        <w:left w:val="none" w:sz="0" w:space="0" w:color="auto"/>
        <w:bottom w:val="none" w:sz="0" w:space="0" w:color="auto"/>
        <w:right w:val="none" w:sz="0" w:space="0" w:color="auto"/>
      </w:divBdr>
      <w:divsChild>
        <w:div w:id="387344075">
          <w:marLeft w:val="0"/>
          <w:marRight w:val="0"/>
          <w:marTop w:val="0"/>
          <w:marBottom w:val="0"/>
          <w:divBdr>
            <w:top w:val="none" w:sz="0" w:space="0" w:color="auto"/>
            <w:left w:val="none" w:sz="0" w:space="0" w:color="auto"/>
            <w:bottom w:val="none" w:sz="0" w:space="0" w:color="auto"/>
            <w:right w:val="none" w:sz="0" w:space="0" w:color="auto"/>
          </w:divBdr>
        </w:div>
        <w:div w:id="521553478">
          <w:marLeft w:val="0"/>
          <w:marRight w:val="0"/>
          <w:marTop w:val="0"/>
          <w:marBottom w:val="0"/>
          <w:divBdr>
            <w:top w:val="none" w:sz="0" w:space="0" w:color="auto"/>
            <w:left w:val="none" w:sz="0" w:space="0" w:color="auto"/>
            <w:bottom w:val="none" w:sz="0" w:space="0" w:color="auto"/>
            <w:right w:val="none" w:sz="0" w:space="0" w:color="auto"/>
          </w:divBdr>
        </w:div>
        <w:div w:id="395783414">
          <w:marLeft w:val="0"/>
          <w:marRight w:val="0"/>
          <w:marTop w:val="0"/>
          <w:marBottom w:val="0"/>
          <w:divBdr>
            <w:top w:val="none" w:sz="0" w:space="0" w:color="auto"/>
            <w:left w:val="none" w:sz="0" w:space="0" w:color="auto"/>
            <w:bottom w:val="none" w:sz="0" w:space="0" w:color="auto"/>
            <w:right w:val="none" w:sz="0" w:space="0" w:color="auto"/>
          </w:divBdr>
        </w:div>
        <w:div w:id="1879851320">
          <w:marLeft w:val="0"/>
          <w:marRight w:val="0"/>
          <w:marTop w:val="0"/>
          <w:marBottom w:val="0"/>
          <w:divBdr>
            <w:top w:val="none" w:sz="0" w:space="0" w:color="auto"/>
            <w:left w:val="none" w:sz="0" w:space="0" w:color="auto"/>
            <w:bottom w:val="none" w:sz="0" w:space="0" w:color="auto"/>
            <w:right w:val="none" w:sz="0" w:space="0" w:color="auto"/>
          </w:divBdr>
        </w:div>
        <w:div w:id="473563995">
          <w:marLeft w:val="0"/>
          <w:marRight w:val="0"/>
          <w:marTop w:val="0"/>
          <w:marBottom w:val="0"/>
          <w:divBdr>
            <w:top w:val="none" w:sz="0" w:space="0" w:color="auto"/>
            <w:left w:val="none" w:sz="0" w:space="0" w:color="auto"/>
            <w:bottom w:val="none" w:sz="0" w:space="0" w:color="auto"/>
            <w:right w:val="none" w:sz="0" w:space="0" w:color="auto"/>
          </w:divBdr>
        </w:div>
      </w:divsChild>
    </w:div>
    <w:div w:id="1327244712">
      <w:bodyDiv w:val="1"/>
      <w:marLeft w:val="0"/>
      <w:marRight w:val="0"/>
      <w:marTop w:val="0"/>
      <w:marBottom w:val="0"/>
      <w:divBdr>
        <w:top w:val="none" w:sz="0" w:space="0" w:color="auto"/>
        <w:left w:val="none" w:sz="0" w:space="0" w:color="auto"/>
        <w:bottom w:val="none" w:sz="0" w:space="0" w:color="auto"/>
        <w:right w:val="none" w:sz="0" w:space="0" w:color="auto"/>
      </w:divBdr>
      <w:divsChild>
        <w:div w:id="2004501330">
          <w:marLeft w:val="0"/>
          <w:marRight w:val="0"/>
          <w:marTop w:val="0"/>
          <w:marBottom w:val="0"/>
          <w:divBdr>
            <w:top w:val="none" w:sz="0" w:space="0" w:color="auto"/>
            <w:left w:val="none" w:sz="0" w:space="0" w:color="auto"/>
            <w:bottom w:val="none" w:sz="0" w:space="0" w:color="auto"/>
            <w:right w:val="none" w:sz="0" w:space="0" w:color="auto"/>
          </w:divBdr>
        </w:div>
        <w:div w:id="704018774">
          <w:marLeft w:val="0"/>
          <w:marRight w:val="0"/>
          <w:marTop w:val="0"/>
          <w:marBottom w:val="0"/>
          <w:divBdr>
            <w:top w:val="none" w:sz="0" w:space="0" w:color="auto"/>
            <w:left w:val="none" w:sz="0" w:space="0" w:color="auto"/>
            <w:bottom w:val="none" w:sz="0" w:space="0" w:color="auto"/>
            <w:right w:val="none" w:sz="0" w:space="0" w:color="auto"/>
          </w:divBdr>
        </w:div>
        <w:div w:id="2087023990">
          <w:marLeft w:val="0"/>
          <w:marRight w:val="0"/>
          <w:marTop w:val="0"/>
          <w:marBottom w:val="0"/>
          <w:divBdr>
            <w:top w:val="none" w:sz="0" w:space="0" w:color="auto"/>
            <w:left w:val="none" w:sz="0" w:space="0" w:color="auto"/>
            <w:bottom w:val="none" w:sz="0" w:space="0" w:color="auto"/>
            <w:right w:val="none" w:sz="0" w:space="0" w:color="auto"/>
          </w:divBdr>
        </w:div>
        <w:div w:id="1789156014">
          <w:marLeft w:val="0"/>
          <w:marRight w:val="0"/>
          <w:marTop w:val="0"/>
          <w:marBottom w:val="0"/>
          <w:divBdr>
            <w:top w:val="none" w:sz="0" w:space="0" w:color="auto"/>
            <w:left w:val="none" w:sz="0" w:space="0" w:color="auto"/>
            <w:bottom w:val="none" w:sz="0" w:space="0" w:color="auto"/>
            <w:right w:val="none" w:sz="0" w:space="0" w:color="auto"/>
          </w:divBdr>
        </w:div>
        <w:div w:id="2041780216">
          <w:marLeft w:val="0"/>
          <w:marRight w:val="0"/>
          <w:marTop w:val="0"/>
          <w:marBottom w:val="0"/>
          <w:divBdr>
            <w:top w:val="none" w:sz="0" w:space="0" w:color="auto"/>
            <w:left w:val="none" w:sz="0" w:space="0" w:color="auto"/>
            <w:bottom w:val="none" w:sz="0" w:space="0" w:color="auto"/>
            <w:right w:val="none" w:sz="0" w:space="0" w:color="auto"/>
          </w:divBdr>
        </w:div>
        <w:div w:id="170414999">
          <w:marLeft w:val="0"/>
          <w:marRight w:val="0"/>
          <w:marTop w:val="0"/>
          <w:marBottom w:val="0"/>
          <w:divBdr>
            <w:top w:val="none" w:sz="0" w:space="0" w:color="auto"/>
            <w:left w:val="none" w:sz="0" w:space="0" w:color="auto"/>
            <w:bottom w:val="none" w:sz="0" w:space="0" w:color="auto"/>
            <w:right w:val="none" w:sz="0" w:space="0" w:color="auto"/>
          </w:divBdr>
        </w:div>
        <w:div w:id="1440760185">
          <w:marLeft w:val="0"/>
          <w:marRight w:val="0"/>
          <w:marTop w:val="0"/>
          <w:marBottom w:val="0"/>
          <w:divBdr>
            <w:top w:val="none" w:sz="0" w:space="0" w:color="auto"/>
            <w:left w:val="none" w:sz="0" w:space="0" w:color="auto"/>
            <w:bottom w:val="none" w:sz="0" w:space="0" w:color="auto"/>
            <w:right w:val="none" w:sz="0" w:space="0" w:color="auto"/>
          </w:divBdr>
        </w:div>
        <w:div w:id="1794209435">
          <w:marLeft w:val="0"/>
          <w:marRight w:val="0"/>
          <w:marTop w:val="0"/>
          <w:marBottom w:val="0"/>
          <w:divBdr>
            <w:top w:val="none" w:sz="0" w:space="0" w:color="auto"/>
            <w:left w:val="none" w:sz="0" w:space="0" w:color="auto"/>
            <w:bottom w:val="none" w:sz="0" w:space="0" w:color="auto"/>
            <w:right w:val="none" w:sz="0" w:space="0" w:color="auto"/>
          </w:divBdr>
        </w:div>
      </w:divsChild>
    </w:div>
    <w:div w:id="1344744978">
      <w:bodyDiv w:val="1"/>
      <w:marLeft w:val="0"/>
      <w:marRight w:val="0"/>
      <w:marTop w:val="0"/>
      <w:marBottom w:val="0"/>
      <w:divBdr>
        <w:top w:val="none" w:sz="0" w:space="0" w:color="auto"/>
        <w:left w:val="none" w:sz="0" w:space="0" w:color="auto"/>
        <w:bottom w:val="none" w:sz="0" w:space="0" w:color="auto"/>
        <w:right w:val="none" w:sz="0" w:space="0" w:color="auto"/>
      </w:divBdr>
    </w:div>
    <w:div w:id="1396511373">
      <w:bodyDiv w:val="1"/>
      <w:marLeft w:val="0"/>
      <w:marRight w:val="0"/>
      <w:marTop w:val="0"/>
      <w:marBottom w:val="0"/>
      <w:divBdr>
        <w:top w:val="none" w:sz="0" w:space="0" w:color="auto"/>
        <w:left w:val="none" w:sz="0" w:space="0" w:color="auto"/>
        <w:bottom w:val="none" w:sz="0" w:space="0" w:color="auto"/>
        <w:right w:val="none" w:sz="0" w:space="0" w:color="auto"/>
      </w:divBdr>
    </w:div>
    <w:div w:id="1423377272">
      <w:bodyDiv w:val="1"/>
      <w:marLeft w:val="0"/>
      <w:marRight w:val="0"/>
      <w:marTop w:val="0"/>
      <w:marBottom w:val="0"/>
      <w:divBdr>
        <w:top w:val="none" w:sz="0" w:space="0" w:color="auto"/>
        <w:left w:val="none" w:sz="0" w:space="0" w:color="auto"/>
        <w:bottom w:val="none" w:sz="0" w:space="0" w:color="auto"/>
        <w:right w:val="none" w:sz="0" w:space="0" w:color="auto"/>
      </w:divBdr>
    </w:div>
    <w:div w:id="1595941880">
      <w:bodyDiv w:val="1"/>
      <w:marLeft w:val="0"/>
      <w:marRight w:val="0"/>
      <w:marTop w:val="0"/>
      <w:marBottom w:val="0"/>
      <w:divBdr>
        <w:top w:val="none" w:sz="0" w:space="0" w:color="auto"/>
        <w:left w:val="none" w:sz="0" w:space="0" w:color="auto"/>
        <w:bottom w:val="none" w:sz="0" w:space="0" w:color="auto"/>
        <w:right w:val="none" w:sz="0" w:space="0" w:color="auto"/>
      </w:divBdr>
    </w:div>
    <w:div w:id="1645308631">
      <w:bodyDiv w:val="1"/>
      <w:marLeft w:val="0"/>
      <w:marRight w:val="0"/>
      <w:marTop w:val="0"/>
      <w:marBottom w:val="0"/>
      <w:divBdr>
        <w:top w:val="none" w:sz="0" w:space="0" w:color="auto"/>
        <w:left w:val="none" w:sz="0" w:space="0" w:color="auto"/>
        <w:bottom w:val="none" w:sz="0" w:space="0" w:color="auto"/>
        <w:right w:val="none" w:sz="0" w:space="0" w:color="auto"/>
      </w:divBdr>
    </w:div>
    <w:div w:id="1666933353">
      <w:bodyDiv w:val="1"/>
      <w:marLeft w:val="0"/>
      <w:marRight w:val="0"/>
      <w:marTop w:val="0"/>
      <w:marBottom w:val="0"/>
      <w:divBdr>
        <w:top w:val="none" w:sz="0" w:space="0" w:color="auto"/>
        <w:left w:val="none" w:sz="0" w:space="0" w:color="auto"/>
        <w:bottom w:val="none" w:sz="0" w:space="0" w:color="auto"/>
        <w:right w:val="none" w:sz="0" w:space="0" w:color="auto"/>
      </w:divBdr>
    </w:div>
    <w:div w:id="1738091504">
      <w:bodyDiv w:val="1"/>
      <w:marLeft w:val="0"/>
      <w:marRight w:val="0"/>
      <w:marTop w:val="0"/>
      <w:marBottom w:val="0"/>
      <w:divBdr>
        <w:top w:val="none" w:sz="0" w:space="0" w:color="auto"/>
        <w:left w:val="none" w:sz="0" w:space="0" w:color="auto"/>
        <w:bottom w:val="none" w:sz="0" w:space="0" w:color="auto"/>
        <w:right w:val="none" w:sz="0" w:space="0" w:color="auto"/>
      </w:divBdr>
      <w:divsChild>
        <w:div w:id="730155681">
          <w:marLeft w:val="0"/>
          <w:marRight w:val="0"/>
          <w:marTop w:val="0"/>
          <w:marBottom w:val="0"/>
          <w:divBdr>
            <w:top w:val="none" w:sz="0" w:space="0" w:color="auto"/>
            <w:left w:val="none" w:sz="0" w:space="0" w:color="auto"/>
            <w:bottom w:val="none" w:sz="0" w:space="0" w:color="auto"/>
            <w:right w:val="none" w:sz="0" w:space="0" w:color="auto"/>
          </w:divBdr>
        </w:div>
        <w:div w:id="553198494">
          <w:marLeft w:val="0"/>
          <w:marRight w:val="0"/>
          <w:marTop w:val="0"/>
          <w:marBottom w:val="0"/>
          <w:divBdr>
            <w:top w:val="none" w:sz="0" w:space="0" w:color="auto"/>
            <w:left w:val="none" w:sz="0" w:space="0" w:color="auto"/>
            <w:bottom w:val="none" w:sz="0" w:space="0" w:color="auto"/>
            <w:right w:val="none" w:sz="0" w:space="0" w:color="auto"/>
          </w:divBdr>
        </w:div>
      </w:divsChild>
    </w:div>
    <w:div w:id="1936010858">
      <w:bodyDiv w:val="1"/>
      <w:marLeft w:val="0"/>
      <w:marRight w:val="0"/>
      <w:marTop w:val="0"/>
      <w:marBottom w:val="0"/>
      <w:divBdr>
        <w:top w:val="none" w:sz="0" w:space="0" w:color="auto"/>
        <w:left w:val="none" w:sz="0" w:space="0" w:color="auto"/>
        <w:bottom w:val="none" w:sz="0" w:space="0" w:color="auto"/>
        <w:right w:val="none" w:sz="0" w:space="0" w:color="auto"/>
      </w:divBdr>
    </w:div>
    <w:div w:id="2094812325">
      <w:bodyDiv w:val="1"/>
      <w:marLeft w:val="0"/>
      <w:marRight w:val="0"/>
      <w:marTop w:val="0"/>
      <w:marBottom w:val="0"/>
      <w:divBdr>
        <w:top w:val="none" w:sz="0" w:space="0" w:color="auto"/>
        <w:left w:val="none" w:sz="0" w:space="0" w:color="auto"/>
        <w:bottom w:val="none" w:sz="0" w:space="0" w:color="auto"/>
        <w:right w:val="none" w:sz="0" w:space="0" w:color="auto"/>
      </w:divBdr>
      <w:divsChild>
        <w:div w:id="1285386352">
          <w:marLeft w:val="0"/>
          <w:marRight w:val="0"/>
          <w:marTop w:val="0"/>
          <w:marBottom w:val="0"/>
          <w:divBdr>
            <w:top w:val="none" w:sz="0" w:space="0" w:color="auto"/>
            <w:left w:val="none" w:sz="0" w:space="0" w:color="auto"/>
            <w:bottom w:val="none" w:sz="0" w:space="0" w:color="auto"/>
            <w:right w:val="none" w:sz="0" w:space="0" w:color="auto"/>
          </w:divBdr>
        </w:div>
        <w:div w:id="673262762">
          <w:marLeft w:val="0"/>
          <w:marRight w:val="0"/>
          <w:marTop w:val="0"/>
          <w:marBottom w:val="0"/>
          <w:divBdr>
            <w:top w:val="none" w:sz="0" w:space="0" w:color="auto"/>
            <w:left w:val="none" w:sz="0" w:space="0" w:color="auto"/>
            <w:bottom w:val="none" w:sz="0" w:space="0" w:color="auto"/>
            <w:right w:val="none" w:sz="0" w:space="0" w:color="auto"/>
          </w:divBdr>
        </w:div>
      </w:divsChild>
    </w:div>
    <w:div w:id="2100908456">
      <w:bodyDiv w:val="1"/>
      <w:marLeft w:val="0"/>
      <w:marRight w:val="0"/>
      <w:marTop w:val="0"/>
      <w:marBottom w:val="0"/>
      <w:divBdr>
        <w:top w:val="none" w:sz="0" w:space="0" w:color="auto"/>
        <w:left w:val="none" w:sz="0" w:space="0" w:color="auto"/>
        <w:bottom w:val="none" w:sz="0" w:space="0" w:color="auto"/>
        <w:right w:val="none" w:sz="0" w:space="0" w:color="auto"/>
      </w:divBdr>
    </w:div>
    <w:div w:id="213255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ur-lex.europa.eu/LexUriServ/LexUriServ.do?uri=COM:2011:0144:FIN:en:PDF" TargetMode="External"/><Relationship Id="rId13" Type="http://schemas.openxmlformats.org/officeDocument/2006/relationships/hyperlink" Target="https://www.statista.com/statistics/955443/number-of-electric-vehicle-charging-stations-in-europe/"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mckinsey.com/industries/oil-and-gas/our-insights/recharging-economies-the-ev-battery-manufacturing-outlook-for-europe" TargetMode="External"/><Relationship Id="rId12" Type="http://schemas.openxmlformats.org/officeDocument/2006/relationships/hyperlink" Target="https://www.mckinsey.com/~/media/McKinsey/Industries/Automotive%20and%20Assembly/Our%20Insights/Electrifying%20insights%20How%20automakers%20can%20drive%20electrified%20vehicle%20sales%20and%20profitability/Electrifying%20insights%20-%20How%20automakers%20can%20drive%20electrified%20vehicle%20sales%20and%20profitability_vF.ash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theicct.org/publications/combustion-engine-car-phase-out-E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media/McKinsey/Locations/Europe%20and%20Middle%20East/Netherlands/Our%20Insights/Electric%20vehicles%20in%20Europe%20Gearing%20up%20for%20a%20new%20phase/Electric%20vehicles%20in%20Europe%20Gearing%20up%20for%20a%20new%20phase.ashx" TargetMode="External"/><Relationship Id="rId5" Type="http://schemas.openxmlformats.org/officeDocument/2006/relationships/footnotes" Target="footnotes.xml"/><Relationship Id="rId15" Type="http://schemas.openxmlformats.org/officeDocument/2006/relationships/hyperlink" Target="https://theicct.org/sites/default/files/publications/EV-life-cycle-GHG_ICCT-Briefing_09022018_vF.pdf" TargetMode="External"/><Relationship Id="rId10" Type="http://schemas.openxmlformats.org/officeDocument/2006/relationships/hyperlink" Target="https://www.oeko.de/fileadmin/oekodoc/Gesamtbericht-Wirtschaftlichkeit-von-Elektromobilitaet.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ea.europa.eu/publications/electric-vehicles-in-europe" TargetMode="External"/><Relationship Id="rId14" Type="http://schemas.openxmlformats.org/officeDocument/2006/relationships/hyperlink" Target="https://www.statista.com/statistics/625010/electric-vehicle-market-share-in-eu-an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F0875-8A2C-BD42-B65D-4307BA32D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10</Pages>
  <Words>2789</Words>
  <Characters>15900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Vartigorova-ivanova (1906318)</dc:creator>
  <cp:keywords/>
  <dc:description/>
  <cp:lastModifiedBy>Viktoria Vartigorova-ivanova (1906318)</cp:lastModifiedBy>
  <cp:revision>1</cp:revision>
  <dcterms:created xsi:type="dcterms:W3CDTF">2020-05-15T13:22:00Z</dcterms:created>
  <dcterms:modified xsi:type="dcterms:W3CDTF">2020-05-17T23:32:00Z</dcterms:modified>
</cp:coreProperties>
</file>