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B8A8A" w14:textId="77777777" w:rsidR="00092B41" w:rsidRPr="00092B41" w:rsidRDefault="00092B41" w:rsidP="00092B41">
      <w:pPr>
        <w:pStyle w:val="AssignHeader"/>
        <w:rPr>
          <w:rFonts w:ascii="Times New Roman" w:hAnsi="Times New Roman"/>
          <w:lang w:eastAsia="en-GB"/>
        </w:rPr>
      </w:pPr>
      <w:r w:rsidRPr="00092B41">
        <w:rPr>
          <w:lang w:eastAsia="en-GB"/>
        </w:rPr>
        <w:t xml:space="preserve">Understanding how the learner, the school and the local community work together to deliver one of the four purposes of the new curriculum: a video presentation that critically examines this process.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1726C3AE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092B41" w:rsidRPr="0081167E">
          <w:rPr>
            <w:rStyle w:val="Hyperlink"/>
          </w:rPr>
          <w:t>https://eur01.safelinks.protection.outlook.com/?url=https%3A%2F%2Fuowtsd-my.sharepoint.com%2F%3Av%3A%2Fg%2Fpersonal%2F1800284_student_uwtsd_ac_uk%2FESe_kE2Ti09Djf1Y84TFLzsBP6rK_kclZAeBE41PxJwMkg%3Fe</w:t>
        </w:r>
        <w:r w:rsidR="00092B41" w:rsidRPr="0081167E">
          <w:rPr>
            <w:rStyle w:val="Hyperlink"/>
          </w:rPr>
          <w:t>%</w:t>
        </w:r>
        <w:r w:rsidR="00092B41" w:rsidRPr="0081167E">
          <w:rPr>
            <w:rStyle w:val="Hyperlink"/>
          </w:rPr>
          <w:t>3DpRsoUx&amp;data=02%7C01%7C%7C424a2f54c508492f6fc508d7d0b8b5c4%7C4e0f11f9046e45059cb8db2152311e21%7C0%7C0%7C637207364045630025&amp;sdata=P9LlXyasfq6q0lp7PccPJAcU0Cby0No7QfppBGQio8k%3D&amp;reserved=0</w:t>
        </w:r>
      </w:hyperlink>
      <w:r w:rsidR="00092B41">
        <w:t xml:space="preserve"> </w:t>
      </w:r>
      <w:bookmarkStart w:id="0" w:name="_GoBack"/>
      <w:bookmarkEnd w:id="0"/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7770DA44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F726A66" w14:textId="2368A319" w:rsidR="006551F0" w:rsidRDefault="006551F0" w:rsidP="00E611D9">
      <w:pPr>
        <w:pStyle w:val="AssignBody"/>
        <w:rPr>
          <w:b/>
        </w:rPr>
      </w:pPr>
    </w:p>
    <w:p w14:paraId="73F124F8" w14:textId="77777777" w:rsidR="00A30065" w:rsidRPr="00A30065" w:rsidRDefault="00A30065" w:rsidP="00A30065">
      <w:pPr>
        <w:pStyle w:val="Heading3"/>
        <w:spacing w:before="0" w:beforeAutospacing="0" w:after="0" w:afterAutospacing="0"/>
        <w:rPr>
          <w:rFonts w:ascii="Arial" w:hAnsi="Arial" w:cs="Arial"/>
          <w:color w:val="000000" w:themeColor="text1"/>
          <w:sz w:val="24"/>
          <w:szCs w:val="24"/>
        </w:rPr>
      </w:pPr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Amato, PR. Fowler, F (2002) </w:t>
      </w:r>
      <w:hyperlink r:id="rId10" w:history="1">
        <w:r w:rsidRPr="00A30065">
          <w:rPr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Parenting Practices, Child Adjustm</w:t>
        </w:r>
        <w:r w:rsidRPr="00A30065">
          <w:rPr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e</w:t>
        </w:r>
        <w:r w:rsidRPr="00A30065">
          <w:rPr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nt, and Family Diversity</w:t>
        </w:r>
      </w:hyperlink>
      <w:r w:rsidRPr="00A30065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  <w:r w:rsidRPr="00A30065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 Journal of Marriage and Family. </w:t>
      </w:r>
      <w:r w:rsidRPr="00A30065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64(3). P703-716. </w:t>
      </w:r>
    </w:p>
    <w:p w14:paraId="5FF30FF0" w14:textId="77777777" w:rsidR="00A30065" w:rsidRPr="00A30065" w:rsidRDefault="00A30065" w:rsidP="00E611D9">
      <w:pPr>
        <w:pStyle w:val="AssignBody"/>
        <w:rPr>
          <w:rFonts w:cs="Arial"/>
          <w:bCs/>
          <w:color w:val="000000" w:themeColor="text1"/>
          <w:sz w:val="24"/>
          <w:szCs w:val="24"/>
        </w:rPr>
      </w:pPr>
    </w:p>
    <w:p w14:paraId="709AF40B" w14:textId="77777777" w:rsidR="00A30065" w:rsidRPr="00A30065" w:rsidRDefault="00A30065" w:rsidP="00A30065">
      <w:pPr>
        <w:pStyle w:val="AssignBody"/>
        <w:rPr>
          <w:rFonts w:cs="Arial"/>
          <w:bCs/>
          <w:color w:val="000000" w:themeColor="text1"/>
          <w:sz w:val="24"/>
          <w:szCs w:val="24"/>
        </w:rPr>
      </w:pPr>
      <w:proofErr w:type="spellStart"/>
      <w:r w:rsidRPr="00A30065">
        <w:rPr>
          <w:rFonts w:cs="Arial"/>
          <w:bCs/>
          <w:color w:val="000000" w:themeColor="text1"/>
          <w:sz w:val="24"/>
          <w:szCs w:val="24"/>
        </w:rPr>
        <w:t>Bera</w:t>
      </w:r>
      <w:proofErr w:type="spellEnd"/>
      <w:r w:rsidRPr="00A30065">
        <w:rPr>
          <w:rFonts w:cs="Arial"/>
          <w:bCs/>
          <w:color w:val="000000" w:themeColor="text1"/>
          <w:sz w:val="24"/>
          <w:szCs w:val="24"/>
        </w:rPr>
        <w:t xml:space="preserve"> (2018) Guidelines. </w:t>
      </w:r>
    </w:p>
    <w:p w14:paraId="4D958BBF" w14:textId="20046DB2" w:rsidR="00A30065" w:rsidRPr="00A30065" w:rsidRDefault="00A30065" w:rsidP="00A30065">
      <w:pPr>
        <w:pStyle w:val="NormalWeb"/>
        <w:rPr>
          <w:rFonts w:ascii="Arial" w:hAnsi="Arial" w:cs="Arial"/>
          <w:i/>
          <w:iCs/>
          <w:color w:val="000000" w:themeColor="text1"/>
        </w:rPr>
      </w:pPr>
      <w:r w:rsidRPr="00A30065">
        <w:rPr>
          <w:rFonts w:ascii="Arial" w:hAnsi="Arial" w:cs="Arial"/>
          <w:color w:val="000000" w:themeColor="text1"/>
        </w:rPr>
        <w:t xml:space="preserve">Cunningham, A. E. (2005). Vocabulary growth through independent reading and reading aloud to children. </w:t>
      </w:r>
      <w:r w:rsidRPr="00A30065">
        <w:rPr>
          <w:rFonts w:ascii="Arial" w:hAnsi="Arial" w:cs="Arial"/>
          <w:i/>
          <w:iCs/>
          <w:color w:val="000000" w:themeColor="text1"/>
        </w:rPr>
        <w:t xml:space="preserve">Teaching and learning vocabulary: Bringing research to practice. </w:t>
      </w:r>
      <w:r w:rsidRPr="00A30065">
        <w:rPr>
          <w:rFonts w:ascii="Arial" w:hAnsi="Arial" w:cs="Arial"/>
          <w:i/>
          <w:iCs/>
          <w:color w:val="000000" w:themeColor="text1"/>
        </w:rPr>
        <w:br/>
      </w:r>
    </w:p>
    <w:p w14:paraId="66D46200" w14:textId="503DE83C" w:rsidR="006551F0" w:rsidRPr="00A30065" w:rsidRDefault="006551F0" w:rsidP="00E611D9">
      <w:pPr>
        <w:pStyle w:val="AssignBody"/>
        <w:rPr>
          <w:rFonts w:cs="Arial"/>
          <w:bCs/>
          <w:color w:val="000000" w:themeColor="text1"/>
          <w:sz w:val="24"/>
          <w:szCs w:val="24"/>
        </w:rPr>
      </w:pPr>
      <w:r w:rsidRPr="00A30065">
        <w:rPr>
          <w:rFonts w:cs="Arial"/>
          <w:bCs/>
          <w:color w:val="000000" w:themeColor="text1"/>
          <w:sz w:val="24"/>
          <w:szCs w:val="24"/>
        </w:rPr>
        <w:t>Estyn (2017</w:t>
      </w:r>
      <w:r w:rsidRPr="00A30065">
        <w:rPr>
          <w:rFonts w:cs="Arial"/>
          <w:bCs/>
          <w:i/>
          <w:iCs/>
          <w:color w:val="000000" w:themeColor="text1"/>
          <w:sz w:val="24"/>
          <w:szCs w:val="24"/>
        </w:rPr>
        <w:t>) ‘_____ Community Primary’</w:t>
      </w:r>
      <w:r w:rsidRPr="00A30065">
        <w:rPr>
          <w:rFonts w:cs="Arial"/>
          <w:bCs/>
          <w:color w:val="000000" w:themeColor="text1"/>
          <w:sz w:val="24"/>
          <w:szCs w:val="24"/>
        </w:rPr>
        <w:t xml:space="preserve">. Available at: </w:t>
      </w:r>
      <w:hyperlink r:id="rId11" w:history="1">
        <w:r w:rsidRPr="00A30065">
          <w:rPr>
            <w:rStyle w:val="Hyperlink"/>
            <w:rFonts w:cs="Arial"/>
            <w:bCs/>
            <w:color w:val="000000" w:themeColor="text1"/>
            <w:sz w:val="24"/>
            <w:szCs w:val="24"/>
          </w:rPr>
          <w:t>https://www.estyn.gov.wales/pro</w:t>
        </w:r>
        <w:r w:rsidRPr="00A30065">
          <w:rPr>
            <w:rStyle w:val="Hyperlink"/>
            <w:rFonts w:cs="Arial"/>
            <w:bCs/>
            <w:color w:val="000000" w:themeColor="text1"/>
            <w:sz w:val="24"/>
            <w:szCs w:val="24"/>
          </w:rPr>
          <w:t>v</w:t>
        </w:r>
        <w:r w:rsidRPr="00A30065">
          <w:rPr>
            <w:rStyle w:val="Hyperlink"/>
            <w:rFonts w:cs="Arial"/>
            <w:bCs/>
            <w:color w:val="000000" w:themeColor="text1"/>
            <w:sz w:val="24"/>
            <w:szCs w:val="24"/>
          </w:rPr>
          <w:t>ider/cadoxton-community-primary</w:t>
        </w:r>
      </w:hyperlink>
      <w:r w:rsidRPr="00A30065">
        <w:rPr>
          <w:rFonts w:cs="Arial"/>
          <w:bCs/>
          <w:color w:val="000000" w:themeColor="text1"/>
          <w:sz w:val="24"/>
          <w:szCs w:val="24"/>
        </w:rPr>
        <w:t xml:space="preserve"> (Accessed on: 23/03/20). </w:t>
      </w:r>
    </w:p>
    <w:p w14:paraId="72031C56" w14:textId="77777777" w:rsidR="00A30065" w:rsidRPr="00A30065" w:rsidRDefault="00A30065" w:rsidP="00E611D9">
      <w:pPr>
        <w:pStyle w:val="AssignBody"/>
        <w:rPr>
          <w:rFonts w:cs="Arial"/>
          <w:bCs/>
          <w:color w:val="000000" w:themeColor="text1"/>
          <w:sz w:val="24"/>
          <w:szCs w:val="24"/>
        </w:rPr>
      </w:pPr>
    </w:p>
    <w:p w14:paraId="0C65F8C6" w14:textId="3D666743" w:rsidR="00A30065" w:rsidRPr="00A30065" w:rsidRDefault="00A30065" w:rsidP="00A30065">
      <w:pPr>
        <w:pStyle w:val="Heading1"/>
        <w:spacing w:before="0" w:after="300" w:line="293" w:lineRule="atLeast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r w:rsidRPr="00A30065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 xml:space="preserve">Ginsburg, K (2007) </w:t>
      </w:r>
      <w:r w:rsidRPr="00A30065">
        <w:rPr>
          <w:rFonts w:ascii="Arial" w:hAnsi="Arial" w:cs="Arial"/>
          <w:bCs/>
          <w:color w:val="000000" w:themeColor="text1"/>
          <w:spacing w:val="-7"/>
          <w:sz w:val="24"/>
          <w:szCs w:val="24"/>
        </w:rPr>
        <w:t xml:space="preserve">The Importance of Play in Promoting Healthy Child Development and Maintaining Strong Parent-Child Bonds. </w:t>
      </w:r>
      <w:proofErr w:type="spellStart"/>
      <w:r w:rsidRPr="00A30065">
        <w:rPr>
          <w:rFonts w:ascii="Arial" w:hAnsi="Arial" w:cs="Arial"/>
          <w:bCs/>
          <w:i/>
          <w:iCs/>
          <w:color w:val="000000" w:themeColor="text1"/>
          <w:spacing w:val="-7"/>
          <w:sz w:val="24"/>
          <w:szCs w:val="24"/>
        </w:rPr>
        <w:t>Pediatrics</w:t>
      </w:r>
      <w:proofErr w:type="spellEnd"/>
      <w:r w:rsidRPr="00A30065">
        <w:rPr>
          <w:rFonts w:ascii="Arial" w:hAnsi="Arial" w:cs="Arial"/>
          <w:bCs/>
          <w:i/>
          <w:iCs/>
          <w:color w:val="000000" w:themeColor="text1"/>
          <w:spacing w:val="-7"/>
          <w:sz w:val="24"/>
          <w:szCs w:val="24"/>
        </w:rPr>
        <w:t xml:space="preserve">. </w:t>
      </w:r>
      <w:r w:rsidRPr="00A30065">
        <w:rPr>
          <w:rFonts w:ascii="Arial" w:hAnsi="Arial" w:cs="Arial"/>
          <w:bCs/>
          <w:color w:val="000000" w:themeColor="text1"/>
          <w:spacing w:val="-7"/>
          <w:sz w:val="24"/>
          <w:szCs w:val="24"/>
        </w:rPr>
        <w:t xml:space="preserve">119(1). P182-191. </w:t>
      </w:r>
      <w:r w:rsidRPr="00A30065">
        <w:rPr>
          <w:rFonts w:ascii="Arial" w:hAnsi="Arial" w:cs="Arial"/>
          <w:bCs/>
          <w:color w:val="000000" w:themeColor="text1"/>
          <w:spacing w:val="-7"/>
          <w:sz w:val="24"/>
          <w:szCs w:val="24"/>
        </w:rPr>
        <w:br/>
      </w:r>
      <w:r w:rsidRPr="00A30065">
        <w:rPr>
          <w:rFonts w:ascii="Arial" w:hAnsi="Arial" w:cs="Arial"/>
          <w:bCs/>
          <w:color w:val="000000" w:themeColor="text1"/>
          <w:spacing w:val="-7"/>
          <w:sz w:val="24"/>
          <w:szCs w:val="24"/>
        </w:rPr>
        <w:br/>
      </w:r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Gunderson, E. Donnellan, M. Robins, R. (2018</w:t>
      </w:r>
      <w:proofErr w:type="gramStart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)  </w:t>
      </w:r>
      <w:proofErr w:type="spellStart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The</w:t>
      </w:r>
      <w:proofErr w:type="gramEnd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s</w:t>
      </w:r>
      <w:proofErr w:type="spellEnd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pecificity of parenting effects: Differential relations of parent praise and criticism to children's theories of intelligence and learning goals. </w:t>
      </w:r>
      <w:r w:rsidRPr="00A3006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J Exp Child Psychol.</w:t>
      </w:r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173. p116-135.</w:t>
      </w:r>
    </w:p>
    <w:p w14:paraId="7ADD516E" w14:textId="334888CE" w:rsidR="00A30065" w:rsidRPr="00A30065" w:rsidRDefault="00A30065" w:rsidP="00A30065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Hoover, J. </w:t>
      </w:r>
      <w:proofErr w:type="spellStart"/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>Giambatista</w:t>
      </w:r>
      <w:proofErr w:type="spellEnd"/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R (2012) </w:t>
      </w:r>
      <w:hyperlink r:id="rId12" w:history="1">
        <w:r w:rsidRPr="00A30065">
          <w:rPr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Eyes On, Hands On: Vicarious Observational Learning as an Enhancement of Direct Experience.</w:t>
        </w:r>
      </w:hyperlink>
      <w:r w:rsidRPr="00A3006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30065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Academy of Management Learning &amp; Education. </w:t>
      </w:r>
      <w:r w:rsidRPr="00A30065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11(4). P591-609. </w:t>
      </w:r>
    </w:p>
    <w:p w14:paraId="20D4013B" w14:textId="77777777" w:rsidR="00A30065" w:rsidRPr="00A30065" w:rsidRDefault="00A30065" w:rsidP="00A30065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2CA78FE8" w14:textId="77777777" w:rsidR="00A30065" w:rsidRPr="006551F0" w:rsidRDefault="00A30065" w:rsidP="00A30065">
      <w:pPr>
        <w:pStyle w:val="Heading3"/>
        <w:spacing w:before="0" w:beforeAutospacing="0" w:after="0" w:afterAutospacing="0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Jaffe, M (2011) </w:t>
      </w:r>
      <w:hyperlink r:id="rId13" w:history="1">
        <w:r w:rsidRPr="00A30065">
          <w:rPr>
            <w:rFonts w:ascii="Arial" w:hAnsi="Arial" w:cs="Arial"/>
            <w:b w:val="0"/>
            <w:color w:val="000000" w:themeColor="text1"/>
            <w:sz w:val="24"/>
            <w:szCs w:val="24"/>
          </w:rPr>
          <w:t>The Parent-Teacher Relationship</w:t>
        </w:r>
      </w:hyperlink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. </w:t>
      </w:r>
      <w:r w:rsidRPr="006551F0">
        <w:rPr>
          <w:rFonts w:ascii="Arial" w:hAnsi="Arial" w:cs="Arial"/>
          <w:b w:val="0"/>
          <w:i/>
          <w:iCs/>
          <w:color w:val="000000" w:themeColor="text1"/>
          <w:sz w:val="24"/>
          <w:szCs w:val="24"/>
        </w:rPr>
        <w:t>Baltimore Jewish Times</w:t>
      </w:r>
      <w:r w:rsidRPr="00A30065">
        <w:rPr>
          <w:rFonts w:ascii="Arial" w:hAnsi="Arial" w:cs="Arial"/>
          <w:b w:val="0"/>
          <w:i/>
          <w:iCs/>
          <w:color w:val="000000" w:themeColor="text1"/>
          <w:sz w:val="24"/>
          <w:szCs w:val="24"/>
        </w:rPr>
        <w:t xml:space="preserve">. </w:t>
      </w:r>
      <w:r w:rsidRPr="006551F0">
        <w:rPr>
          <w:rFonts w:ascii="Arial" w:hAnsi="Arial" w:cs="Arial"/>
          <w:b w:val="0"/>
          <w:color w:val="000000" w:themeColor="text1"/>
          <w:sz w:val="24"/>
          <w:szCs w:val="24"/>
        </w:rPr>
        <w:t>321(7), p</w:t>
      </w:r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134-135. </w:t>
      </w:r>
    </w:p>
    <w:p w14:paraId="1C945D31" w14:textId="00B5124B" w:rsidR="00A30065" w:rsidRPr="00A30065" w:rsidRDefault="00A30065" w:rsidP="00A30065">
      <w:pPr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6F8E65FD" w14:textId="77777777" w:rsidR="00A30065" w:rsidRPr="006551F0" w:rsidRDefault="00A30065" w:rsidP="00A30065">
      <w:pPr>
        <w:pStyle w:val="Heading3"/>
        <w:spacing w:before="0" w:beforeAutospacing="0" w:after="0" w:afterAutospacing="0"/>
        <w:rPr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>Kyzar</w:t>
      </w:r>
      <w:proofErr w:type="spellEnd"/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K. </w:t>
      </w:r>
      <w:proofErr w:type="spellStart"/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>Turnball</w:t>
      </w:r>
      <w:proofErr w:type="spellEnd"/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A. Summers, J (2018) </w:t>
      </w:r>
      <w:hyperlink r:id="rId14" w:history="1">
        <w:r w:rsidRPr="00A30065">
          <w:rPr>
            <w:rFonts w:ascii="Arial" w:hAnsi="Arial" w:cs="Arial"/>
            <w:b w:val="0"/>
            <w:color w:val="000000" w:themeColor="text1"/>
            <w:sz w:val="24"/>
            <w:szCs w:val="24"/>
          </w:rPr>
          <w:t>The Relationship of Family Support to Family Outcomes: A Synthesis of Key Findings From Research on Severe Disability.</w:t>
        </w:r>
      </w:hyperlink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Pr="006551F0">
        <w:rPr>
          <w:rFonts w:ascii="Arial" w:hAnsi="Arial" w:cs="Arial"/>
          <w:b w:val="0"/>
          <w:i/>
          <w:iCs/>
          <w:color w:val="000000" w:themeColor="text1"/>
          <w:sz w:val="24"/>
          <w:szCs w:val="24"/>
        </w:rPr>
        <w:t>Research &amp; Practice for Persons with Severe Disabilities</w:t>
      </w:r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. </w:t>
      </w:r>
      <w:r w:rsidRPr="006551F0">
        <w:rPr>
          <w:rFonts w:ascii="Arial" w:hAnsi="Arial" w:cs="Arial"/>
          <w:b w:val="0"/>
          <w:color w:val="000000" w:themeColor="text1"/>
          <w:sz w:val="24"/>
          <w:szCs w:val="24"/>
        </w:rPr>
        <w:t>37</w:t>
      </w:r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>(</w:t>
      </w:r>
      <w:r w:rsidRPr="006551F0">
        <w:rPr>
          <w:rFonts w:ascii="Arial" w:hAnsi="Arial" w:cs="Arial"/>
          <w:b w:val="0"/>
          <w:color w:val="000000" w:themeColor="text1"/>
          <w:sz w:val="24"/>
          <w:szCs w:val="24"/>
        </w:rPr>
        <w:t>1)</w:t>
      </w:r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>. p</w:t>
      </w:r>
      <w:r w:rsidRPr="006551F0">
        <w:rPr>
          <w:rFonts w:ascii="Arial" w:hAnsi="Arial" w:cs="Arial"/>
          <w:b w:val="0"/>
          <w:color w:val="000000" w:themeColor="text1"/>
          <w:sz w:val="24"/>
          <w:szCs w:val="24"/>
        </w:rPr>
        <w:t>31-45</w:t>
      </w:r>
      <w:r w:rsidRPr="00A30065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. </w:t>
      </w:r>
    </w:p>
    <w:p w14:paraId="3D8B775A" w14:textId="77777777" w:rsidR="00A30065" w:rsidRPr="00A30065" w:rsidRDefault="00A30065" w:rsidP="00A30065">
      <w:pPr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4CE038F" w14:textId="77777777" w:rsidR="00A30065" w:rsidRPr="00A30065" w:rsidRDefault="00A30065" w:rsidP="00A30065">
      <w:pP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r w:rsidRPr="00A30065">
        <w:rPr>
          <w:rFonts w:ascii="Arial" w:hAnsi="Arial" w:cs="Arial"/>
          <w:bCs/>
          <w:color w:val="000000" w:themeColor="text1"/>
          <w:sz w:val="24"/>
          <w:szCs w:val="24"/>
        </w:rPr>
        <w:t>Sanders, M. Markie-</w:t>
      </w:r>
      <w:proofErr w:type="spellStart"/>
      <w:r w:rsidRPr="00A30065">
        <w:rPr>
          <w:rFonts w:ascii="Arial" w:hAnsi="Arial" w:cs="Arial"/>
          <w:bCs/>
          <w:color w:val="000000" w:themeColor="text1"/>
          <w:sz w:val="24"/>
          <w:szCs w:val="24"/>
        </w:rPr>
        <w:t>Dodds</w:t>
      </w:r>
      <w:proofErr w:type="spellEnd"/>
      <w:r w:rsidRPr="00A30065">
        <w:rPr>
          <w:rFonts w:ascii="Arial" w:hAnsi="Arial" w:cs="Arial"/>
          <w:bCs/>
          <w:color w:val="000000" w:themeColor="text1"/>
          <w:sz w:val="24"/>
          <w:szCs w:val="24"/>
        </w:rPr>
        <w:t xml:space="preserve">, C (2000) </w:t>
      </w:r>
      <w:r w:rsidRPr="00A300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The Triple P-Positive Parenting Program: A comparison of enhanced, standard, and self-directed </w:t>
      </w:r>
      <w:proofErr w:type="spellStart"/>
      <w:r w:rsidRPr="00A300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behavioral</w:t>
      </w:r>
      <w:proofErr w:type="spellEnd"/>
      <w:r w:rsidRPr="00A300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 family intervention for parents of children with early onset conduct problems. </w:t>
      </w:r>
      <w:r w:rsidRPr="00A3006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n-GB"/>
        </w:rPr>
        <w:t xml:space="preserve">Journal of consulting and clinical psychology. </w:t>
      </w:r>
      <w:r w:rsidRPr="00A3006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68(4). P624-640. </w:t>
      </w:r>
    </w:p>
    <w:p w14:paraId="4B7D078B" w14:textId="77777777" w:rsidR="00A30065" w:rsidRPr="00A30065" w:rsidRDefault="00A30065" w:rsidP="00A30065">
      <w:pPr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3ECC2D5" w14:textId="77777777" w:rsidR="00A30065" w:rsidRPr="00A30065" w:rsidRDefault="00A30065" w:rsidP="00A30065">
      <w:pPr>
        <w:pStyle w:val="AssignBody"/>
        <w:rPr>
          <w:rFonts w:cs="Arial"/>
          <w:bCs/>
          <w:color w:val="000000" w:themeColor="text1"/>
          <w:sz w:val="24"/>
          <w:szCs w:val="24"/>
        </w:rPr>
      </w:pPr>
      <w:r w:rsidRPr="00A30065">
        <w:rPr>
          <w:rFonts w:cs="Arial"/>
          <w:bCs/>
          <w:color w:val="000000" w:themeColor="text1"/>
          <w:sz w:val="24"/>
          <w:szCs w:val="24"/>
        </w:rPr>
        <w:t xml:space="preserve">Successful Futures (2015). Available at: </w:t>
      </w:r>
      <w:hyperlink r:id="rId15" w:history="1">
        <w:r w:rsidRPr="00A30065">
          <w:rPr>
            <w:rStyle w:val="Hyperlink"/>
            <w:rFonts w:cs="Arial"/>
            <w:bCs/>
            <w:color w:val="000000" w:themeColor="text1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 w:rsidRPr="00A30065">
        <w:rPr>
          <w:rFonts w:cs="Arial"/>
          <w:bCs/>
          <w:color w:val="000000" w:themeColor="text1"/>
          <w:sz w:val="24"/>
          <w:szCs w:val="24"/>
        </w:rPr>
        <w:t xml:space="preserve">. (Accessed on: 24/03/20). </w:t>
      </w:r>
    </w:p>
    <w:p w14:paraId="2288530B" w14:textId="7E6D5FF8" w:rsidR="006551F0" w:rsidRPr="00A30065" w:rsidRDefault="006551F0" w:rsidP="006551F0">
      <w:pPr>
        <w:pStyle w:val="NormalWeb"/>
        <w:rPr>
          <w:rFonts w:ascii="Arial" w:hAnsi="Arial" w:cs="Arial"/>
          <w:bCs/>
          <w:color w:val="000000" w:themeColor="text1"/>
        </w:rPr>
      </w:pPr>
      <w:r w:rsidRPr="00A30065">
        <w:rPr>
          <w:rFonts w:ascii="Arial" w:hAnsi="Arial" w:cs="Arial"/>
          <w:bCs/>
          <w:color w:val="000000" w:themeColor="text1"/>
        </w:rPr>
        <w:t xml:space="preserve">The children’s society (2018) </w:t>
      </w:r>
      <w:r w:rsidRPr="00A30065">
        <w:rPr>
          <w:rFonts w:ascii="Arial" w:hAnsi="Arial" w:cs="Arial"/>
          <w:bCs/>
          <w:i/>
          <w:iCs/>
          <w:color w:val="000000" w:themeColor="text1"/>
        </w:rPr>
        <w:t>‘</w:t>
      </w:r>
      <w:r w:rsidRPr="00A30065">
        <w:rPr>
          <w:rFonts w:ascii="Arial" w:hAnsi="Arial" w:cs="Arial"/>
          <w:bCs/>
          <w:i/>
          <w:iCs/>
          <w:color w:val="000000" w:themeColor="text1"/>
        </w:rPr>
        <w:t>Welsh Government consultation on revised eligibility criteria for free school meals in Wales due to rollout of Universal Credit</w:t>
      </w:r>
      <w:r w:rsidRPr="00A30065">
        <w:rPr>
          <w:rFonts w:ascii="Arial" w:hAnsi="Arial" w:cs="Arial"/>
          <w:bCs/>
          <w:i/>
          <w:iCs/>
          <w:color w:val="000000" w:themeColor="text1"/>
        </w:rPr>
        <w:t>’</w:t>
      </w:r>
      <w:r w:rsidRPr="00A30065">
        <w:rPr>
          <w:rFonts w:ascii="Arial" w:hAnsi="Arial" w:cs="Arial"/>
          <w:bCs/>
          <w:color w:val="000000" w:themeColor="text1"/>
        </w:rPr>
        <w:t xml:space="preserve">. Available at:  </w:t>
      </w:r>
      <w:hyperlink r:id="rId16" w:history="1">
        <w:r w:rsidRPr="00A30065">
          <w:rPr>
            <w:rStyle w:val="Hyperlink"/>
            <w:rFonts w:ascii="Arial" w:hAnsi="Arial" w:cs="Arial"/>
            <w:bCs/>
            <w:color w:val="000000" w:themeColor="text1"/>
          </w:rPr>
          <w:t>https://www.childrenssociety.org.uk/sites/default/files/uc-fsm-wales-tcs-consultation-response-final-12-sep-2018.pdf</w:t>
        </w:r>
      </w:hyperlink>
      <w:r w:rsidRPr="00A30065">
        <w:rPr>
          <w:rFonts w:ascii="Arial" w:hAnsi="Arial" w:cs="Arial"/>
          <w:bCs/>
          <w:color w:val="000000" w:themeColor="text1"/>
        </w:rPr>
        <w:t xml:space="preserve"> (Accessed on: 23/03/20). </w:t>
      </w:r>
    </w:p>
    <w:p w14:paraId="30475B67" w14:textId="77777777" w:rsidR="00A30065" w:rsidRPr="00A30065" w:rsidRDefault="00A30065" w:rsidP="006551F0">
      <w:pP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</w:p>
    <w:p w14:paraId="4AD9D9A6" w14:textId="5CFB5060" w:rsidR="006551F0" w:rsidRPr="00A30065" w:rsidRDefault="006551F0" w:rsidP="006551F0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Tutelman</w:t>
      </w:r>
      <w:proofErr w:type="spellEnd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, P. R., </w:t>
      </w:r>
      <w:proofErr w:type="spellStart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Dol</w:t>
      </w:r>
      <w:proofErr w:type="spellEnd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, J., </w:t>
      </w:r>
      <w:proofErr w:type="spellStart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Tougas</w:t>
      </w:r>
      <w:proofErr w:type="spellEnd"/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, M. E., &amp; Chambers, C. T. (2018). Navigating your social media presence: Opportunities and challenges. </w:t>
      </w:r>
      <w:r w:rsidRPr="00A3006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Clinical Practice in </w:t>
      </w:r>
      <w:proofErr w:type="spellStart"/>
      <w:r w:rsidRPr="00A3006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Pediatric</w:t>
      </w:r>
      <w:proofErr w:type="spellEnd"/>
      <w:r w:rsidRPr="00A3006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 Psychology</w:t>
      </w:r>
      <w:r w:rsidRPr="00A3006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.</w:t>
      </w:r>
      <w:r w:rsidRPr="00A3006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 6</w:t>
      </w:r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(3)</w:t>
      </w:r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. p</w:t>
      </w:r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289–298</w:t>
      </w:r>
      <w:r w:rsidRPr="00A300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.</w:t>
      </w:r>
    </w:p>
    <w:p w14:paraId="6E6D5FC7" w14:textId="227F86D4" w:rsidR="006551F0" w:rsidRPr="00A30065" w:rsidRDefault="006551F0" w:rsidP="00E611D9">
      <w:pPr>
        <w:pStyle w:val="AssignBody"/>
        <w:rPr>
          <w:rFonts w:cs="Arial"/>
          <w:b/>
          <w:color w:val="000000" w:themeColor="text1"/>
          <w:sz w:val="24"/>
          <w:szCs w:val="24"/>
        </w:rPr>
      </w:pPr>
    </w:p>
    <w:p w14:paraId="3B8E08C7" w14:textId="52F38EBC" w:rsidR="006551F0" w:rsidRPr="006551F0" w:rsidRDefault="006551F0" w:rsidP="00E611D9">
      <w:pPr>
        <w:pStyle w:val="AssignBody"/>
        <w:rPr>
          <w:rFonts w:cs="Arial"/>
          <w:b/>
          <w:sz w:val="24"/>
          <w:szCs w:val="24"/>
        </w:rPr>
      </w:pPr>
    </w:p>
    <w:p w14:paraId="64B7B755" w14:textId="41F5A3B0" w:rsidR="006551F0" w:rsidRPr="006551F0" w:rsidRDefault="006551F0" w:rsidP="00E611D9">
      <w:pPr>
        <w:pStyle w:val="AssignBody"/>
        <w:rPr>
          <w:rFonts w:cs="Arial"/>
          <w:b/>
          <w:sz w:val="24"/>
          <w:szCs w:val="24"/>
        </w:rPr>
      </w:pPr>
    </w:p>
    <w:p w14:paraId="0E858FD9" w14:textId="34EC40D0" w:rsidR="006551F0" w:rsidRPr="006551F0" w:rsidRDefault="006551F0" w:rsidP="00E611D9">
      <w:pPr>
        <w:pStyle w:val="AssignBody"/>
        <w:rPr>
          <w:rFonts w:cs="Arial"/>
          <w:b/>
          <w:sz w:val="24"/>
          <w:szCs w:val="24"/>
        </w:rPr>
      </w:pPr>
    </w:p>
    <w:p w14:paraId="7D613242" w14:textId="14D1F6CE" w:rsidR="006551F0" w:rsidRPr="006551F0" w:rsidRDefault="006551F0" w:rsidP="00E611D9">
      <w:pPr>
        <w:pStyle w:val="AssignBody"/>
        <w:rPr>
          <w:rFonts w:cs="Arial"/>
          <w:b/>
          <w:sz w:val="24"/>
          <w:szCs w:val="24"/>
        </w:rPr>
      </w:pPr>
    </w:p>
    <w:p w14:paraId="018835C5" w14:textId="618365F6" w:rsidR="006551F0" w:rsidRPr="006551F0" w:rsidRDefault="006551F0" w:rsidP="00E611D9">
      <w:pPr>
        <w:pStyle w:val="AssignBody"/>
        <w:rPr>
          <w:rFonts w:cs="Arial"/>
          <w:b/>
          <w:sz w:val="24"/>
          <w:szCs w:val="24"/>
        </w:rPr>
      </w:pPr>
    </w:p>
    <w:p w14:paraId="08EB6C55" w14:textId="4890D895" w:rsidR="006551F0" w:rsidRPr="006551F0" w:rsidRDefault="006551F0" w:rsidP="00E611D9">
      <w:pPr>
        <w:pStyle w:val="AssignBody"/>
        <w:rPr>
          <w:rFonts w:cs="Arial"/>
          <w:b/>
          <w:sz w:val="24"/>
          <w:szCs w:val="24"/>
        </w:rPr>
      </w:pPr>
    </w:p>
    <w:p w14:paraId="680191B5" w14:textId="1F3FC517" w:rsidR="006551F0" w:rsidRPr="006551F0" w:rsidRDefault="006551F0" w:rsidP="00E611D9">
      <w:pPr>
        <w:pStyle w:val="AssignBody"/>
        <w:rPr>
          <w:rFonts w:cs="Arial"/>
          <w:b/>
          <w:sz w:val="24"/>
          <w:szCs w:val="24"/>
        </w:rPr>
      </w:pPr>
    </w:p>
    <w:p w14:paraId="6C78D241" w14:textId="4EE5F7A6" w:rsidR="006551F0" w:rsidRPr="006551F0" w:rsidRDefault="006551F0" w:rsidP="00E611D9">
      <w:pPr>
        <w:pStyle w:val="AssignBody"/>
        <w:rPr>
          <w:rFonts w:cs="Arial"/>
          <w:b/>
          <w:sz w:val="24"/>
          <w:szCs w:val="24"/>
        </w:rPr>
      </w:pPr>
    </w:p>
    <w:p w14:paraId="3507D5B6" w14:textId="089E79FE" w:rsidR="006551F0" w:rsidRPr="006551F0" w:rsidRDefault="006551F0" w:rsidP="00E611D9">
      <w:pPr>
        <w:pStyle w:val="AssignBody"/>
        <w:rPr>
          <w:rFonts w:cs="Arial"/>
          <w:b/>
          <w:sz w:val="24"/>
          <w:szCs w:val="24"/>
        </w:rPr>
      </w:pPr>
    </w:p>
    <w:p w14:paraId="42BAB4B4" w14:textId="0A5A0F32" w:rsidR="006551F0" w:rsidRDefault="006551F0" w:rsidP="00E611D9">
      <w:pPr>
        <w:pStyle w:val="AssignBody"/>
        <w:rPr>
          <w:b/>
        </w:rPr>
      </w:pPr>
    </w:p>
    <w:p w14:paraId="0BF48A15" w14:textId="77777777" w:rsidR="006551F0" w:rsidRPr="009B47AE" w:rsidRDefault="006551F0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D11DD" w14:textId="77777777" w:rsidR="0069209C" w:rsidRDefault="0069209C" w:rsidP="00E611D9">
      <w:pPr>
        <w:spacing w:after="0" w:line="240" w:lineRule="auto"/>
      </w:pPr>
      <w:r>
        <w:separator/>
      </w:r>
    </w:p>
  </w:endnote>
  <w:endnote w:type="continuationSeparator" w:id="0">
    <w:p w14:paraId="50FE0216" w14:textId="77777777" w:rsidR="0069209C" w:rsidRDefault="0069209C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ACEFF" w14:textId="77777777" w:rsidR="0069209C" w:rsidRDefault="0069209C" w:rsidP="00E611D9">
      <w:pPr>
        <w:spacing w:after="0" w:line="240" w:lineRule="auto"/>
      </w:pPr>
      <w:r>
        <w:separator/>
      </w:r>
    </w:p>
  </w:footnote>
  <w:footnote w:type="continuationSeparator" w:id="0">
    <w:p w14:paraId="6C1765B8" w14:textId="77777777" w:rsidR="0069209C" w:rsidRDefault="0069209C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92B41"/>
    <w:rsid w:val="002229F0"/>
    <w:rsid w:val="003B567F"/>
    <w:rsid w:val="003E55AE"/>
    <w:rsid w:val="00433F17"/>
    <w:rsid w:val="005956FB"/>
    <w:rsid w:val="006419C3"/>
    <w:rsid w:val="006551F0"/>
    <w:rsid w:val="00691A46"/>
    <w:rsid w:val="0069209C"/>
    <w:rsid w:val="006B5861"/>
    <w:rsid w:val="00817F7A"/>
    <w:rsid w:val="009B47AE"/>
    <w:rsid w:val="00A30065"/>
    <w:rsid w:val="00AD4EBD"/>
    <w:rsid w:val="00B67895"/>
    <w:rsid w:val="00BC651E"/>
    <w:rsid w:val="00CD1240"/>
    <w:rsid w:val="00D75641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51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551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551F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6551F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551F0"/>
  </w:style>
  <w:style w:type="character" w:customStyle="1" w:styleId="Heading1Char">
    <w:name w:val="Heading 1 Char"/>
    <w:basedOn w:val="DefaultParagraphFont"/>
    <w:link w:val="Heading1"/>
    <w:uiPriority w:val="9"/>
    <w:rsid w:val="006551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ighwire-citation-authors">
    <w:name w:val="highwire-citation-authors"/>
    <w:basedOn w:val="DefaultParagraphFont"/>
    <w:rsid w:val="006551F0"/>
  </w:style>
  <w:style w:type="character" w:customStyle="1" w:styleId="highwire-citation-author">
    <w:name w:val="highwire-citation-author"/>
    <w:basedOn w:val="DefaultParagraphFont"/>
    <w:rsid w:val="006551F0"/>
  </w:style>
  <w:style w:type="character" w:customStyle="1" w:styleId="nlm-on-behalf-of">
    <w:name w:val="nlm-on-behalf-of"/>
    <w:basedOn w:val="DefaultParagraphFont"/>
    <w:rsid w:val="006551F0"/>
  </w:style>
  <w:style w:type="character" w:customStyle="1" w:styleId="highwire-cite-metadata-journal">
    <w:name w:val="highwire-cite-metadata-journal"/>
    <w:basedOn w:val="DefaultParagraphFont"/>
    <w:rsid w:val="006551F0"/>
  </w:style>
  <w:style w:type="character" w:customStyle="1" w:styleId="highwire-cite-metadata-date">
    <w:name w:val="highwire-cite-metadata-date"/>
    <w:basedOn w:val="DefaultParagraphFont"/>
    <w:rsid w:val="006551F0"/>
  </w:style>
  <w:style w:type="character" w:customStyle="1" w:styleId="highwire-cite-metadata-volume">
    <w:name w:val="highwire-cite-metadata-volume"/>
    <w:basedOn w:val="DefaultParagraphFont"/>
    <w:rsid w:val="006551F0"/>
  </w:style>
  <w:style w:type="character" w:customStyle="1" w:styleId="highwire-cite-metadata-issue">
    <w:name w:val="highwire-cite-metadata-issue"/>
    <w:basedOn w:val="DefaultParagraphFont"/>
    <w:rsid w:val="006551F0"/>
  </w:style>
  <w:style w:type="character" w:customStyle="1" w:styleId="highwire-cite-metadata-pages">
    <w:name w:val="highwire-cite-metadata-pages"/>
    <w:basedOn w:val="DefaultParagraphFont"/>
    <w:rsid w:val="006551F0"/>
  </w:style>
  <w:style w:type="character" w:styleId="Emphasis">
    <w:name w:val="Emphasis"/>
    <w:basedOn w:val="DefaultParagraphFont"/>
    <w:uiPriority w:val="20"/>
    <w:qFormat/>
    <w:rsid w:val="006551F0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6551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51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83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18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39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83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1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075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6427">
          <w:marLeft w:val="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5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99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5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5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9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74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hel-primo.hosted.exlibrisgroup.com/primo-explore/fulldisplay?docid=TN_proquest885241255&amp;context=PC&amp;vid=44WHELF_UWTSD_VU1&amp;lang=en_US&amp;search_scope=CSCOP_EVERYTHING&amp;adaptor=primo_central_multiple_fe&amp;tab=tab1&amp;query=any,contains,parent%20teacher%20relationship&amp;facet=tlevel,include,online_resources&amp;offset=0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hel-primo.hosted.exlibrisgroup.com/primo-explore/fulldisplay?docid=TN_bth_84691363&amp;context=Ebsco&amp;vid=44WHELF_UWTSD_VU1&amp;lang=en_US&amp;search_scope=CSCOP_EVERYTHING&amp;adaptor=44WHELF_UWTSD_Ebsco&amp;tab=tab1&amp;query=any,contains,eyes%20on%20hands%20on&amp;offset=0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hildrenssociety.org.uk/sites/default/files/uc-fsm-wales-tcs-consultation-response-final-12-sep-2018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provider/cadoxton-community-primary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ov.wales/sites/default/files/publications/2018-03/succesful-futures-a-summary-of-professor-graham-donaldsons-report.pdf" TargetMode="External"/><Relationship Id="rId10" Type="http://schemas.openxmlformats.org/officeDocument/2006/relationships/hyperlink" Target="https://whel-primo.hosted.exlibrisgroup.com/primo-explore/fulldisplay?docid=TN_jstor_archive_23599936&amp;context=PC&amp;vid=44WHELF_UWTSD_VU1&amp;lang=en_US&amp;search_scope=CSCOP_EVERYTHING&amp;adaptor=primo_central_multiple_fe&amp;tab=tab1&amp;query=any,contains,amato%20and%20fowler&amp;offset=0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eur01.safelinks.protection.outlook.com/?url=https%3A%2F%2Fuowtsd-my.sharepoint.com%2F%3Av%3A%2Fg%2Fpersonal%2F1800284_student_uwtsd_ac_uk%2FESe_kE2Ti09Djf1Y84TFLzsBP6rK_kclZAeBE41PxJwMkg%3Fe%3DpRsoUx&amp;data=02%7C01%7C%7C424a2f54c508492f6fc508d7d0b8b5c4%7C4e0f11f9046e45059cb8db2152311e21%7C0%7C0%7C637207364045630025&amp;sdata=P9LlXyasfq6q0lp7PccPJAcU0Cby0No7QfppBGQio8k%3D&amp;reserved=0" TargetMode="External"/><Relationship Id="rId14" Type="http://schemas.openxmlformats.org/officeDocument/2006/relationships/hyperlink" Target="https://whel-primo.hosted.exlibrisgroup.com/primo-explore/fulldisplay?docid=TN_eue_77428485&amp;context=Ebsco&amp;vid=44WHELF_UWTSD_VU1&amp;lang=en_US&amp;search_scope=CSCOP_EVERYTHING&amp;adaptor=44WHELF_UWTSD_Ebsco&amp;tab=tab1&amp;query=any,contains,the%20relationship%20of%20family%20support&amp;offset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Hannah Moger</cp:lastModifiedBy>
  <cp:revision>2</cp:revision>
  <dcterms:created xsi:type="dcterms:W3CDTF">2020-03-30T11:55:00Z</dcterms:created>
  <dcterms:modified xsi:type="dcterms:W3CDTF">2020-03-30T11:55:00Z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