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B89DE" w14:textId="77777777" w:rsidR="00C32FB1" w:rsidRDefault="00236BEC">
      <w:pPr>
        <w:jc w:val="center"/>
        <w:rPr>
          <w:rFonts w:ascii="Arial" w:eastAsia="Arial" w:hAnsi="Arial" w:cs="Arial"/>
          <w:b/>
          <w:bCs/>
          <w:sz w:val="32"/>
          <w:szCs w:val="32"/>
        </w:rPr>
      </w:pPr>
      <w:r>
        <w:rPr>
          <w:rFonts w:ascii="Arial" w:eastAsia="Arial" w:hAnsi="Arial" w:cs="Arial"/>
          <w:noProof/>
        </w:rPr>
        <w:drawing>
          <wp:inline distT="0" distB="0" distL="0" distR="0" wp14:anchorId="51CBF567" wp14:editId="1892470A">
            <wp:extent cx="2655407" cy="1219214"/>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55407" cy="1219214"/>
                    </a:xfrm>
                    <a:prstGeom prst="rect">
                      <a:avLst/>
                    </a:prstGeom>
                    <a:ln/>
                  </pic:spPr>
                </pic:pic>
              </a:graphicData>
            </a:graphic>
          </wp:inline>
        </w:drawing>
      </w:r>
    </w:p>
    <w:p w14:paraId="2924C871" w14:textId="77777777" w:rsidR="00C32FB1" w:rsidRDefault="00C32FB1">
      <w:pPr>
        <w:jc w:val="center"/>
        <w:rPr>
          <w:rFonts w:ascii="Arial" w:eastAsia="Arial" w:hAnsi="Arial" w:cs="Arial"/>
          <w:b/>
          <w:bCs/>
          <w:sz w:val="32"/>
          <w:szCs w:val="32"/>
        </w:rPr>
      </w:pPr>
    </w:p>
    <w:p w14:paraId="032A52C6" w14:textId="77777777" w:rsidR="00C32FB1" w:rsidRDefault="00236BEC">
      <w:pPr>
        <w:jc w:val="center"/>
        <w:rPr>
          <w:rFonts w:ascii="Arial" w:eastAsia="Arial" w:hAnsi="Arial" w:cs="Arial"/>
          <w:b/>
          <w:bCs/>
          <w:sz w:val="32"/>
          <w:szCs w:val="32"/>
        </w:rPr>
      </w:pPr>
      <w:r>
        <w:rPr>
          <w:rFonts w:ascii="Arial" w:eastAsia="Arial" w:hAnsi="Arial" w:cs="Arial"/>
          <w:b/>
          <w:bCs/>
          <w:sz w:val="32"/>
          <w:szCs w:val="32"/>
        </w:rPr>
        <w:t>MASTER OF BUSINESS ADMINISTRATION</w:t>
      </w:r>
    </w:p>
    <w:p w14:paraId="09B6207E" w14:textId="77777777" w:rsidR="00C32FB1" w:rsidRDefault="00C32FB1">
      <w:pPr>
        <w:jc w:val="center"/>
        <w:rPr>
          <w:rFonts w:ascii="Arial" w:eastAsia="Arial" w:hAnsi="Arial" w:cs="Arial"/>
          <w:sz w:val="32"/>
          <w:szCs w:val="32"/>
        </w:rPr>
      </w:pPr>
    </w:p>
    <w:p w14:paraId="2B093BD9" w14:textId="77777777" w:rsidR="00C32FB1" w:rsidRDefault="00236BEC">
      <w:pPr>
        <w:jc w:val="center"/>
        <w:rPr>
          <w:rFonts w:ascii="Arial" w:eastAsia="Arial" w:hAnsi="Arial" w:cs="Arial"/>
          <w:b/>
          <w:bCs/>
          <w:sz w:val="32"/>
          <w:szCs w:val="32"/>
        </w:rPr>
      </w:pPr>
      <w:r>
        <w:rPr>
          <w:rFonts w:ascii="Arial" w:eastAsia="Arial" w:hAnsi="Arial" w:cs="Arial"/>
          <w:b/>
          <w:bCs/>
          <w:sz w:val="32"/>
          <w:szCs w:val="32"/>
        </w:rPr>
        <w:t>MARKETING MANAGEMENT</w:t>
      </w:r>
    </w:p>
    <w:p w14:paraId="1C49B58A" w14:textId="77777777" w:rsidR="00C32FB1" w:rsidRDefault="00236BEC">
      <w:pPr>
        <w:jc w:val="center"/>
        <w:rPr>
          <w:rFonts w:ascii="Arial" w:eastAsia="Arial" w:hAnsi="Arial" w:cs="Arial"/>
          <w:b/>
          <w:bCs/>
          <w:sz w:val="32"/>
          <w:szCs w:val="32"/>
        </w:rPr>
      </w:pPr>
      <w:r>
        <w:rPr>
          <w:rFonts w:ascii="Arial" w:eastAsia="Arial" w:hAnsi="Arial" w:cs="Arial"/>
          <w:b/>
          <w:bCs/>
          <w:sz w:val="32"/>
          <w:szCs w:val="32"/>
        </w:rPr>
        <w:t>LCMB7024</w:t>
      </w:r>
    </w:p>
    <w:p w14:paraId="52C61ED3" w14:textId="77777777" w:rsidR="00C32FB1" w:rsidRDefault="00C32FB1">
      <w:pPr>
        <w:jc w:val="center"/>
        <w:rPr>
          <w:rFonts w:ascii="Arial" w:eastAsia="Arial" w:hAnsi="Arial" w:cs="Arial"/>
          <w:b/>
          <w:bCs/>
          <w:sz w:val="32"/>
          <w:szCs w:val="32"/>
        </w:rPr>
      </w:pPr>
    </w:p>
    <w:p w14:paraId="159962E1" w14:textId="77777777" w:rsidR="00C32FB1" w:rsidRDefault="00236BEC">
      <w:pPr>
        <w:jc w:val="center"/>
        <w:rPr>
          <w:rFonts w:ascii="Arial" w:eastAsia="Arial" w:hAnsi="Arial" w:cs="Arial"/>
          <w:b/>
          <w:bCs/>
          <w:sz w:val="32"/>
          <w:szCs w:val="32"/>
        </w:rPr>
      </w:pPr>
      <w:r>
        <w:rPr>
          <w:rFonts w:ascii="Arial" w:eastAsia="Arial" w:hAnsi="Arial" w:cs="Arial"/>
          <w:b/>
          <w:bCs/>
          <w:sz w:val="32"/>
          <w:szCs w:val="32"/>
        </w:rPr>
        <w:t>PORTFOLIO</w:t>
      </w:r>
    </w:p>
    <w:p w14:paraId="387301D8" w14:textId="77777777" w:rsidR="00C32FB1" w:rsidRDefault="00C32FB1">
      <w:pPr>
        <w:jc w:val="center"/>
        <w:rPr>
          <w:rFonts w:ascii="Arial" w:eastAsia="Arial" w:hAnsi="Arial" w:cs="Arial"/>
          <w:sz w:val="28"/>
          <w:szCs w:val="28"/>
        </w:rPr>
      </w:pPr>
    </w:p>
    <w:p w14:paraId="299D279F" w14:textId="77777777" w:rsidR="00D73FEC" w:rsidRDefault="00D73FEC" w:rsidP="00CA2644">
      <w:pPr>
        <w:rPr>
          <w:rFonts w:ascii="Arial" w:eastAsia="Arial" w:hAnsi="Arial" w:cs="Arial"/>
          <w:b/>
          <w:bCs/>
        </w:rPr>
      </w:pPr>
    </w:p>
    <w:p w14:paraId="27A5A2FB" w14:textId="24EAA34F" w:rsidR="00C32FB1" w:rsidRDefault="00236BEC">
      <w:pPr>
        <w:jc w:val="center"/>
        <w:rPr>
          <w:rFonts w:ascii="Arial" w:eastAsia="Arial" w:hAnsi="Arial" w:cs="Arial"/>
          <w:b/>
          <w:bCs/>
          <w:color w:val="000000"/>
        </w:rPr>
      </w:pPr>
      <w:r>
        <w:rPr>
          <w:rFonts w:ascii="Arial" w:eastAsia="Arial" w:hAnsi="Arial" w:cs="Arial"/>
          <w:b/>
          <w:bCs/>
          <w:color w:val="000000"/>
        </w:rPr>
        <w:t>Student Name:</w:t>
      </w:r>
      <w:r w:rsidR="00387193">
        <w:rPr>
          <w:rFonts w:ascii="Arial" w:eastAsia="Arial" w:hAnsi="Arial" w:cs="Arial"/>
          <w:b/>
          <w:bCs/>
          <w:color w:val="000000"/>
        </w:rPr>
        <w:t xml:space="preserve"> Patel Princekumar Harshadbhai</w:t>
      </w:r>
      <w:r>
        <w:rPr>
          <w:rFonts w:ascii="Arial" w:eastAsia="Arial" w:hAnsi="Arial" w:cs="Arial"/>
          <w:b/>
          <w:bCs/>
          <w:color w:val="000000"/>
        </w:rPr>
        <w:br/>
        <w:t xml:space="preserve">Student ID: </w:t>
      </w:r>
      <w:r w:rsidR="00387193">
        <w:rPr>
          <w:rFonts w:ascii="Arial" w:eastAsia="Arial" w:hAnsi="Arial" w:cs="Arial"/>
          <w:b/>
          <w:bCs/>
          <w:color w:val="000000"/>
        </w:rPr>
        <w:t>2542500</w:t>
      </w:r>
    </w:p>
    <w:p w14:paraId="186A348D" w14:textId="77777777" w:rsidR="00C32FB1" w:rsidRDefault="00C32FB1">
      <w:pPr>
        <w:jc w:val="center"/>
        <w:rPr>
          <w:rFonts w:ascii="Arial" w:eastAsia="Arial" w:hAnsi="Arial" w:cs="Arial"/>
          <w:b/>
          <w:bCs/>
        </w:rPr>
      </w:pPr>
    </w:p>
    <w:p w14:paraId="3D6ED5FF" w14:textId="48A6A7B8" w:rsidR="00C32FB1" w:rsidRDefault="00236BEC">
      <w:pPr>
        <w:jc w:val="center"/>
        <w:rPr>
          <w:rFonts w:ascii="Arial" w:eastAsia="Arial" w:hAnsi="Arial" w:cs="Arial"/>
          <w:b/>
          <w:bCs/>
          <w:color w:val="000000"/>
        </w:rPr>
      </w:pPr>
      <w:r>
        <w:rPr>
          <w:rFonts w:ascii="Arial" w:eastAsia="Arial" w:hAnsi="Arial" w:cs="Arial"/>
          <w:b/>
          <w:bCs/>
          <w:color w:val="000000"/>
        </w:rPr>
        <w:t xml:space="preserve">Lecturer: </w:t>
      </w:r>
      <w:r w:rsidRPr="00E15D2E">
        <w:rPr>
          <w:rFonts w:ascii="Arial" w:eastAsia="Arial" w:hAnsi="Arial" w:cs="Arial"/>
          <w:color w:val="000000"/>
        </w:rPr>
        <w:t>Laila Maazouz</w:t>
      </w:r>
    </w:p>
    <w:p w14:paraId="60146A22" w14:textId="77777777" w:rsidR="00C32FB1" w:rsidRDefault="00C32FB1">
      <w:pPr>
        <w:jc w:val="center"/>
        <w:rPr>
          <w:rFonts w:ascii="Arial" w:eastAsia="Arial" w:hAnsi="Arial" w:cs="Arial"/>
          <w:b/>
          <w:bCs/>
        </w:rPr>
      </w:pPr>
    </w:p>
    <w:p w14:paraId="0A3873AB" w14:textId="0DBDB48E" w:rsidR="00C32FB1" w:rsidRDefault="00236BEC">
      <w:pPr>
        <w:jc w:val="center"/>
        <w:rPr>
          <w:rFonts w:ascii="Arial" w:eastAsia="Arial" w:hAnsi="Arial" w:cs="Arial"/>
          <w:b/>
          <w:bCs/>
        </w:rPr>
      </w:pPr>
      <w:r>
        <w:rPr>
          <w:rFonts w:ascii="Arial" w:eastAsia="Arial" w:hAnsi="Arial" w:cs="Arial"/>
          <w:b/>
          <w:bCs/>
        </w:rPr>
        <w:t xml:space="preserve">Date of submission: </w:t>
      </w:r>
      <w:r w:rsidR="00E15D2E" w:rsidRPr="00E15D2E">
        <w:rPr>
          <w:rFonts w:ascii="Arial" w:eastAsia="Arial" w:hAnsi="Arial" w:cs="Arial"/>
        </w:rPr>
        <w:t>14th August 2026</w:t>
      </w:r>
      <w:r>
        <w:br w:type="page"/>
      </w:r>
    </w:p>
    <w:p w14:paraId="32BA2E61" w14:textId="77777777" w:rsidR="00C32FB1" w:rsidRDefault="00236BEC">
      <w:pPr>
        <w:keepNext/>
        <w:keepLines/>
        <w:pBdr>
          <w:top w:val="nil"/>
          <w:left w:val="nil"/>
          <w:bottom w:val="nil"/>
          <w:right w:val="nil"/>
          <w:between w:val="nil"/>
        </w:pBdr>
        <w:spacing w:before="240" w:after="0"/>
        <w:jc w:val="center"/>
        <w:rPr>
          <w:rFonts w:ascii="Arial" w:eastAsia="Arial" w:hAnsi="Arial" w:cs="Arial"/>
          <w:b/>
          <w:bCs/>
          <w:color w:val="000000"/>
        </w:rPr>
      </w:pPr>
      <w:r>
        <w:rPr>
          <w:rFonts w:ascii="Arial" w:eastAsia="Arial" w:hAnsi="Arial" w:cs="Arial"/>
          <w:b/>
          <w:bCs/>
          <w:color w:val="000000"/>
        </w:rPr>
        <w:t>Table of Contents</w:t>
      </w:r>
    </w:p>
    <w:p w14:paraId="2B920F1D" w14:textId="77777777" w:rsidR="00C32FB1" w:rsidRDefault="00C32FB1">
      <w:pPr>
        <w:keepNext/>
        <w:keepLines/>
        <w:pBdr>
          <w:top w:val="nil"/>
          <w:left w:val="nil"/>
          <w:bottom w:val="nil"/>
          <w:right w:val="nil"/>
          <w:between w:val="nil"/>
        </w:pBdr>
        <w:spacing w:before="240" w:after="0"/>
        <w:jc w:val="center"/>
        <w:rPr>
          <w:rFonts w:ascii="Arial" w:eastAsia="Arial" w:hAnsi="Arial" w:cs="Arial"/>
          <w:b/>
          <w:bCs/>
        </w:rPr>
      </w:pPr>
    </w:p>
    <w:sdt>
      <w:sdtPr>
        <w:id w:val="-1142655408"/>
        <w:docPartObj>
          <w:docPartGallery w:val="Table of Contents"/>
          <w:docPartUnique/>
        </w:docPartObj>
      </w:sdtPr>
      <w:sdtContent>
        <w:p w14:paraId="384A1928" w14:textId="6DAAD6BF" w:rsidR="00577F1E" w:rsidRPr="00577F1E" w:rsidRDefault="00236BEC" w:rsidP="00577F1E">
          <w:pPr>
            <w:pStyle w:val="TOC1"/>
            <w:tabs>
              <w:tab w:val="right" w:leader="dot" w:pos="9016"/>
            </w:tabs>
            <w:rPr>
              <w:rFonts w:ascii="Arial" w:hAnsi="Arial" w:cs="Arial"/>
              <w:noProof/>
            </w:rPr>
          </w:pPr>
          <w:r w:rsidRPr="00577F1E">
            <w:rPr>
              <w:rFonts w:ascii="Arial" w:hAnsi="Arial" w:cs="Arial"/>
            </w:rPr>
            <w:fldChar w:fldCharType="begin"/>
          </w:r>
          <w:r w:rsidRPr="00577F1E">
            <w:rPr>
              <w:rFonts w:ascii="Arial" w:hAnsi="Arial" w:cs="Arial"/>
            </w:rPr>
            <w:instrText xml:space="preserve"> TOC \h \u \z \t "Heading 1,1,Heading 2,2,Heading 3,3,"</w:instrText>
          </w:r>
          <w:r w:rsidRPr="00577F1E">
            <w:rPr>
              <w:rFonts w:ascii="Arial" w:hAnsi="Arial" w:cs="Arial"/>
            </w:rPr>
            <w:fldChar w:fldCharType="separate"/>
          </w:r>
          <w:hyperlink w:anchor="_Toc235733503" w:history="1">
            <w:r w:rsidR="00577F1E" w:rsidRPr="00577F1E">
              <w:rPr>
                <w:rStyle w:val="Hyperlink"/>
                <w:rFonts w:ascii="Arial" w:hAnsi="Arial" w:cs="Arial"/>
                <w:noProof/>
              </w:rPr>
              <w:t>Element 1: Sustainable Brand Extension Poster Presentation</w:t>
            </w:r>
            <w:r w:rsidR="00577F1E" w:rsidRPr="00577F1E">
              <w:rPr>
                <w:rFonts w:ascii="Arial" w:hAnsi="Arial" w:cs="Arial"/>
                <w:noProof/>
                <w:webHidden/>
              </w:rPr>
              <w:tab/>
            </w:r>
            <w:r w:rsidR="00577F1E" w:rsidRPr="00577F1E">
              <w:rPr>
                <w:rFonts w:ascii="Arial" w:hAnsi="Arial" w:cs="Arial"/>
                <w:noProof/>
                <w:webHidden/>
              </w:rPr>
              <w:fldChar w:fldCharType="begin"/>
            </w:r>
            <w:r w:rsidR="00577F1E" w:rsidRPr="00577F1E">
              <w:rPr>
                <w:rFonts w:ascii="Arial" w:hAnsi="Arial" w:cs="Arial"/>
                <w:noProof/>
                <w:webHidden/>
              </w:rPr>
              <w:instrText xml:space="preserve"> PAGEREF _Toc235733503 \h </w:instrText>
            </w:r>
            <w:r w:rsidR="00577F1E" w:rsidRPr="00577F1E">
              <w:rPr>
                <w:rFonts w:ascii="Arial" w:hAnsi="Arial" w:cs="Arial"/>
                <w:noProof/>
                <w:webHidden/>
              </w:rPr>
            </w:r>
            <w:r w:rsidR="00577F1E" w:rsidRPr="00577F1E">
              <w:rPr>
                <w:rFonts w:ascii="Arial" w:hAnsi="Arial" w:cs="Arial"/>
                <w:noProof/>
                <w:webHidden/>
              </w:rPr>
              <w:fldChar w:fldCharType="separate"/>
            </w:r>
            <w:r w:rsidR="00577F1E" w:rsidRPr="00577F1E">
              <w:rPr>
                <w:rFonts w:ascii="Arial" w:hAnsi="Arial" w:cs="Arial"/>
                <w:noProof/>
                <w:webHidden/>
              </w:rPr>
              <w:t>3</w:t>
            </w:r>
            <w:r w:rsidR="00577F1E" w:rsidRPr="00577F1E">
              <w:rPr>
                <w:rFonts w:ascii="Arial" w:hAnsi="Arial" w:cs="Arial"/>
                <w:noProof/>
                <w:webHidden/>
              </w:rPr>
              <w:fldChar w:fldCharType="end"/>
            </w:r>
          </w:hyperlink>
        </w:p>
        <w:p w14:paraId="0DB3D878" w14:textId="48A9E389" w:rsidR="00577F1E" w:rsidRPr="00577F1E" w:rsidRDefault="00577F1E" w:rsidP="00577F1E">
          <w:pPr>
            <w:pStyle w:val="TOC1"/>
            <w:tabs>
              <w:tab w:val="right" w:leader="dot" w:pos="9016"/>
            </w:tabs>
            <w:rPr>
              <w:rFonts w:ascii="Arial" w:hAnsi="Arial" w:cs="Arial"/>
              <w:noProof/>
            </w:rPr>
          </w:pPr>
          <w:hyperlink w:anchor="_Toc235733504" w:history="1">
            <w:r w:rsidRPr="00577F1E">
              <w:rPr>
                <w:rStyle w:val="Hyperlink"/>
                <w:rFonts w:ascii="Arial" w:hAnsi="Arial" w:cs="Arial"/>
                <w:noProof/>
              </w:rPr>
              <w:t>Element 2. STDP Analysis for Anglo GreenTrace</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_Toc235733504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4</w:t>
            </w:r>
            <w:r w:rsidRPr="00577F1E">
              <w:rPr>
                <w:rFonts w:ascii="Arial" w:hAnsi="Arial" w:cs="Arial"/>
                <w:noProof/>
                <w:webHidden/>
              </w:rPr>
              <w:fldChar w:fldCharType="end"/>
            </w:r>
          </w:hyperlink>
        </w:p>
        <w:p w14:paraId="47842B44" w14:textId="05927CA1" w:rsidR="00577F1E" w:rsidRPr="00577F1E" w:rsidRDefault="00577F1E" w:rsidP="00577F1E">
          <w:pPr>
            <w:pStyle w:val="TOC2"/>
            <w:tabs>
              <w:tab w:val="right" w:leader="dot" w:pos="9016"/>
            </w:tabs>
            <w:rPr>
              <w:rFonts w:ascii="Arial" w:hAnsi="Arial" w:cs="Arial"/>
              <w:noProof/>
            </w:rPr>
          </w:pPr>
          <w:hyperlink w:anchor="_Toc235733505" w:history="1">
            <w:r w:rsidRPr="00577F1E">
              <w:rPr>
                <w:rStyle w:val="Hyperlink"/>
                <w:rFonts w:ascii="Arial" w:hAnsi="Arial" w:cs="Arial"/>
                <w:noProof/>
              </w:rPr>
              <w:t>2.1 Segmentation</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_Toc235733505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4</w:t>
            </w:r>
            <w:r w:rsidRPr="00577F1E">
              <w:rPr>
                <w:rFonts w:ascii="Arial" w:hAnsi="Arial" w:cs="Arial"/>
                <w:noProof/>
                <w:webHidden/>
              </w:rPr>
              <w:fldChar w:fldCharType="end"/>
            </w:r>
          </w:hyperlink>
        </w:p>
        <w:p w14:paraId="347CA7F8" w14:textId="500C3B14" w:rsidR="00577F1E" w:rsidRPr="00577F1E" w:rsidRDefault="00577F1E" w:rsidP="00577F1E">
          <w:pPr>
            <w:pStyle w:val="TOC2"/>
            <w:tabs>
              <w:tab w:val="right" w:leader="dot" w:pos="9016"/>
            </w:tabs>
            <w:rPr>
              <w:rFonts w:ascii="Arial" w:hAnsi="Arial" w:cs="Arial"/>
              <w:noProof/>
            </w:rPr>
          </w:pPr>
          <w:hyperlink w:anchor="_Toc235733506" w:history="1">
            <w:r w:rsidRPr="00577F1E">
              <w:rPr>
                <w:rStyle w:val="Hyperlink"/>
                <w:rFonts w:ascii="Arial" w:hAnsi="Arial" w:cs="Arial"/>
                <w:noProof/>
              </w:rPr>
              <w:t>2.3 Targeting</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_Toc235733506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6</w:t>
            </w:r>
            <w:r w:rsidRPr="00577F1E">
              <w:rPr>
                <w:rFonts w:ascii="Arial" w:hAnsi="Arial" w:cs="Arial"/>
                <w:noProof/>
                <w:webHidden/>
              </w:rPr>
              <w:fldChar w:fldCharType="end"/>
            </w:r>
          </w:hyperlink>
        </w:p>
        <w:p w14:paraId="2D44ADE3" w14:textId="7629AB5E" w:rsidR="00577F1E" w:rsidRPr="00577F1E" w:rsidRDefault="00577F1E" w:rsidP="00577F1E">
          <w:pPr>
            <w:pStyle w:val="TOC2"/>
            <w:tabs>
              <w:tab w:val="right" w:leader="dot" w:pos="9016"/>
            </w:tabs>
            <w:rPr>
              <w:rFonts w:ascii="Arial" w:hAnsi="Arial" w:cs="Arial"/>
              <w:noProof/>
            </w:rPr>
          </w:pPr>
          <w:hyperlink w:anchor="_Toc235733507" w:history="1">
            <w:r w:rsidRPr="00577F1E">
              <w:rPr>
                <w:rStyle w:val="Hyperlink"/>
                <w:rFonts w:ascii="Arial" w:hAnsi="Arial" w:cs="Arial"/>
                <w:noProof/>
              </w:rPr>
              <w:t>2.4 Differentiation</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_Toc235733507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7</w:t>
            </w:r>
            <w:r w:rsidRPr="00577F1E">
              <w:rPr>
                <w:rFonts w:ascii="Arial" w:hAnsi="Arial" w:cs="Arial"/>
                <w:noProof/>
                <w:webHidden/>
              </w:rPr>
              <w:fldChar w:fldCharType="end"/>
            </w:r>
          </w:hyperlink>
        </w:p>
        <w:p w14:paraId="3ECF9A4F" w14:textId="3A716F6B" w:rsidR="00577F1E" w:rsidRPr="00577F1E" w:rsidRDefault="00577F1E" w:rsidP="00577F1E">
          <w:pPr>
            <w:pStyle w:val="TOC2"/>
            <w:tabs>
              <w:tab w:val="right" w:leader="dot" w:pos="9016"/>
            </w:tabs>
            <w:rPr>
              <w:rFonts w:ascii="Arial" w:hAnsi="Arial" w:cs="Arial"/>
              <w:noProof/>
            </w:rPr>
          </w:pPr>
          <w:hyperlink w:anchor="_Toc235733508" w:history="1">
            <w:r w:rsidRPr="00577F1E">
              <w:rPr>
                <w:rStyle w:val="Hyperlink"/>
                <w:rFonts w:ascii="Arial" w:hAnsi="Arial" w:cs="Arial"/>
                <w:noProof/>
              </w:rPr>
              <w:t>2.5 Positioning</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_Toc235733508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9</w:t>
            </w:r>
            <w:r w:rsidRPr="00577F1E">
              <w:rPr>
                <w:rFonts w:ascii="Arial" w:hAnsi="Arial" w:cs="Arial"/>
                <w:noProof/>
                <w:webHidden/>
              </w:rPr>
              <w:fldChar w:fldCharType="end"/>
            </w:r>
          </w:hyperlink>
        </w:p>
        <w:p w14:paraId="3D5F8F0F" w14:textId="3F5E69C5" w:rsidR="00577F1E" w:rsidRPr="00577F1E" w:rsidRDefault="00577F1E" w:rsidP="00577F1E">
          <w:pPr>
            <w:pStyle w:val="TOC1"/>
            <w:tabs>
              <w:tab w:val="right" w:leader="dot" w:pos="9016"/>
            </w:tabs>
            <w:rPr>
              <w:rFonts w:ascii="Arial" w:hAnsi="Arial" w:cs="Arial"/>
              <w:noProof/>
            </w:rPr>
          </w:pPr>
          <w:hyperlink w:anchor="_Toc235733509" w:history="1">
            <w:r w:rsidRPr="00577F1E">
              <w:rPr>
                <w:rStyle w:val="Hyperlink"/>
                <w:rFonts w:ascii="Arial" w:hAnsi="Arial" w:cs="Arial"/>
                <w:noProof/>
              </w:rPr>
              <w:t>Element 3: Marketing Mix for Anglo GreenTrace</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_Toc235733509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10</w:t>
            </w:r>
            <w:r w:rsidRPr="00577F1E">
              <w:rPr>
                <w:rFonts w:ascii="Arial" w:hAnsi="Arial" w:cs="Arial"/>
                <w:noProof/>
                <w:webHidden/>
              </w:rPr>
              <w:fldChar w:fldCharType="end"/>
            </w:r>
          </w:hyperlink>
        </w:p>
        <w:p w14:paraId="15FFFB6F" w14:textId="78DC77F1" w:rsidR="00577F1E" w:rsidRPr="00577F1E" w:rsidRDefault="00577F1E" w:rsidP="00577F1E">
          <w:pPr>
            <w:pStyle w:val="TOC2"/>
            <w:tabs>
              <w:tab w:val="right" w:leader="dot" w:pos="9016"/>
            </w:tabs>
            <w:rPr>
              <w:rFonts w:ascii="Arial" w:hAnsi="Arial" w:cs="Arial"/>
              <w:noProof/>
            </w:rPr>
          </w:pPr>
          <w:hyperlink w:anchor="_Toc235733510" w:history="1">
            <w:r w:rsidRPr="00577F1E">
              <w:rPr>
                <w:rStyle w:val="Hyperlink"/>
                <w:rFonts w:ascii="Arial" w:hAnsi="Arial" w:cs="Arial"/>
                <w:noProof/>
              </w:rPr>
              <w:t>3.1 Product</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_Toc235733510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10</w:t>
            </w:r>
            <w:r w:rsidRPr="00577F1E">
              <w:rPr>
                <w:rFonts w:ascii="Arial" w:hAnsi="Arial" w:cs="Arial"/>
                <w:noProof/>
                <w:webHidden/>
              </w:rPr>
              <w:fldChar w:fldCharType="end"/>
            </w:r>
          </w:hyperlink>
        </w:p>
        <w:p w14:paraId="185D81A8" w14:textId="47B58961" w:rsidR="00577F1E" w:rsidRPr="00577F1E" w:rsidRDefault="00577F1E" w:rsidP="00577F1E">
          <w:pPr>
            <w:pStyle w:val="TOC2"/>
            <w:tabs>
              <w:tab w:val="right" w:leader="dot" w:pos="9016"/>
            </w:tabs>
            <w:rPr>
              <w:rFonts w:ascii="Arial" w:hAnsi="Arial" w:cs="Arial"/>
              <w:noProof/>
            </w:rPr>
          </w:pPr>
          <w:hyperlink w:anchor="_Toc235733511" w:history="1">
            <w:r w:rsidRPr="00577F1E">
              <w:rPr>
                <w:rStyle w:val="Hyperlink"/>
                <w:rFonts w:ascii="Arial" w:hAnsi="Arial" w:cs="Arial"/>
                <w:noProof/>
              </w:rPr>
              <w:t>3.2 Price</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_Toc235733511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10</w:t>
            </w:r>
            <w:r w:rsidRPr="00577F1E">
              <w:rPr>
                <w:rFonts w:ascii="Arial" w:hAnsi="Arial" w:cs="Arial"/>
                <w:noProof/>
                <w:webHidden/>
              </w:rPr>
              <w:fldChar w:fldCharType="end"/>
            </w:r>
          </w:hyperlink>
        </w:p>
        <w:p w14:paraId="5643C393" w14:textId="40566D15" w:rsidR="00577F1E" w:rsidRPr="00577F1E" w:rsidRDefault="00577F1E" w:rsidP="00577F1E">
          <w:pPr>
            <w:pStyle w:val="TOC2"/>
            <w:tabs>
              <w:tab w:val="right" w:leader="dot" w:pos="9016"/>
            </w:tabs>
            <w:rPr>
              <w:rFonts w:ascii="Arial" w:hAnsi="Arial" w:cs="Arial"/>
              <w:noProof/>
            </w:rPr>
          </w:pPr>
          <w:hyperlink w:anchor="_Toc235733512" w:history="1">
            <w:r w:rsidRPr="00577F1E">
              <w:rPr>
                <w:rStyle w:val="Hyperlink"/>
                <w:rFonts w:ascii="Arial" w:hAnsi="Arial" w:cs="Arial"/>
                <w:noProof/>
              </w:rPr>
              <w:t>3.3 Place</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_Toc235733512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11</w:t>
            </w:r>
            <w:r w:rsidRPr="00577F1E">
              <w:rPr>
                <w:rFonts w:ascii="Arial" w:hAnsi="Arial" w:cs="Arial"/>
                <w:noProof/>
                <w:webHidden/>
              </w:rPr>
              <w:fldChar w:fldCharType="end"/>
            </w:r>
          </w:hyperlink>
        </w:p>
        <w:p w14:paraId="00B2CB6D" w14:textId="72A5C36C" w:rsidR="00577F1E" w:rsidRPr="00577F1E" w:rsidRDefault="00577F1E" w:rsidP="00577F1E">
          <w:pPr>
            <w:pStyle w:val="TOC2"/>
            <w:tabs>
              <w:tab w:val="right" w:leader="dot" w:pos="9016"/>
            </w:tabs>
            <w:rPr>
              <w:rFonts w:ascii="Arial" w:hAnsi="Arial" w:cs="Arial"/>
              <w:noProof/>
            </w:rPr>
          </w:pPr>
          <w:hyperlink w:anchor="_Toc235733513" w:history="1">
            <w:r w:rsidRPr="00577F1E">
              <w:rPr>
                <w:rStyle w:val="Hyperlink"/>
                <w:rFonts w:ascii="Arial" w:hAnsi="Arial" w:cs="Arial"/>
                <w:noProof/>
              </w:rPr>
              <w:t>3.4 Promotion</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_Toc235733513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11</w:t>
            </w:r>
            <w:r w:rsidRPr="00577F1E">
              <w:rPr>
                <w:rFonts w:ascii="Arial" w:hAnsi="Arial" w:cs="Arial"/>
                <w:noProof/>
                <w:webHidden/>
              </w:rPr>
              <w:fldChar w:fldCharType="end"/>
            </w:r>
          </w:hyperlink>
        </w:p>
        <w:p w14:paraId="6632D316" w14:textId="7B0D6D3B" w:rsidR="00577F1E" w:rsidRPr="00577F1E" w:rsidRDefault="00577F1E" w:rsidP="00577F1E">
          <w:pPr>
            <w:pStyle w:val="TOC2"/>
            <w:tabs>
              <w:tab w:val="right" w:leader="dot" w:pos="9016"/>
            </w:tabs>
            <w:rPr>
              <w:rFonts w:ascii="Arial" w:hAnsi="Arial" w:cs="Arial"/>
              <w:noProof/>
            </w:rPr>
          </w:pPr>
          <w:hyperlink w:anchor="_Toc235733514" w:history="1">
            <w:r w:rsidRPr="00577F1E">
              <w:rPr>
                <w:rStyle w:val="Hyperlink"/>
                <w:rFonts w:ascii="Arial" w:hAnsi="Arial" w:cs="Arial"/>
                <w:noProof/>
              </w:rPr>
              <w:t>3.5 People</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_Toc235733514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11</w:t>
            </w:r>
            <w:r w:rsidRPr="00577F1E">
              <w:rPr>
                <w:rFonts w:ascii="Arial" w:hAnsi="Arial" w:cs="Arial"/>
                <w:noProof/>
                <w:webHidden/>
              </w:rPr>
              <w:fldChar w:fldCharType="end"/>
            </w:r>
          </w:hyperlink>
        </w:p>
        <w:p w14:paraId="46D8DF90" w14:textId="2DD7551A" w:rsidR="00577F1E" w:rsidRPr="00577F1E" w:rsidRDefault="00577F1E" w:rsidP="00577F1E">
          <w:pPr>
            <w:pStyle w:val="TOC2"/>
            <w:tabs>
              <w:tab w:val="right" w:leader="dot" w:pos="9016"/>
            </w:tabs>
            <w:rPr>
              <w:rFonts w:ascii="Arial" w:hAnsi="Arial" w:cs="Arial"/>
              <w:noProof/>
            </w:rPr>
          </w:pPr>
          <w:hyperlink w:anchor="_Toc235733515" w:history="1">
            <w:r w:rsidRPr="00577F1E">
              <w:rPr>
                <w:rStyle w:val="Hyperlink"/>
                <w:rFonts w:ascii="Arial" w:hAnsi="Arial" w:cs="Arial"/>
                <w:noProof/>
              </w:rPr>
              <w:t>3.6 Process</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_Toc235733515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12</w:t>
            </w:r>
            <w:r w:rsidRPr="00577F1E">
              <w:rPr>
                <w:rFonts w:ascii="Arial" w:hAnsi="Arial" w:cs="Arial"/>
                <w:noProof/>
                <w:webHidden/>
              </w:rPr>
              <w:fldChar w:fldCharType="end"/>
            </w:r>
          </w:hyperlink>
        </w:p>
        <w:p w14:paraId="09058430" w14:textId="3D0D64A7" w:rsidR="00577F1E" w:rsidRPr="00577F1E" w:rsidRDefault="00577F1E" w:rsidP="00577F1E">
          <w:pPr>
            <w:pStyle w:val="TOC2"/>
            <w:tabs>
              <w:tab w:val="right" w:leader="dot" w:pos="9016"/>
            </w:tabs>
            <w:rPr>
              <w:rFonts w:ascii="Arial" w:hAnsi="Arial" w:cs="Arial"/>
              <w:noProof/>
            </w:rPr>
          </w:pPr>
          <w:hyperlink w:anchor="_Toc235733516" w:history="1">
            <w:r w:rsidRPr="00577F1E">
              <w:rPr>
                <w:rStyle w:val="Hyperlink"/>
                <w:rFonts w:ascii="Arial" w:hAnsi="Arial" w:cs="Arial"/>
                <w:noProof/>
              </w:rPr>
              <w:t>3.7 Physical Evidence</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_Toc235733516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13</w:t>
            </w:r>
            <w:r w:rsidRPr="00577F1E">
              <w:rPr>
                <w:rFonts w:ascii="Arial" w:hAnsi="Arial" w:cs="Arial"/>
                <w:noProof/>
                <w:webHidden/>
              </w:rPr>
              <w:fldChar w:fldCharType="end"/>
            </w:r>
          </w:hyperlink>
        </w:p>
        <w:p w14:paraId="33ACD5FE" w14:textId="72EF6721" w:rsidR="00577F1E" w:rsidRPr="00577F1E" w:rsidRDefault="00577F1E" w:rsidP="00577F1E">
          <w:pPr>
            <w:pStyle w:val="TOC1"/>
            <w:tabs>
              <w:tab w:val="right" w:leader="dot" w:pos="9016"/>
            </w:tabs>
            <w:rPr>
              <w:rFonts w:ascii="Arial" w:hAnsi="Arial" w:cs="Arial"/>
              <w:noProof/>
            </w:rPr>
          </w:pPr>
          <w:hyperlink w:anchor="_Toc235733517" w:history="1">
            <w:r w:rsidRPr="00577F1E">
              <w:rPr>
                <w:rStyle w:val="Hyperlink"/>
                <w:rFonts w:ascii="Arial" w:hAnsi="Arial" w:cs="Arial"/>
                <w:noProof/>
              </w:rPr>
              <w:t>Element 4: Reflection</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_Toc235733517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13</w:t>
            </w:r>
            <w:r w:rsidRPr="00577F1E">
              <w:rPr>
                <w:rFonts w:ascii="Arial" w:hAnsi="Arial" w:cs="Arial"/>
                <w:noProof/>
                <w:webHidden/>
              </w:rPr>
              <w:fldChar w:fldCharType="end"/>
            </w:r>
          </w:hyperlink>
        </w:p>
        <w:p w14:paraId="089A3FBA" w14:textId="28181B03" w:rsidR="00577F1E" w:rsidRPr="00577F1E" w:rsidRDefault="00577F1E" w:rsidP="00577F1E">
          <w:pPr>
            <w:pStyle w:val="TOC1"/>
            <w:tabs>
              <w:tab w:val="right" w:leader="dot" w:pos="9016"/>
            </w:tabs>
            <w:rPr>
              <w:rFonts w:ascii="Arial" w:hAnsi="Arial" w:cs="Arial"/>
              <w:noProof/>
            </w:rPr>
          </w:pPr>
          <w:hyperlink w:anchor="_Toc235733518" w:history="1">
            <w:r w:rsidRPr="00577F1E">
              <w:rPr>
                <w:rStyle w:val="Hyperlink"/>
                <w:rFonts w:ascii="Arial" w:hAnsi="Arial" w:cs="Arial"/>
                <w:noProof/>
              </w:rPr>
              <w:t>Reference List</w:t>
            </w:r>
            <w:r w:rsidRPr="00577F1E">
              <w:rPr>
                <w:rFonts w:ascii="Arial" w:hAnsi="Arial" w:cs="Arial"/>
                <w:noProof/>
                <w:webHidden/>
              </w:rPr>
              <w:tab/>
            </w:r>
            <w:r w:rsidRPr="00577F1E">
              <w:rPr>
                <w:rFonts w:ascii="Arial" w:hAnsi="Arial" w:cs="Arial"/>
                <w:noProof/>
                <w:webHidden/>
              </w:rPr>
              <w:fldChar w:fldCharType="begin"/>
            </w:r>
            <w:r w:rsidRPr="00577F1E">
              <w:rPr>
                <w:rFonts w:ascii="Arial" w:hAnsi="Arial" w:cs="Arial"/>
                <w:noProof/>
                <w:webHidden/>
              </w:rPr>
              <w:instrText xml:space="preserve"> PAGEREF _Toc235733518 \h </w:instrText>
            </w:r>
            <w:r w:rsidRPr="00577F1E">
              <w:rPr>
                <w:rFonts w:ascii="Arial" w:hAnsi="Arial" w:cs="Arial"/>
                <w:noProof/>
                <w:webHidden/>
              </w:rPr>
            </w:r>
            <w:r w:rsidRPr="00577F1E">
              <w:rPr>
                <w:rFonts w:ascii="Arial" w:hAnsi="Arial" w:cs="Arial"/>
                <w:noProof/>
                <w:webHidden/>
              </w:rPr>
              <w:fldChar w:fldCharType="separate"/>
            </w:r>
            <w:r w:rsidRPr="00577F1E">
              <w:rPr>
                <w:rFonts w:ascii="Arial" w:hAnsi="Arial" w:cs="Arial"/>
                <w:noProof/>
                <w:webHidden/>
              </w:rPr>
              <w:t>15</w:t>
            </w:r>
            <w:r w:rsidRPr="00577F1E">
              <w:rPr>
                <w:rFonts w:ascii="Arial" w:hAnsi="Arial" w:cs="Arial"/>
                <w:noProof/>
                <w:webHidden/>
              </w:rPr>
              <w:fldChar w:fldCharType="end"/>
            </w:r>
          </w:hyperlink>
        </w:p>
        <w:p w14:paraId="150A0A40" w14:textId="208B7CDE" w:rsidR="00C32FB1" w:rsidRDefault="00236BEC" w:rsidP="00577F1E">
          <w:pPr>
            <w:rPr>
              <w:rFonts w:ascii="Arial" w:eastAsia="Arial" w:hAnsi="Arial" w:cs="Arial"/>
            </w:rPr>
          </w:pPr>
          <w:r w:rsidRPr="00577F1E">
            <w:rPr>
              <w:rFonts w:ascii="Arial" w:hAnsi="Arial" w:cs="Arial"/>
            </w:rPr>
            <w:fldChar w:fldCharType="end"/>
          </w:r>
        </w:p>
      </w:sdtContent>
    </w:sdt>
    <w:p w14:paraId="3D37FF15" w14:textId="77777777" w:rsidR="00C32FB1" w:rsidRDefault="00236BEC">
      <w:pPr>
        <w:jc w:val="left"/>
        <w:rPr>
          <w:rFonts w:ascii="Arial" w:eastAsia="Arial" w:hAnsi="Arial" w:cs="Arial"/>
          <w:b/>
          <w:bCs/>
        </w:rPr>
      </w:pPr>
      <w:r>
        <w:br w:type="page"/>
      </w:r>
    </w:p>
    <w:p w14:paraId="2841AD8F" w14:textId="77777777" w:rsidR="00C32FB1" w:rsidRPr="00577F1E" w:rsidRDefault="00236BEC">
      <w:pPr>
        <w:pStyle w:val="Heading1"/>
      </w:pPr>
      <w:bookmarkStart w:id="0" w:name="_Toc235733503"/>
      <w:r w:rsidRPr="00577F1E">
        <w:t>Element 1: Sustainable Brand Extension Poster Presentation</w:t>
      </w:r>
      <w:bookmarkEnd w:id="0"/>
    </w:p>
    <w:p w14:paraId="7AAC141F" w14:textId="01D5D465" w:rsidR="00C32FB1" w:rsidRPr="00577F1E" w:rsidRDefault="006E1086">
      <w:pPr>
        <w:jc w:val="center"/>
        <w:rPr>
          <w:rFonts w:ascii="Arial" w:eastAsia="Arial" w:hAnsi="Arial" w:cs="Arial"/>
          <w:b/>
          <w:bCs/>
        </w:rPr>
      </w:pPr>
      <w:r>
        <w:rPr>
          <w:noProof/>
        </w:rPr>
        <w:drawing>
          <wp:inline distT="0" distB="0" distL="0" distR="0" wp14:anchorId="0341E915" wp14:editId="37A000F4">
            <wp:extent cx="6205137" cy="4324350"/>
            <wp:effectExtent l="0" t="0" r="5715" b="0"/>
            <wp:docPr id="14249576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957657" name=""/>
                    <pic:cNvPicPr/>
                  </pic:nvPicPr>
                  <pic:blipFill>
                    <a:blip r:embed="rId8">
                      <a:extLst>
                        <a:ext uri="{96DAC541-7B7A-43D3-8B79-37D633B846F1}">
                          <asvg:svgBlip xmlns:asvg="http://schemas.microsoft.com/office/drawing/2016/SVG/main" r:embed="rId9"/>
                        </a:ext>
                      </a:extLst>
                    </a:blip>
                    <a:stretch>
                      <a:fillRect/>
                    </a:stretch>
                  </pic:blipFill>
                  <pic:spPr>
                    <a:xfrm>
                      <a:off x="0" y="0"/>
                      <a:ext cx="6217007" cy="4332622"/>
                    </a:xfrm>
                    <a:prstGeom prst="rect">
                      <a:avLst/>
                    </a:prstGeom>
                  </pic:spPr>
                </pic:pic>
              </a:graphicData>
            </a:graphic>
          </wp:inline>
        </w:drawing>
      </w:r>
    </w:p>
    <w:p w14:paraId="368CECE9" w14:textId="77777777" w:rsidR="00C32FB1" w:rsidRPr="00577F1E" w:rsidRDefault="00236BEC">
      <w:pPr>
        <w:spacing w:after="0"/>
        <w:rPr>
          <w:rFonts w:ascii="Arial" w:eastAsia="Arial" w:hAnsi="Arial" w:cs="Arial"/>
          <w:b/>
          <w:bCs/>
        </w:rPr>
      </w:pPr>
      <w:r w:rsidRPr="00577F1E">
        <w:rPr>
          <w:rFonts w:ascii="Arial" w:eastAsia="Arial" w:hAnsi="Arial" w:cs="Arial"/>
          <w:b/>
          <w:bCs/>
        </w:rPr>
        <w:t>Company Introduction and Sustainable Requirement</w:t>
      </w:r>
    </w:p>
    <w:p w14:paraId="57698607" w14:textId="77777777" w:rsidR="00C32FB1" w:rsidRPr="00577F1E" w:rsidRDefault="00236BEC">
      <w:pPr>
        <w:spacing w:after="0"/>
        <w:rPr>
          <w:rFonts w:ascii="Arial" w:eastAsia="Arial" w:hAnsi="Arial" w:cs="Arial"/>
        </w:rPr>
      </w:pPr>
      <w:r w:rsidRPr="00577F1E">
        <w:rPr>
          <w:rFonts w:ascii="Arial" w:eastAsia="Arial" w:hAnsi="Arial" w:cs="Arial"/>
        </w:rPr>
        <w:t xml:space="preserve">Anglo American is a London-based multinational mining firm, increasingly specializing in copper and high-quality iron ore. Around 695,200 tonnes of copper were expected to be produced by the company in 2025 (Anglo American, 2025). However, with MSMEs getting an increasing customer preference, Anglo American has required assurance around the origin of the minerals, carbon footprint, water availability, working condition, and transportation. </w:t>
      </w:r>
    </w:p>
    <w:p w14:paraId="06479D27" w14:textId="77777777" w:rsidR="00C32FB1" w:rsidRPr="00577F1E" w:rsidRDefault="00236BEC">
      <w:pPr>
        <w:spacing w:after="0"/>
        <w:rPr>
          <w:rFonts w:ascii="Arial" w:eastAsia="Arial" w:hAnsi="Arial" w:cs="Arial"/>
          <w:b/>
          <w:bCs/>
        </w:rPr>
      </w:pPr>
      <w:r w:rsidRPr="00577F1E">
        <w:rPr>
          <w:rFonts w:ascii="Arial" w:eastAsia="Arial" w:hAnsi="Arial" w:cs="Arial"/>
          <w:b/>
          <w:bCs/>
        </w:rPr>
        <w:t>Current market appeal</w:t>
      </w:r>
    </w:p>
    <w:p w14:paraId="04649625" w14:textId="77777777" w:rsidR="00C32FB1" w:rsidRPr="00577F1E" w:rsidRDefault="00236BEC">
      <w:pPr>
        <w:spacing w:after="0"/>
        <w:rPr>
          <w:rFonts w:ascii="Arial" w:eastAsia="Arial" w:hAnsi="Arial" w:cs="Arial"/>
        </w:rPr>
      </w:pPr>
      <w:r w:rsidRPr="00577F1E">
        <w:rPr>
          <w:rFonts w:ascii="Arial" w:eastAsia="Arial" w:hAnsi="Arial" w:cs="Arial"/>
        </w:rPr>
        <w:t>The extension would attract battery and renewable-energy companies and EV manufacturers under increased responsible-sourcing and Scope 3 reporting pressure. Copper demand will rise by 30% by 2040 and become more important to support transparent and responsibly-sourced supply (IEA, 2025). The proposed Anglo GreenTrace, therefore, has the potential to help lower risk of sourcing, create better reporting and build greater confidence amongst customers and investors.</w:t>
      </w:r>
    </w:p>
    <w:p w14:paraId="21E0CD07" w14:textId="77777777" w:rsidR="00C32FB1" w:rsidRPr="00577F1E" w:rsidRDefault="00236BEC">
      <w:pPr>
        <w:spacing w:after="0"/>
        <w:rPr>
          <w:rFonts w:ascii="Arial" w:eastAsia="Arial" w:hAnsi="Arial" w:cs="Arial"/>
          <w:b/>
          <w:bCs/>
        </w:rPr>
      </w:pPr>
      <w:r w:rsidRPr="00577F1E">
        <w:rPr>
          <w:rFonts w:ascii="Arial" w:eastAsia="Arial" w:hAnsi="Arial" w:cs="Arial"/>
          <w:b/>
          <w:bCs/>
        </w:rPr>
        <w:t>Purpose of the brand extension</w:t>
      </w:r>
    </w:p>
    <w:p w14:paraId="4826593D" w14:textId="77777777" w:rsidR="00C32FB1" w:rsidRPr="00577F1E" w:rsidRDefault="00236BEC">
      <w:pPr>
        <w:spacing w:after="0"/>
        <w:rPr>
          <w:rFonts w:ascii="Arial" w:eastAsia="Arial" w:hAnsi="Arial" w:cs="Arial"/>
        </w:rPr>
      </w:pPr>
      <w:r w:rsidRPr="00577F1E">
        <w:rPr>
          <w:rFonts w:ascii="Arial" w:eastAsia="Arial" w:hAnsi="Arial" w:cs="Arial"/>
        </w:rPr>
        <w:t>•Anglo GreenTrace is a proposed B2B traceability and verification digital service.</w:t>
      </w:r>
    </w:p>
    <w:p w14:paraId="023A4EE2" w14:textId="77777777" w:rsidR="00C32FB1" w:rsidRPr="00577F1E" w:rsidRDefault="00236BEC">
      <w:pPr>
        <w:spacing w:after="0"/>
        <w:rPr>
          <w:rFonts w:ascii="Arial" w:eastAsia="Arial" w:hAnsi="Arial" w:cs="Arial"/>
        </w:rPr>
      </w:pPr>
      <w:r w:rsidRPr="00577F1E">
        <w:rPr>
          <w:rFonts w:ascii="Arial" w:eastAsia="Arial" w:hAnsi="Arial" w:cs="Arial"/>
        </w:rPr>
        <w:t>•Every mineral shipment would be issued a digital passport that will include details on its origin site, environmental data, labour and safety details, transport history and independent verification data.</w:t>
      </w:r>
    </w:p>
    <w:p w14:paraId="60C5F7E3" w14:textId="77777777" w:rsidR="00C32FB1" w:rsidRPr="00577F1E" w:rsidRDefault="00236BEC">
      <w:pPr>
        <w:spacing w:after="0"/>
        <w:rPr>
          <w:rFonts w:ascii="Arial" w:eastAsia="Arial" w:hAnsi="Arial" w:cs="Arial"/>
        </w:rPr>
      </w:pPr>
      <w:r w:rsidRPr="00577F1E">
        <w:rPr>
          <w:rFonts w:ascii="Arial" w:eastAsia="Arial" w:hAnsi="Arial" w:cs="Arial"/>
        </w:rPr>
        <w:t>This service backs responsible production, the utilization of digital innovation and climate liability. It aligns with SDGs 8, 9, 12 and 13. Regular updates of data and independent assurance would mitigate the risk of green wash and confirm the credibility of the brand.</w:t>
      </w:r>
    </w:p>
    <w:p w14:paraId="25C3B674" w14:textId="77777777" w:rsidR="00C32FB1" w:rsidRPr="00577F1E" w:rsidRDefault="00C32FB1">
      <w:pPr>
        <w:spacing w:after="0"/>
        <w:rPr>
          <w:rFonts w:ascii="Arial" w:eastAsia="Arial" w:hAnsi="Arial" w:cs="Arial"/>
        </w:rPr>
      </w:pPr>
    </w:p>
    <w:p w14:paraId="603B44B3" w14:textId="77777777" w:rsidR="00C32FB1" w:rsidRPr="00577F1E" w:rsidRDefault="00236BEC">
      <w:pPr>
        <w:pStyle w:val="Heading1"/>
      </w:pPr>
      <w:bookmarkStart w:id="1" w:name="_Toc235733504"/>
      <w:r w:rsidRPr="00577F1E">
        <w:t>Element 2. STDP Analysis for Anglo GreenTrace</w:t>
      </w:r>
      <w:bookmarkEnd w:id="1"/>
    </w:p>
    <w:p w14:paraId="5CC76895" w14:textId="77777777" w:rsidR="00C32FB1" w:rsidRPr="00577F1E" w:rsidRDefault="00236BEC">
      <w:pPr>
        <w:pStyle w:val="Heading2"/>
      </w:pPr>
      <w:bookmarkStart w:id="2" w:name="_heading=h.ou5x2drmlxla" w:colFirst="0" w:colLast="0"/>
      <w:bookmarkStart w:id="3" w:name="_Toc235733505"/>
      <w:bookmarkEnd w:id="2"/>
      <w:r w:rsidRPr="00577F1E">
        <w:t>2.1 Segmentation</w:t>
      </w:r>
      <w:bookmarkEnd w:id="3"/>
      <w:r w:rsidRPr="00577F1E">
        <w:t xml:space="preserve"> </w:t>
      </w:r>
    </w:p>
    <w:p w14:paraId="690408FF" w14:textId="77777777" w:rsidR="00C32FB1" w:rsidRPr="00577F1E" w:rsidRDefault="00236BEC">
      <w:pPr>
        <w:jc w:val="center"/>
        <w:rPr>
          <w:rFonts w:ascii="Arial" w:eastAsia="Arial" w:hAnsi="Arial" w:cs="Arial"/>
          <w:b/>
          <w:bCs/>
        </w:rPr>
      </w:pPr>
      <w:r w:rsidRPr="00577F1E">
        <w:rPr>
          <w:rFonts w:ascii="Arial" w:eastAsia="Arial" w:hAnsi="Arial" w:cs="Arial"/>
          <w:b/>
          <w:bCs/>
          <w:noProof/>
        </w:rPr>
        <w:drawing>
          <wp:inline distT="0" distB="0" distL="0" distR="0" wp14:anchorId="59A0C62B" wp14:editId="07DF4FB8">
            <wp:extent cx="5887875" cy="27813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l="3513" t="10215" r="5648" b="3601"/>
                    <a:stretch>
                      <a:fillRect/>
                    </a:stretch>
                  </pic:blipFill>
                  <pic:spPr>
                    <a:xfrm>
                      <a:off x="0" y="0"/>
                      <a:ext cx="5887875" cy="2781300"/>
                    </a:xfrm>
                    <a:prstGeom prst="rect">
                      <a:avLst/>
                    </a:prstGeom>
                    <a:ln/>
                  </pic:spPr>
                </pic:pic>
              </a:graphicData>
            </a:graphic>
          </wp:inline>
        </w:drawing>
      </w:r>
    </w:p>
    <w:p w14:paraId="5ADA1BEA" w14:textId="77777777" w:rsidR="00C32FB1" w:rsidRPr="00577F1E" w:rsidRDefault="00236BEC">
      <w:pPr>
        <w:jc w:val="center"/>
        <w:rPr>
          <w:rFonts w:ascii="Arial" w:eastAsia="Arial" w:hAnsi="Arial" w:cs="Arial"/>
          <w:b/>
          <w:bCs/>
        </w:rPr>
      </w:pPr>
      <w:r w:rsidRPr="00577F1E">
        <w:rPr>
          <w:rFonts w:ascii="Arial" w:eastAsia="Arial" w:hAnsi="Arial" w:cs="Arial"/>
          <w:b/>
          <w:bCs/>
        </w:rPr>
        <w:t>Figure 1: European electric car sales, 2020-2026</w:t>
      </w:r>
    </w:p>
    <w:p w14:paraId="7C6DD4D1" w14:textId="77777777" w:rsidR="00C32FB1" w:rsidRPr="00577F1E" w:rsidRDefault="00236BEC">
      <w:pPr>
        <w:jc w:val="center"/>
        <w:rPr>
          <w:rFonts w:ascii="Arial" w:eastAsia="Arial" w:hAnsi="Arial" w:cs="Arial"/>
        </w:rPr>
      </w:pPr>
      <w:r w:rsidRPr="00577F1E">
        <w:rPr>
          <w:rFonts w:ascii="Arial" w:eastAsia="Arial" w:hAnsi="Arial" w:cs="Arial"/>
        </w:rPr>
        <w:t>(Source: IEA, 2026)</w:t>
      </w:r>
    </w:p>
    <w:p w14:paraId="1C8A5CF3" w14:textId="1883DF49" w:rsidR="00C32FB1" w:rsidRPr="00577F1E" w:rsidRDefault="00236BEC">
      <w:pPr>
        <w:rPr>
          <w:rFonts w:ascii="Arial" w:eastAsia="Arial" w:hAnsi="Arial" w:cs="Arial"/>
        </w:rPr>
      </w:pPr>
      <w:r w:rsidRPr="00577F1E">
        <w:rPr>
          <w:rFonts w:ascii="Arial" w:eastAsia="Arial" w:hAnsi="Arial" w:cs="Arial"/>
        </w:rPr>
        <w:t xml:space="preserve">In terms of geographic expansion, Anglo GreenTrace will focus on the United Kingdom, European Union and a number of selected markets in North America. It will also include global regions where electric mobility together with clean energy investment and supply-chain disclosure are gaining momentum. In Europe, sales of electric cars represented 28% of the 4.2 million new cars sold in 2025 (IEA, 2026). Also, over 1/3rd of the UK's new-car sales </w:t>
      </w:r>
      <w:r w:rsidR="00B21478" w:rsidRPr="00577F1E">
        <w:rPr>
          <w:rFonts w:ascii="Arial" w:eastAsia="Arial" w:hAnsi="Arial" w:cs="Arial"/>
        </w:rPr>
        <w:t>was</w:t>
      </w:r>
      <w:r w:rsidRPr="00577F1E">
        <w:rPr>
          <w:rFonts w:ascii="Arial" w:eastAsia="Arial" w:hAnsi="Arial" w:cs="Arial"/>
        </w:rPr>
        <w:t xml:space="preserve"> in electric cars, which is more than a quarter, with sales over 25% year-on-year. This market is, therefore, appealing due to manufacturers often requiring audit-proof information regarding their origin and environmental footprint. As per </w:t>
      </w:r>
      <w:r w:rsidRPr="00577F1E">
        <w:rPr>
          <w:rFonts w:ascii="Arial" w:eastAsia="Arial" w:hAnsi="Arial" w:cs="Arial"/>
          <w:color w:val="222222"/>
          <w:highlight w:val="white"/>
        </w:rPr>
        <w:t>Petrik</w:t>
      </w:r>
      <w:r w:rsidRPr="00577F1E">
        <w:rPr>
          <w:rFonts w:ascii="Arial" w:eastAsia="Arial" w:hAnsi="Arial" w:cs="Arial"/>
        </w:rPr>
        <w:t xml:space="preserve"> et al. (2026), the EU sustainability regulation on Ecodesign of Sustainable Products includes Digital Product Passports, which will enable access to product-specific information through value chains. </w:t>
      </w:r>
    </w:p>
    <w:p w14:paraId="031C960C" w14:textId="77777777" w:rsidR="00C32FB1" w:rsidRPr="00577F1E" w:rsidRDefault="00236BEC">
      <w:pPr>
        <w:rPr>
          <w:rFonts w:ascii="Arial" w:eastAsia="Arial" w:hAnsi="Arial" w:cs="Arial"/>
        </w:rPr>
      </w:pPr>
      <w:r w:rsidRPr="00577F1E">
        <w:rPr>
          <w:rFonts w:ascii="Arial" w:eastAsia="Arial" w:hAnsi="Arial" w:cs="Arial"/>
        </w:rPr>
        <w:t xml:space="preserve">Firmographic segmentation classifies organisations by industry, size, annual mineral purchasing volume, supply-chain complexity and sustainability-reporting responsibilities. Priority sectors will include agriculture, construction, steel and renewable energy, electronics and EV and battery production. This has commercial implications, as the global deployment of EVs has increased from 1.2 TWh in 2024 to nearly 30% higher in 2025. The </w:t>
      </w:r>
      <w:r w:rsidRPr="00577F1E">
        <w:rPr>
          <w:rFonts w:ascii="Arial" w:eastAsia="Arial" w:hAnsi="Arial" w:cs="Arial"/>
          <w:i/>
          <w:iCs/>
        </w:rPr>
        <w:t>International Energy Agency</w:t>
      </w:r>
      <w:r w:rsidRPr="00577F1E">
        <w:rPr>
          <w:rFonts w:ascii="Arial" w:eastAsia="Arial" w:hAnsi="Arial" w:cs="Arial"/>
        </w:rPr>
        <w:t xml:space="preserve"> further forecasts a rise of about 30% in copper demand by 2040 (IEA, 2026a). In 2025, Anglo American had a significant annual capacity in copper production, with a production harvest of 695,200 tonnes in 2025 (Anglo American, 2025). It also produced 170,400 tonnes of copper in the first quarter of 2026 (Anglo American, 2026). It can, therefore, continue to serve high-volume industrial buyers.</w:t>
      </w:r>
    </w:p>
    <w:p w14:paraId="7AB4ED93" w14:textId="77777777" w:rsidR="00C32FB1" w:rsidRPr="00577F1E" w:rsidRDefault="00236BEC">
      <w:pPr>
        <w:jc w:val="center"/>
        <w:rPr>
          <w:rFonts w:ascii="Arial" w:eastAsia="Arial" w:hAnsi="Arial" w:cs="Arial"/>
        </w:rPr>
      </w:pPr>
      <w:r w:rsidRPr="00577F1E">
        <w:rPr>
          <w:rFonts w:ascii="Arial" w:eastAsia="Arial" w:hAnsi="Arial" w:cs="Arial"/>
          <w:noProof/>
        </w:rPr>
        <w:drawing>
          <wp:inline distT="0" distB="0" distL="0" distR="0" wp14:anchorId="1D01EF22" wp14:editId="6E3FA20C">
            <wp:extent cx="5731200" cy="12954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200" cy="1295400"/>
                    </a:xfrm>
                    <a:prstGeom prst="rect">
                      <a:avLst/>
                    </a:prstGeom>
                    <a:ln/>
                  </pic:spPr>
                </pic:pic>
              </a:graphicData>
            </a:graphic>
          </wp:inline>
        </w:drawing>
      </w:r>
    </w:p>
    <w:p w14:paraId="0A0B087C" w14:textId="77777777" w:rsidR="00C32FB1" w:rsidRPr="00577F1E" w:rsidRDefault="00236BEC">
      <w:pPr>
        <w:jc w:val="center"/>
        <w:rPr>
          <w:rFonts w:ascii="Arial" w:eastAsia="Arial" w:hAnsi="Arial" w:cs="Arial"/>
          <w:b/>
          <w:bCs/>
        </w:rPr>
      </w:pPr>
      <w:r w:rsidRPr="00577F1E">
        <w:rPr>
          <w:rFonts w:ascii="Arial" w:eastAsia="Arial" w:hAnsi="Arial" w:cs="Arial"/>
          <w:b/>
          <w:bCs/>
        </w:rPr>
        <w:t>Figure 2: Anglo American copper operations</w:t>
      </w:r>
    </w:p>
    <w:p w14:paraId="64512CA0" w14:textId="77777777" w:rsidR="00C32FB1" w:rsidRPr="00577F1E" w:rsidRDefault="00236BEC">
      <w:pPr>
        <w:jc w:val="center"/>
        <w:rPr>
          <w:rFonts w:ascii="Arial" w:eastAsia="Arial" w:hAnsi="Arial" w:cs="Arial"/>
        </w:rPr>
      </w:pPr>
      <w:r w:rsidRPr="00577F1E">
        <w:rPr>
          <w:rFonts w:ascii="Arial" w:eastAsia="Arial" w:hAnsi="Arial" w:cs="Arial"/>
        </w:rPr>
        <w:t>(Source: Anglo American, 2025)</w:t>
      </w:r>
    </w:p>
    <w:p w14:paraId="1929DD14" w14:textId="0642D943" w:rsidR="00C32FB1" w:rsidRPr="00577F1E" w:rsidRDefault="008C240D">
      <w:pPr>
        <w:rPr>
          <w:rFonts w:ascii="Arial" w:eastAsia="Arial" w:hAnsi="Arial" w:cs="Arial"/>
        </w:rPr>
      </w:pPr>
      <w:r w:rsidRPr="00577F1E">
        <w:rPr>
          <w:rFonts w:ascii="Arial" w:eastAsia="Arial" w:hAnsi="Arial" w:cs="Arial"/>
        </w:rPr>
        <w:t>Anglo American</w:t>
      </w:r>
      <w:r>
        <w:rPr>
          <w:rFonts w:ascii="Arial" w:eastAsia="Arial" w:hAnsi="Arial" w:cs="Arial"/>
        </w:rPr>
        <w:t xml:space="preserve"> </w:t>
      </w:r>
      <w:r w:rsidRPr="008C240D">
        <w:rPr>
          <w:rFonts w:ascii="Arial" w:eastAsia="Arial" w:hAnsi="Arial" w:cs="Arial"/>
        </w:rPr>
        <w:t>simplif</w:t>
      </w:r>
      <w:r>
        <w:rPr>
          <w:rFonts w:ascii="Arial" w:eastAsia="Arial" w:hAnsi="Arial" w:cs="Arial"/>
        </w:rPr>
        <w:t xml:space="preserve">ied its </w:t>
      </w:r>
      <w:r w:rsidRPr="008C240D">
        <w:rPr>
          <w:rFonts w:ascii="Arial" w:eastAsia="Arial" w:hAnsi="Arial" w:cs="Arial"/>
        </w:rPr>
        <w:t>portfolio to focus on copper, premium iron ore and crop nutrients</w:t>
      </w:r>
      <w:r>
        <w:rPr>
          <w:rFonts w:ascii="Arial" w:eastAsia="Arial" w:hAnsi="Arial" w:cs="Arial"/>
        </w:rPr>
        <w:t xml:space="preserve"> in 2024</w:t>
      </w:r>
      <w:r w:rsidRPr="008C240D">
        <w:rPr>
          <w:rFonts w:ascii="Arial" w:eastAsia="Arial" w:hAnsi="Arial" w:cs="Arial"/>
        </w:rPr>
        <w:t>. These changes in the portfolio will significantly affect the Group’s emissions profile going forward</w:t>
      </w:r>
      <w:r>
        <w:rPr>
          <w:rFonts w:ascii="Arial" w:eastAsia="Arial" w:hAnsi="Arial" w:cs="Arial"/>
        </w:rPr>
        <w:t xml:space="preserve"> (</w:t>
      </w:r>
      <w:r w:rsidRPr="00577F1E">
        <w:rPr>
          <w:rFonts w:ascii="Arial" w:eastAsia="Arial" w:hAnsi="Arial" w:cs="Arial"/>
        </w:rPr>
        <w:t>Anglo American, 2026</w:t>
      </w:r>
      <w:r>
        <w:rPr>
          <w:rFonts w:ascii="Arial" w:eastAsia="Arial" w:hAnsi="Arial" w:cs="Arial"/>
        </w:rPr>
        <w:t>)</w:t>
      </w:r>
      <w:r w:rsidRPr="008C240D">
        <w:rPr>
          <w:rFonts w:ascii="Arial" w:eastAsia="Arial" w:hAnsi="Arial" w:cs="Arial"/>
        </w:rPr>
        <w:t>.</w:t>
      </w:r>
      <w:r>
        <w:rPr>
          <w:rFonts w:ascii="Arial" w:eastAsia="Arial" w:hAnsi="Arial" w:cs="Arial"/>
        </w:rPr>
        <w:t xml:space="preserve"> </w:t>
      </w:r>
      <w:r w:rsidR="00236BEC" w:rsidRPr="00577F1E">
        <w:rPr>
          <w:rFonts w:ascii="Arial" w:eastAsia="Arial" w:hAnsi="Arial" w:cs="Arial"/>
        </w:rPr>
        <w:t>Sustainability-led companies that want to be transparent, technologically innovative, with responsible and sustainable sourcing and long-term corporate reputation constitute the most powerful segment psychographically (</w:t>
      </w:r>
      <w:r w:rsidR="00236BEC" w:rsidRPr="00577F1E">
        <w:rPr>
          <w:rFonts w:ascii="Arial" w:eastAsia="Arial" w:hAnsi="Arial" w:cs="Arial"/>
          <w:color w:val="222222"/>
          <w:highlight w:val="white"/>
        </w:rPr>
        <w:t>Papadopoulou</w:t>
      </w:r>
      <w:r w:rsidR="00236BEC" w:rsidRPr="00577F1E">
        <w:rPr>
          <w:rFonts w:ascii="Arial" w:eastAsia="Arial" w:hAnsi="Arial" w:cs="Arial"/>
        </w:rPr>
        <w:t xml:space="preserve"> et al., 2022). These enterprises look for independent verification in order to communicate a credible ESG claim, not for unspecific or generic environmental claims. Behavioural aspects need to be prioritised when segmenting includes frequent and high-volume mineral buyers who want certified materials, product-level carbon information, long-term supplier contracts, and evidence long-term sustainability reporting. </w:t>
      </w:r>
    </w:p>
    <w:p w14:paraId="761311C4" w14:textId="77777777" w:rsidR="00C32FB1" w:rsidRPr="00577F1E" w:rsidRDefault="00236BEC">
      <w:pPr>
        <w:rPr>
          <w:rFonts w:ascii="Arial" w:eastAsia="Arial" w:hAnsi="Arial" w:cs="Arial"/>
        </w:rPr>
      </w:pPr>
      <w:r w:rsidRPr="00577F1E">
        <w:rPr>
          <w:rFonts w:ascii="Arial" w:eastAsia="Arial" w:hAnsi="Arial" w:cs="Arial"/>
          <w:noProof/>
        </w:rPr>
        <w:drawing>
          <wp:inline distT="0" distB="0" distL="0" distR="0" wp14:anchorId="1A389721" wp14:editId="080A8EB4">
            <wp:extent cx="5731510" cy="363474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510" cy="3634740"/>
                    </a:xfrm>
                    <a:prstGeom prst="rect">
                      <a:avLst/>
                    </a:prstGeom>
                    <a:ln/>
                  </pic:spPr>
                </pic:pic>
              </a:graphicData>
            </a:graphic>
          </wp:inline>
        </w:drawing>
      </w:r>
    </w:p>
    <w:p w14:paraId="549D93AC" w14:textId="77777777" w:rsidR="00C32FB1" w:rsidRPr="00577F1E" w:rsidRDefault="00236BEC">
      <w:pPr>
        <w:jc w:val="center"/>
        <w:rPr>
          <w:rFonts w:ascii="Arial" w:eastAsia="Arial" w:hAnsi="Arial" w:cs="Arial"/>
          <w:b/>
          <w:bCs/>
        </w:rPr>
      </w:pPr>
      <w:r w:rsidRPr="00577F1E">
        <w:rPr>
          <w:rFonts w:ascii="Arial" w:eastAsia="Arial" w:hAnsi="Arial" w:cs="Arial"/>
          <w:b/>
          <w:bCs/>
        </w:rPr>
        <w:t>Table 1: Market Segmentation for Anglo GreenTrace</w:t>
      </w:r>
    </w:p>
    <w:p w14:paraId="3C3716E9" w14:textId="77777777" w:rsidR="00C32FB1" w:rsidRPr="00577F1E" w:rsidRDefault="00236BEC">
      <w:pPr>
        <w:jc w:val="center"/>
        <w:rPr>
          <w:rFonts w:ascii="Arial" w:eastAsia="Arial" w:hAnsi="Arial" w:cs="Arial"/>
        </w:rPr>
      </w:pPr>
      <w:r w:rsidRPr="00577F1E">
        <w:rPr>
          <w:rFonts w:ascii="Arial" w:eastAsia="Arial" w:hAnsi="Arial" w:cs="Arial"/>
        </w:rPr>
        <w:t>(Source: Developed from IEA, 2026)</w:t>
      </w:r>
    </w:p>
    <w:p w14:paraId="2876B1ED" w14:textId="77777777" w:rsidR="00C32FB1" w:rsidRPr="00577F1E" w:rsidRDefault="00236BEC">
      <w:pPr>
        <w:pStyle w:val="Heading2"/>
      </w:pPr>
      <w:bookmarkStart w:id="4" w:name="_Toc235733506"/>
      <w:r w:rsidRPr="00577F1E">
        <w:t>2.3 Targeting</w:t>
      </w:r>
      <w:bookmarkEnd w:id="4"/>
    </w:p>
    <w:p w14:paraId="6C949D4C" w14:textId="77777777" w:rsidR="00C32FB1" w:rsidRPr="00577F1E" w:rsidRDefault="00236BEC">
      <w:pPr>
        <w:rPr>
          <w:rFonts w:ascii="Arial" w:eastAsia="Arial" w:hAnsi="Arial" w:cs="Arial"/>
        </w:rPr>
      </w:pPr>
      <w:r w:rsidRPr="00577F1E">
        <w:rPr>
          <w:rFonts w:ascii="Arial" w:eastAsia="Arial" w:hAnsi="Arial" w:cs="Arial"/>
        </w:rPr>
        <w:t xml:space="preserve">The primary target market in case of Anglo GreenTrace will be large EV, battery and renewable-energy manufacturers operating in the UK and European Union. As inspired by the ideas of </w:t>
      </w:r>
      <w:r w:rsidRPr="00577F1E">
        <w:rPr>
          <w:rFonts w:ascii="Arial" w:eastAsia="Arial" w:hAnsi="Arial" w:cs="Arial"/>
          <w:color w:val="222222"/>
          <w:highlight w:val="white"/>
        </w:rPr>
        <w:t>Kleinemass</w:t>
      </w:r>
      <w:r w:rsidRPr="00577F1E">
        <w:rPr>
          <w:rFonts w:ascii="Arial" w:eastAsia="Arial" w:hAnsi="Arial" w:cs="Arial"/>
        </w:rPr>
        <w:t xml:space="preserve"> et al. (2025), a focused B2B targeting strategy would be suitable for the initial launch. It is because these entities buy large amounts of minerals, are placing an emphasis on sustainability disclosures and require information on the product level. </w:t>
      </w:r>
    </w:p>
    <w:p w14:paraId="1C636266" w14:textId="77777777" w:rsidR="00C32FB1" w:rsidRPr="00577F1E" w:rsidRDefault="00236BEC">
      <w:pPr>
        <w:jc w:val="center"/>
        <w:rPr>
          <w:rFonts w:ascii="Arial" w:eastAsia="Arial" w:hAnsi="Arial" w:cs="Arial"/>
        </w:rPr>
      </w:pPr>
      <w:r w:rsidRPr="00577F1E">
        <w:rPr>
          <w:rFonts w:ascii="Arial" w:eastAsia="Arial" w:hAnsi="Arial" w:cs="Arial"/>
          <w:noProof/>
        </w:rPr>
        <w:drawing>
          <wp:inline distT="0" distB="0" distL="0" distR="0" wp14:anchorId="18114E55" wp14:editId="0351644A">
            <wp:extent cx="5938520" cy="2400300"/>
            <wp:effectExtent l="0" t="0" r="508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38842" cy="2400430"/>
                    </a:xfrm>
                    <a:prstGeom prst="rect">
                      <a:avLst/>
                    </a:prstGeom>
                    <a:ln/>
                  </pic:spPr>
                </pic:pic>
              </a:graphicData>
            </a:graphic>
          </wp:inline>
        </w:drawing>
      </w:r>
    </w:p>
    <w:p w14:paraId="2BC2AB36" w14:textId="77777777" w:rsidR="00C32FB1" w:rsidRPr="00577F1E" w:rsidRDefault="00236BEC">
      <w:pPr>
        <w:jc w:val="center"/>
        <w:rPr>
          <w:rFonts w:ascii="Arial" w:eastAsia="Arial" w:hAnsi="Arial" w:cs="Arial"/>
          <w:b/>
          <w:bCs/>
        </w:rPr>
      </w:pPr>
      <w:r w:rsidRPr="00577F1E">
        <w:rPr>
          <w:rFonts w:ascii="Arial" w:eastAsia="Arial" w:hAnsi="Arial" w:cs="Arial"/>
          <w:b/>
          <w:bCs/>
        </w:rPr>
        <w:t xml:space="preserve">Figure 3: Financial Highlights of Anglo American </w:t>
      </w:r>
    </w:p>
    <w:p w14:paraId="662F0D62" w14:textId="77777777" w:rsidR="00C32FB1" w:rsidRPr="00577F1E" w:rsidRDefault="00236BEC">
      <w:pPr>
        <w:jc w:val="center"/>
        <w:rPr>
          <w:rFonts w:ascii="Arial" w:eastAsia="Arial" w:hAnsi="Arial" w:cs="Arial"/>
        </w:rPr>
      </w:pPr>
      <w:r w:rsidRPr="00577F1E">
        <w:rPr>
          <w:rFonts w:ascii="Arial" w:eastAsia="Arial" w:hAnsi="Arial" w:cs="Arial"/>
        </w:rPr>
        <w:t>(Source: Anglo American, 2025)</w:t>
      </w:r>
    </w:p>
    <w:p w14:paraId="36214F7B" w14:textId="6F0FF984" w:rsidR="00C32FB1" w:rsidRPr="00577F1E" w:rsidRDefault="00236BEC">
      <w:pPr>
        <w:rPr>
          <w:rFonts w:ascii="Arial" w:eastAsia="Arial" w:hAnsi="Arial" w:cs="Arial"/>
        </w:rPr>
      </w:pPr>
      <w:r w:rsidRPr="00577F1E">
        <w:rPr>
          <w:rFonts w:ascii="Arial" w:eastAsia="Arial" w:hAnsi="Arial" w:cs="Arial"/>
        </w:rPr>
        <w:t xml:space="preserve">The ideal customer will be a multinational manufacturer who will purchase copper or premium iron ore in high volumes, publish an ESG report, monitor Scope 3 emissions and prefers long-term supplier partnerships. Anglo American could potentially cater to this segment because of its $18.546 billion in revenue and $6.4 billion in underlying EBITDA in 2025 (Anglo American, 2025). </w:t>
      </w:r>
      <w:r w:rsidR="00B21478">
        <w:rPr>
          <w:rFonts w:ascii="Arial" w:eastAsia="Arial" w:hAnsi="Arial" w:cs="Arial"/>
        </w:rPr>
        <w:t>It</w:t>
      </w:r>
      <w:r w:rsidRPr="00577F1E">
        <w:rPr>
          <w:rFonts w:ascii="Arial" w:eastAsia="Arial" w:hAnsi="Arial" w:cs="Arial"/>
        </w:rPr>
        <w:t>s operational sustainability information can also be utilized to assist in the proposed extension. Total Scope 1 and Scope 2 GHG emissions fell by 31.8% compared to the 2016 baseline, to 6.3 MtCO</w:t>
      </w:r>
      <w:r w:rsidRPr="00577F1E">
        <w:rPr>
          <w:rFonts w:ascii="Cambria Math" w:eastAsia="Arial" w:hAnsi="Cambria Math" w:cs="Cambria Math"/>
        </w:rPr>
        <w:t>₂</w:t>
      </w:r>
      <w:r w:rsidRPr="00577F1E">
        <w:rPr>
          <w:rFonts w:ascii="Arial" w:eastAsia="Arial" w:hAnsi="Arial" w:cs="Arial"/>
        </w:rPr>
        <w:t>e in 2025 (Anglo American, 2026a). However, these corporate-level data will be translated to product/shipment level data. Additional targets will encompass construction companies, steel enterprises, electronics and firms that need to report their sustainability requirements standards. Expansion in these segments is, therefore, to be done after successful trials with EV and battery attachment customers.</w:t>
      </w:r>
    </w:p>
    <w:p w14:paraId="36F2E439" w14:textId="77777777" w:rsidR="00C32FB1" w:rsidRPr="00577F1E" w:rsidRDefault="00236BEC">
      <w:pPr>
        <w:rPr>
          <w:rFonts w:ascii="Arial" w:eastAsia="Arial" w:hAnsi="Arial" w:cs="Arial"/>
          <w:b/>
          <w:bCs/>
        </w:rPr>
      </w:pPr>
      <w:r w:rsidRPr="00577F1E">
        <w:rPr>
          <w:rFonts w:ascii="Arial" w:eastAsia="Arial" w:hAnsi="Arial" w:cs="Arial"/>
          <w:b/>
          <w:bCs/>
          <w:noProof/>
        </w:rPr>
        <w:drawing>
          <wp:inline distT="0" distB="0" distL="0" distR="0" wp14:anchorId="1B773C74" wp14:editId="38F757B3">
            <wp:extent cx="5395428" cy="2880610"/>
            <wp:effectExtent l="76200" t="76200" r="129540" b="12954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395428" cy="2880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A1D93" w14:textId="77777777" w:rsidR="00C32FB1" w:rsidRPr="00577F1E" w:rsidRDefault="00236BEC">
      <w:pPr>
        <w:jc w:val="center"/>
        <w:rPr>
          <w:rFonts w:ascii="Arial" w:eastAsia="Arial" w:hAnsi="Arial" w:cs="Arial"/>
          <w:b/>
          <w:bCs/>
        </w:rPr>
      </w:pPr>
      <w:r w:rsidRPr="00577F1E">
        <w:rPr>
          <w:rFonts w:ascii="Arial" w:eastAsia="Arial" w:hAnsi="Arial" w:cs="Arial"/>
          <w:b/>
          <w:bCs/>
        </w:rPr>
        <w:t>Table 2: Target Customer Profile</w:t>
      </w:r>
    </w:p>
    <w:p w14:paraId="2DBD5317" w14:textId="77777777" w:rsidR="00C32FB1" w:rsidRPr="00577F1E" w:rsidRDefault="00236BEC">
      <w:pPr>
        <w:jc w:val="center"/>
        <w:rPr>
          <w:rFonts w:ascii="Arial" w:eastAsia="Arial" w:hAnsi="Arial" w:cs="Arial"/>
        </w:rPr>
      </w:pPr>
      <w:r w:rsidRPr="00577F1E">
        <w:rPr>
          <w:rFonts w:ascii="Arial" w:eastAsia="Arial" w:hAnsi="Arial" w:cs="Arial"/>
        </w:rPr>
        <w:t>(Source: Self-developed)</w:t>
      </w:r>
    </w:p>
    <w:p w14:paraId="53296628" w14:textId="77777777" w:rsidR="00C32FB1" w:rsidRPr="00577F1E" w:rsidRDefault="00236BEC">
      <w:pPr>
        <w:pStyle w:val="Heading2"/>
      </w:pPr>
      <w:bookmarkStart w:id="5" w:name="_Toc235733507"/>
      <w:r w:rsidRPr="00577F1E">
        <w:t>2.4 Differentiation</w:t>
      </w:r>
      <w:bookmarkEnd w:id="5"/>
    </w:p>
    <w:p w14:paraId="7640ED56" w14:textId="77777777" w:rsidR="00C32FB1" w:rsidRPr="00577F1E" w:rsidRDefault="00236BEC">
      <w:pPr>
        <w:rPr>
          <w:rFonts w:ascii="Arial" w:eastAsia="Arial" w:hAnsi="Arial" w:cs="Arial"/>
        </w:rPr>
      </w:pPr>
      <w:r w:rsidRPr="00577F1E">
        <w:rPr>
          <w:rFonts w:ascii="Arial" w:eastAsia="Arial" w:hAnsi="Arial" w:cs="Arial"/>
        </w:rPr>
        <w:t xml:space="preserve">Instead of unsubstantiated claims of being the most sustainable mining supplier, the main aim behind developing Anglo GreenTrace would be to differentiate Anglo American by providing a shipment-level digital mineral passport. Carbon footprint, water markers, safety and responsible-labour information, transport history, third-party assurance and downloadable ESG reports would be properly labelled. Monitoring as well as supplier evaluation and reporting would be greatly improved by dashboards and QR codes. Differentiation will, however, be realistic, as there is already an existing solution, called START at Rio Tinto (Rio Tinto, 2026). Therefore, Anglo GreenTrace will deconflict through integration across copper, premiums iron ore and crop nutrients, compatibility with customers ESG systems and bill shipment specific Scope 3 reporting. Anglo American has a total of 43,000 employees globally (Anglo American, 2025a). </w:t>
      </w:r>
    </w:p>
    <w:p w14:paraId="33DDF028" w14:textId="77777777" w:rsidR="00C32FB1" w:rsidRPr="00577F1E" w:rsidRDefault="00236BEC">
      <w:pPr>
        <w:rPr>
          <w:rFonts w:ascii="Arial" w:eastAsia="Arial" w:hAnsi="Arial" w:cs="Arial"/>
        </w:rPr>
      </w:pPr>
      <w:r w:rsidRPr="00577F1E">
        <w:rPr>
          <w:rFonts w:ascii="Arial" w:eastAsia="Arial" w:hAnsi="Arial" w:cs="Arial"/>
          <w:noProof/>
        </w:rPr>
        <w:drawing>
          <wp:inline distT="0" distB="0" distL="0" distR="0" wp14:anchorId="4939AF23" wp14:editId="4500B4FF">
            <wp:extent cx="5731510" cy="4110990"/>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510" cy="4110990"/>
                    </a:xfrm>
                    <a:prstGeom prst="rect">
                      <a:avLst/>
                    </a:prstGeom>
                    <a:ln/>
                  </pic:spPr>
                </pic:pic>
              </a:graphicData>
            </a:graphic>
          </wp:inline>
        </w:drawing>
      </w:r>
    </w:p>
    <w:p w14:paraId="6453085E" w14:textId="77777777" w:rsidR="00C32FB1" w:rsidRPr="00577F1E" w:rsidRDefault="00236BEC">
      <w:pPr>
        <w:jc w:val="center"/>
        <w:rPr>
          <w:rFonts w:ascii="Arial" w:eastAsia="Arial" w:hAnsi="Arial" w:cs="Arial"/>
          <w:b/>
          <w:bCs/>
        </w:rPr>
      </w:pPr>
      <w:r w:rsidRPr="00577F1E">
        <w:rPr>
          <w:rFonts w:ascii="Arial" w:eastAsia="Arial" w:hAnsi="Arial" w:cs="Arial"/>
          <w:b/>
          <w:bCs/>
        </w:rPr>
        <w:t>Table 3: Evidence-Based Differentiation Comparison</w:t>
      </w:r>
    </w:p>
    <w:p w14:paraId="6074F62F" w14:textId="77777777" w:rsidR="00C32FB1" w:rsidRPr="00577F1E" w:rsidRDefault="00236BEC">
      <w:pPr>
        <w:jc w:val="center"/>
        <w:rPr>
          <w:rFonts w:ascii="Arial" w:eastAsia="Arial" w:hAnsi="Arial" w:cs="Arial"/>
        </w:rPr>
      </w:pPr>
      <w:r w:rsidRPr="00577F1E">
        <w:rPr>
          <w:rFonts w:ascii="Arial" w:eastAsia="Arial" w:hAnsi="Arial" w:cs="Arial"/>
        </w:rPr>
        <w:t>(Source: Self-developed)</w:t>
      </w:r>
    </w:p>
    <w:p w14:paraId="02154278" w14:textId="77777777" w:rsidR="00C32FB1" w:rsidRPr="00577F1E" w:rsidRDefault="00236BEC">
      <w:pPr>
        <w:rPr>
          <w:rFonts w:ascii="Arial" w:eastAsia="Arial" w:hAnsi="Arial" w:cs="Arial"/>
        </w:rPr>
      </w:pPr>
      <w:r w:rsidRPr="00577F1E">
        <w:rPr>
          <w:rFonts w:ascii="Arial" w:eastAsia="Arial" w:hAnsi="Arial" w:cs="Arial"/>
        </w:rPr>
        <w:t xml:space="preserve">Rio Tinto START will be a direct competitive benchmark, not an example of conventional mineral supply. To make a difference, Anglo GreenTrace needs to provide more integration, reporting ease or portfolio value. </w:t>
      </w:r>
    </w:p>
    <w:p w14:paraId="04A39D76" w14:textId="77777777" w:rsidR="00C32FB1" w:rsidRPr="00577F1E" w:rsidRDefault="00236BEC">
      <w:pPr>
        <w:pStyle w:val="Heading2"/>
      </w:pPr>
      <w:bookmarkStart w:id="6" w:name="_Toc235733508"/>
      <w:r w:rsidRPr="00577F1E">
        <w:t>2.5 Positioning</w:t>
      </w:r>
      <w:bookmarkEnd w:id="6"/>
    </w:p>
    <w:p w14:paraId="13DC5D43" w14:textId="77777777" w:rsidR="00C32FB1" w:rsidRPr="00577F1E" w:rsidRDefault="00236BEC">
      <w:pPr>
        <w:jc w:val="center"/>
        <w:rPr>
          <w:rFonts w:ascii="Arial" w:eastAsia="Arial" w:hAnsi="Arial" w:cs="Arial"/>
          <w:b/>
          <w:bCs/>
        </w:rPr>
      </w:pPr>
      <w:r w:rsidRPr="00577F1E">
        <w:rPr>
          <w:rFonts w:ascii="Arial" w:eastAsia="Arial" w:hAnsi="Arial" w:cs="Arial"/>
          <w:b/>
          <w:bCs/>
          <w:noProof/>
        </w:rPr>
        <w:drawing>
          <wp:inline distT="0" distB="0" distL="0" distR="0" wp14:anchorId="472C67F6" wp14:editId="0D9D3398">
            <wp:extent cx="4646977" cy="4233076"/>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646977" cy="4233076"/>
                    </a:xfrm>
                    <a:prstGeom prst="rect">
                      <a:avLst/>
                    </a:prstGeom>
                    <a:ln/>
                  </pic:spPr>
                </pic:pic>
              </a:graphicData>
            </a:graphic>
          </wp:inline>
        </w:drawing>
      </w:r>
    </w:p>
    <w:p w14:paraId="07F28FF4" w14:textId="77777777" w:rsidR="00C32FB1" w:rsidRPr="00577F1E" w:rsidRDefault="00236BEC">
      <w:pPr>
        <w:jc w:val="center"/>
        <w:rPr>
          <w:rFonts w:ascii="Arial" w:eastAsia="Arial" w:hAnsi="Arial" w:cs="Arial"/>
          <w:b/>
          <w:bCs/>
        </w:rPr>
      </w:pPr>
      <w:r w:rsidRPr="00577F1E">
        <w:rPr>
          <w:rFonts w:ascii="Arial" w:eastAsia="Arial" w:hAnsi="Arial" w:cs="Arial"/>
          <w:b/>
          <w:bCs/>
        </w:rPr>
        <w:t>Figure 4: Proposed Perceptual Map</w:t>
      </w:r>
    </w:p>
    <w:p w14:paraId="7F8925D8" w14:textId="77777777" w:rsidR="00C32FB1" w:rsidRPr="00577F1E" w:rsidRDefault="00236BEC">
      <w:pPr>
        <w:jc w:val="center"/>
        <w:rPr>
          <w:rFonts w:ascii="Arial" w:eastAsia="Arial" w:hAnsi="Arial" w:cs="Arial"/>
        </w:rPr>
      </w:pPr>
      <w:r w:rsidRPr="00577F1E">
        <w:rPr>
          <w:rFonts w:ascii="Arial" w:eastAsia="Arial" w:hAnsi="Arial" w:cs="Arial"/>
        </w:rPr>
        <w:t>(Source: Self-developed)</w:t>
      </w:r>
    </w:p>
    <w:p w14:paraId="4B7DB961" w14:textId="77777777" w:rsidR="00C32FB1" w:rsidRPr="00577F1E" w:rsidRDefault="00236BEC">
      <w:pPr>
        <w:rPr>
          <w:rFonts w:ascii="Arial" w:eastAsia="Arial" w:hAnsi="Arial" w:cs="Arial"/>
        </w:rPr>
      </w:pPr>
      <w:r w:rsidRPr="00577F1E">
        <w:rPr>
          <w:rFonts w:ascii="Arial" w:eastAsia="Arial" w:hAnsi="Arial" w:cs="Arial"/>
        </w:rPr>
        <w:t>Anglo GreenTrace will be in the front row of houses on the traceability spectrum and has a high traceability verification at its name. It needs to be responsible, honest and high tech, with a strong sense of responsibility and commercial application. Anglo GreenTrace would provide credible, traceability and verification from mine to market for UK/ European manufacturers of batteries and renewable-energy equipment needing reliable environmentally responsible sources of minerals. Unlike a traditional supply arrangement that relies primarily on corporate reporting, it will combine minerals of Anglo American with evidence collected at the ship level, including environmental, social and sourcing components. This is believable given the fact that Anglo American is based in London, and generated 695,200 tonnes of copper in 2025 (Anglo American, 2025).</w:t>
      </w:r>
      <w:r w:rsidRPr="00577F1E">
        <w:rPr>
          <w:rFonts w:ascii="Arial" w:hAnsi="Arial" w:cs="Arial"/>
        </w:rPr>
        <w:br w:type="page"/>
      </w:r>
    </w:p>
    <w:p w14:paraId="313DA1AB" w14:textId="77777777" w:rsidR="00C32FB1" w:rsidRPr="00577F1E" w:rsidRDefault="00236BEC">
      <w:pPr>
        <w:pStyle w:val="Heading1"/>
      </w:pPr>
      <w:bookmarkStart w:id="7" w:name="_Toc235733509"/>
      <w:r w:rsidRPr="00577F1E">
        <w:t>Element 3: Marketing Mix for Anglo GreenTrace</w:t>
      </w:r>
      <w:bookmarkEnd w:id="7"/>
    </w:p>
    <w:p w14:paraId="246FF863" w14:textId="77777777" w:rsidR="00C32FB1" w:rsidRPr="00577F1E" w:rsidRDefault="00236BEC">
      <w:pPr>
        <w:pStyle w:val="Heading2"/>
      </w:pPr>
      <w:bookmarkStart w:id="8" w:name="_Toc235733510"/>
      <w:r w:rsidRPr="00577F1E">
        <w:t>3.1 Product</w:t>
      </w:r>
      <w:bookmarkEnd w:id="8"/>
    </w:p>
    <w:p w14:paraId="7698AA94" w14:textId="2414B89D" w:rsidR="00C32FB1" w:rsidRPr="00577F1E" w:rsidRDefault="00236BEC">
      <w:pPr>
        <w:rPr>
          <w:rFonts w:ascii="Arial" w:eastAsia="Arial" w:hAnsi="Arial" w:cs="Arial"/>
        </w:rPr>
      </w:pPr>
      <w:r w:rsidRPr="00577F1E">
        <w:rPr>
          <w:rFonts w:ascii="Arial" w:eastAsia="Arial" w:hAnsi="Arial" w:cs="Arial"/>
        </w:rPr>
        <w:t xml:space="preserve">The core benefit is confidence in responsible mineral sourcing. The proposed product to be created will be a traceability platform that will include a passport, origin information, carbon and water metrics, labour and safety statistics, transport data, QR access and downloadable reports on shipment-by-shipment basis. The supplemental strength of the augmented product will be API integration, as well as onboarding, analytics, reporting support and independent assurance. Instead of incorporating existing minerals, Anglo GreenTrace will attach informational value to copper and premium grade iron ore. </w:t>
      </w:r>
      <w:r w:rsidR="008C240D" w:rsidRPr="008C240D">
        <w:rPr>
          <w:rFonts w:ascii="Arial" w:eastAsia="Arial" w:hAnsi="Arial" w:cs="Arial"/>
        </w:rPr>
        <w:t xml:space="preserve">Underlying EBITDA from continuing operations increased to $6.4 billion, reflecting unwavering focus on cost discipline and operational excellence, while also hitting targeted $1.8 billion cost savings run-rate </w:t>
      </w:r>
      <w:r w:rsidRPr="00577F1E">
        <w:rPr>
          <w:rFonts w:ascii="Arial" w:eastAsia="Arial" w:hAnsi="Arial" w:cs="Arial"/>
        </w:rPr>
        <w:t>(Anglo American, 2025b). This suggests that it can afford to build up digital-service capability. In 2025, its emission intensity decreased by 9% to 4.2 tonnes of CO</w:t>
      </w:r>
      <w:r w:rsidRPr="00577F1E">
        <w:rPr>
          <w:rFonts w:ascii="Cambria Math" w:eastAsia="Arial" w:hAnsi="Cambria Math" w:cs="Cambria Math"/>
        </w:rPr>
        <w:t>₂</w:t>
      </w:r>
      <w:r w:rsidRPr="00577F1E">
        <w:rPr>
          <w:rFonts w:ascii="Arial" w:eastAsia="Arial" w:hAnsi="Arial" w:cs="Arial"/>
        </w:rPr>
        <w:t xml:space="preserve">e per tonne of copper equivalent (Anglo American, 2025c). According to Vendrell-Herrero et al. (2024), the standardised digital servitization can work towards the scalability and limited customisations in servitization can go into various reporting systems. </w:t>
      </w:r>
    </w:p>
    <w:p w14:paraId="59D4EDF2" w14:textId="77777777" w:rsidR="00C32FB1" w:rsidRPr="00577F1E" w:rsidRDefault="00236BEC">
      <w:pPr>
        <w:pStyle w:val="Heading2"/>
      </w:pPr>
      <w:bookmarkStart w:id="9" w:name="_Toc235733511"/>
      <w:r w:rsidRPr="00577F1E">
        <w:t>3.2 Price</w:t>
      </w:r>
      <w:bookmarkEnd w:id="9"/>
    </w:p>
    <w:p w14:paraId="58B93242" w14:textId="49FB1F2C" w:rsidR="00C32FB1" w:rsidRPr="00577F1E" w:rsidRDefault="00236BEC">
      <w:pPr>
        <w:rPr>
          <w:rFonts w:ascii="Arial" w:eastAsia="Arial" w:hAnsi="Arial" w:cs="Arial"/>
        </w:rPr>
      </w:pPr>
      <w:r w:rsidRPr="00577F1E">
        <w:rPr>
          <w:rFonts w:ascii="Arial" w:eastAsia="Arial" w:hAnsi="Arial" w:cs="Arial"/>
        </w:rPr>
        <w:t>Pricing strategy of Anglo GreenTrace will combine an annual subscription with a fee per verified shipment. The API access, Scope 3 analytics, and support will go hand-in-hand in enterprise contracts, with these features being included in one. Bundled rates are allowed for long-term mineral customers. The one advantage of value-based pricing is that reporting time is reduced, along with assessing suppliers and the reduced compliance risks, apart from the development cost. Paying customers should be put to the test in a pilot-pricing experiment designed for anchor customers. Copper and premium iron ore margins will reach 49% and 43% respectively in 2025 (Anglo American, 2026b). However, these margins come with no guarantee that customers will pay traceability premiums. Vandermerwe and Erixon (2023) demonstrated that subscriptions can be profitable and recurring for B2B contexts. Therefore, premium pricing strategy will be based on evidence of customer savings and clear upfront of costs to implement.</w:t>
      </w:r>
    </w:p>
    <w:p w14:paraId="53C9E38B" w14:textId="77777777" w:rsidR="00C32FB1" w:rsidRPr="00577F1E" w:rsidRDefault="00236BEC">
      <w:pPr>
        <w:pStyle w:val="Heading2"/>
      </w:pPr>
      <w:bookmarkStart w:id="10" w:name="_Toc235733512"/>
      <w:r w:rsidRPr="00577F1E">
        <w:t>3.3 Place</w:t>
      </w:r>
      <w:bookmarkEnd w:id="10"/>
    </w:p>
    <w:p w14:paraId="032B35F9" w14:textId="20F6F4CA" w:rsidR="00C32FB1" w:rsidRPr="00577F1E" w:rsidRDefault="00236BEC">
      <w:pPr>
        <w:rPr>
          <w:rFonts w:ascii="Arial" w:eastAsia="Arial" w:hAnsi="Arial" w:cs="Arial"/>
        </w:rPr>
      </w:pPr>
      <w:r w:rsidRPr="00577F1E">
        <w:rPr>
          <w:rFonts w:ascii="Arial" w:eastAsia="Arial" w:hAnsi="Arial" w:cs="Arial"/>
        </w:rPr>
        <w:t>The direct approach of dealing with Anglo American's B2B sales teams, account managers and customer area will be adopted by Anglo GreenTrace. On availing this service, customers will have access to passports via procurement platforms and API links to ESs systems.</w:t>
      </w:r>
      <w:r w:rsidR="008C240D">
        <w:rPr>
          <w:rFonts w:ascii="Arial" w:eastAsia="Arial" w:hAnsi="Arial" w:cs="Arial"/>
        </w:rPr>
        <w:t xml:space="preserve"> </w:t>
      </w:r>
      <w:r w:rsidRPr="00577F1E">
        <w:rPr>
          <w:rFonts w:ascii="Arial" w:eastAsia="Arial" w:hAnsi="Arial" w:cs="Arial"/>
        </w:rPr>
        <w:t>The first roll out will be in the UK and European Union.</w:t>
      </w:r>
      <w:r w:rsidR="008C240D">
        <w:rPr>
          <w:rFonts w:ascii="Arial" w:eastAsia="Arial" w:hAnsi="Arial" w:cs="Arial"/>
        </w:rPr>
        <w:t xml:space="preserve"> </w:t>
      </w:r>
      <w:r w:rsidR="008C240D" w:rsidRPr="008C240D">
        <w:rPr>
          <w:rFonts w:ascii="Arial" w:eastAsia="Arial" w:hAnsi="Arial" w:cs="Arial"/>
        </w:rPr>
        <w:t>Anglo American owns or manages approximately 545,000 hectares, with approximately 14% (78,000 hectares) disturbed for mining or processing operations</w:t>
      </w:r>
      <w:r w:rsidR="008C240D">
        <w:rPr>
          <w:rFonts w:ascii="Arial" w:eastAsia="Arial" w:hAnsi="Arial" w:cs="Arial"/>
        </w:rPr>
        <w:t xml:space="preserve"> (</w:t>
      </w:r>
      <w:r w:rsidR="008C240D" w:rsidRPr="00577F1E">
        <w:rPr>
          <w:rFonts w:ascii="Arial" w:eastAsia="Arial" w:hAnsi="Arial" w:cs="Arial"/>
        </w:rPr>
        <w:t>Anglo American, 2025</w:t>
      </w:r>
      <w:r w:rsidR="008C240D">
        <w:rPr>
          <w:rFonts w:ascii="Arial" w:eastAsia="Arial" w:hAnsi="Arial" w:cs="Arial"/>
        </w:rPr>
        <w:t>)</w:t>
      </w:r>
      <w:r w:rsidR="008C240D" w:rsidRPr="008C240D">
        <w:rPr>
          <w:rFonts w:ascii="Arial" w:eastAsia="Arial" w:hAnsi="Arial" w:cs="Arial"/>
        </w:rPr>
        <w:t>.</w:t>
      </w:r>
      <w:r w:rsidRPr="00577F1E">
        <w:rPr>
          <w:rFonts w:ascii="Arial" w:eastAsia="Arial" w:hAnsi="Arial" w:cs="Arial"/>
        </w:rPr>
        <w:t xml:space="preserve"> It is because EV manufacturers, battery manufacturers and those in the renewable energy sector face significant pressures on EV traceability and disclosure. London headquartered, Anglo American, can further facilitate access to these decision makers and the production is underpinned by Anglo American's global operations. According to Kyrdoda et al. (2025), digital transformation remodels B2B networks via interconnected people, things and processes. Distribution will be integrated with mines, assurance organizations, procurement groups and customers systems and cannot be an independent site.</w:t>
      </w:r>
    </w:p>
    <w:p w14:paraId="2BC24935" w14:textId="77777777" w:rsidR="00C32FB1" w:rsidRPr="00577F1E" w:rsidRDefault="00236BEC">
      <w:pPr>
        <w:pStyle w:val="Heading2"/>
      </w:pPr>
      <w:bookmarkStart w:id="11" w:name="_Toc235733513"/>
      <w:r w:rsidRPr="00577F1E">
        <w:t>3.4 Promotion</w:t>
      </w:r>
      <w:bookmarkEnd w:id="11"/>
    </w:p>
    <w:p w14:paraId="577F2F20" w14:textId="63DF8A8F" w:rsidR="00C32FB1" w:rsidRPr="00577F1E" w:rsidRDefault="00236BEC">
      <w:pPr>
        <w:rPr>
          <w:rFonts w:ascii="Arial" w:eastAsia="Arial" w:hAnsi="Arial" w:cs="Arial"/>
        </w:rPr>
      </w:pPr>
      <w:r w:rsidRPr="00577F1E">
        <w:rPr>
          <w:rFonts w:ascii="Arial" w:eastAsia="Arial" w:hAnsi="Arial" w:cs="Arial"/>
        </w:rPr>
        <w:t xml:space="preserve">Indirect selling strategies include direct selling, LinkedIn campaigns, conferences, webinars, white papers, and trade publications and dashboard demonstrations. These are aimed at the procurement director, sustainability manager, supply-chain manager and investors. Case studies will provide illustrations of how verified shipment data can curtail reporting time, aid Scope 3 computation and enhance supplier comparisons. </w:t>
      </w:r>
      <w:r w:rsidR="008C240D" w:rsidRPr="008C240D">
        <w:rPr>
          <w:rFonts w:ascii="Arial" w:eastAsia="Arial" w:hAnsi="Arial" w:cs="Arial"/>
        </w:rPr>
        <w:t>In 2025, total Scope 1 and 2 greenhouse gas emissions decreased by 14% year on year, to 6.3 Mt CO</w:t>
      </w:r>
      <w:r w:rsidR="008C240D" w:rsidRPr="008C240D">
        <w:rPr>
          <w:rFonts w:ascii="Cambria Math" w:eastAsia="Arial" w:hAnsi="Cambria Math" w:cs="Cambria Math"/>
        </w:rPr>
        <w:t>₂</w:t>
      </w:r>
      <w:r w:rsidR="008C240D" w:rsidRPr="008C240D">
        <w:rPr>
          <w:rFonts w:ascii="Arial" w:eastAsia="Arial" w:hAnsi="Arial" w:cs="Arial"/>
        </w:rPr>
        <w:t>e in 2025</w:t>
      </w:r>
      <w:r w:rsidR="008C240D">
        <w:rPr>
          <w:rFonts w:ascii="Arial" w:eastAsia="Arial" w:hAnsi="Arial" w:cs="Arial"/>
        </w:rPr>
        <w:t xml:space="preserve">, </w:t>
      </w:r>
      <w:r w:rsidR="008C240D" w:rsidRPr="008C240D">
        <w:rPr>
          <w:rFonts w:ascii="Arial" w:eastAsia="Arial" w:hAnsi="Arial" w:cs="Arial"/>
        </w:rPr>
        <w:t>compared to 7.3 Mt CO</w:t>
      </w:r>
      <w:r w:rsidR="008C240D" w:rsidRPr="008C240D">
        <w:rPr>
          <w:rFonts w:ascii="Cambria Math" w:eastAsia="Arial" w:hAnsi="Cambria Math" w:cs="Cambria Math"/>
        </w:rPr>
        <w:t>₂</w:t>
      </w:r>
      <w:r w:rsidR="008C240D" w:rsidRPr="008C240D">
        <w:rPr>
          <w:rFonts w:ascii="Arial" w:eastAsia="Arial" w:hAnsi="Arial" w:cs="Arial"/>
        </w:rPr>
        <w:t>e in 2024</w:t>
      </w:r>
      <w:r w:rsidRPr="00577F1E">
        <w:rPr>
          <w:rFonts w:ascii="Arial" w:eastAsia="Arial" w:hAnsi="Arial" w:cs="Arial"/>
        </w:rPr>
        <w:t xml:space="preserve"> (Anglo American, 2026a). However, communication would ensure that progress is made at the company level and not product level. Persakis et al. (2025) identified that misleading environmental claims are a risk to marketing credibility. In contrast, Santos et al. (2025) argued that greenwashing causes the reduction in green supply-chain integration. The key message, therefore, needs to highlight reliable minerals and sustainable evidence that can be used. All claims need third party assurance and easy methodologies. </w:t>
      </w:r>
    </w:p>
    <w:p w14:paraId="453FCA4C" w14:textId="77777777" w:rsidR="00C32FB1" w:rsidRPr="00577F1E" w:rsidRDefault="00236BEC">
      <w:pPr>
        <w:pStyle w:val="Heading2"/>
      </w:pPr>
      <w:bookmarkStart w:id="12" w:name="_Toc235733514"/>
      <w:r w:rsidRPr="00577F1E">
        <w:t>3.5 People</w:t>
      </w:r>
      <w:bookmarkEnd w:id="12"/>
    </w:p>
    <w:p w14:paraId="3B40A020" w14:textId="2A21F0FE" w:rsidR="00C32FB1" w:rsidRPr="00577F1E" w:rsidRDefault="00236BEC">
      <w:pPr>
        <w:rPr>
          <w:rFonts w:ascii="Arial" w:eastAsia="Arial" w:hAnsi="Arial" w:cs="Arial"/>
        </w:rPr>
      </w:pPr>
      <w:r w:rsidRPr="00577F1E">
        <w:rPr>
          <w:rFonts w:ascii="Arial" w:eastAsia="Arial" w:hAnsi="Arial" w:cs="Arial"/>
        </w:rPr>
        <w:t>Sustainability specialists, mining engineers, analysts, software engineers, compliance people, B2B sales teams, customer-success teams and independent auditors are expected to be the key people for this proposed service. Operational data will be interpreted by engineers, indicators will be developed by engineers and analysts who are customer ready, credibility will be tested by auditors, and benefits and limitations by sales staff. Despite a highly-skilled employee base, a more specialist team would be required to take over the extension. The study by Sklyar et al. (2025) showed that the orientation towards digital services goes hand-in-hand with technology foresight, adaptability and agility. Human support will, therefore, be considered responsive, complementing the platform.</w:t>
      </w:r>
    </w:p>
    <w:p w14:paraId="394BAF49" w14:textId="77777777" w:rsidR="00C32FB1" w:rsidRPr="00577F1E" w:rsidRDefault="00236BEC">
      <w:pPr>
        <w:pStyle w:val="Heading2"/>
      </w:pPr>
      <w:bookmarkStart w:id="13" w:name="_Toc235733515"/>
      <w:r w:rsidRPr="00577F1E">
        <w:t>3.6 Process</w:t>
      </w:r>
      <w:bookmarkEnd w:id="13"/>
    </w:p>
    <w:p w14:paraId="27905E2F" w14:textId="77777777" w:rsidR="00C32FB1" w:rsidRPr="00577F1E" w:rsidRDefault="00236BEC">
      <w:pPr>
        <w:jc w:val="center"/>
        <w:rPr>
          <w:rFonts w:ascii="Arial" w:eastAsia="Arial" w:hAnsi="Arial" w:cs="Arial"/>
          <w:b/>
          <w:bCs/>
        </w:rPr>
      </w:pPr>
      <w:r w:rsidRPr="00577F1E">
        <w:rPr>
          <w:rFonts w:ascii="Arial" w:eastAsia="Arial" w:hAnsi="Arial" w:cs="Arial"/>
          <w:noProof/>
        </w:rPr>
        <mc:AlternateContent>
          <mc:Choice Requires="wpg">
            <w:drawing>
              <wp:inline distT="0" distB="0" distL="0" distR="0" wp14:anchorId="62D0FEEC" wp14:editId="010BF796">
                <wp:extent cx="5065153" cy="4800600"/>
                <wp:effectExtent l="0" t="0" r="2540" b="0"/>
                <wp:docPr id="1" name="Group 1"/>
                <wp:cNvGraphicFramePr/>
                <a:graphic xmlns:a="http://schemas.openxmlformats.org/drawingml/2006/main">
                  <a:graphicData uri="http://schemas.microsoft.com/office/word/2010/wordprocessingGroup">
                    <wpg:wgp>
                      <wpg:cNvGrpSpPr/>
                      <wpg:grpSpPr>
                        <a:xfrm>
                          <a:off x="0" y="0"/>
                          <a:ext cx="5065153" cy="4800600"/>
                          <a:chOff x="0" y="0"/>
                          <a:chExt cx="5486400" cy="3200425"/>
                        </a:xfrm>
                      </wpg:grpSpPr>
                      <wpg:grpSp>
                        <wpg:cNvPr id="11" name="Group 11"/>
                        <wpg:cNvGrpSpPr/>
                        <wpg:grpSpPr>
                          <a:xfrm>
                            <a:off x="0" y="0"/>
                            <a:ext cx="5486400" cy="3200400"/>
                            <a:chOff x="0" y="0"/>
                            <a:chExt cx="5486400" cy="3200400"/>
                          </a:xfrm>
                        </wpg:grpSpPr>
                        <wps:wsp>
                          <wps:cNvPr id="12" name="Rectangle 12"/>
                          <wps:cNvSpPr/>
                          <wps:spPr>
                            <a:xfrm>
                              <a:off x="0" y="0"/>
                              <a:ext cx="5486400" cy="3200400"/>
                            </a:xfrm>
                            <a:prstGeom prst="rect">
                              <a:avLst/>
                            </a:prstGeom>
                            <a:noFill/>
                            <a:ln>
                              <a:noFill/>
                            </a:ln>
                          </wps:spPr>
                          <wps:txbx>
                            <w:txbxContent>
                              <w:p w14:paraId="475C702C"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13" name="Rectangle 13"/>
                          <wps:cNvSpPr/>
                          <wps:spPr>
                            <a:xfrm>
                              <a:off x="0" y="2924979"/>
                              <a:ext cx="5486400" cy="274253"/>
                            </a:xfrm>
                            <a:prstGeom prst="rect">
                              <a:avLst/>
                            </a:prstGeom>
                            <a:solidFill>
                              <a:srgbClr val="5998D4"/>
                            </a:solidFill>
                            <a:ln>
                              <a:noFill/>
                            </a:ln>
                          </wps:spPr>
                          <wps:txbx>
                            <w:txbxContent>
                              <w:p w14:paraId="2954F830"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14" name="Text Box 14"/>
                          <wps:cNvSpPr txBox="1"/>
                          <wps:spPr>
                            <a:xfrm>
                              <a:off x="0" y="2924979"/>
                              <a:ext cx="5486400" cy="274253"/>
                            </a:xfrm>
                            <a:prstGeom prst="rect">
                              <a:avLst/>
                            </a:prstGeom>
                            <a:noFill/>
                            <a:ln>
                              <a:noFill/>
                            </a:ln>
                          </wps:spPr>
                          <wps:txbx>
                            <w:txbxContent>
                              <w:p w14:paraId="21E16BB1" w14:textId="77777777" w:rsidR="00C32FB1" w:rsidRDefault="00236BEC">
                                <w:pPr>
                                  <w:spacing w:after="0" w:line="215" w:lineRule="auto"/>
                                  <w:jc w:val="center"/>
                                  <w:textDirection w:val="btLr"/>
                                </w:pPr>
                                <w:r>
                                  <w:rPr>
                                    <w:b/>
                                    <w:color w:val="000000"/>
                                    <w:sz w:val="30"/>
                                  </w:rPr>
                                  <w:t>Periodic review and correction</w:t>
                                </w:r>
                              </w:p>
                            </w:txbxContent>
                          </wps:txbx>
                          <wps:bodyPr spcFirstLastPara="1" wrap="square" lIns="106675" tIns="106675" rIns="106675" bIns="106675" anchor="ctr" anchorCtr="0">
                            <a:noAutofit/>
                          </wps:bodyPr>
                        </wps:wsp>
                        <wps:wsp>
                          <wps:cNvPr id="15" name="Callout: Up Arrow 15"/>
                          <wps:cNvSpPr/>
                          <wps:spPr>
                            <a:xfrm rot="10800000">
                              <a:off x="0" y="2507291"/>
                              <a:ext cx="5486400" cy="421801"/>
                            </a:xfrm>
                            <a:prstGeom prst="upArrowCallout">
                              <a:avLst>
                                <a:gd name="adj1" fmla="val 25000"/>
                                <a:gd name="adj2" fmla="val 25000"/>
                                <a:gd name="adj3" fmla="val 25000"/>
                                <a:gd name="adj4" fmla="val 64977"/>
                              </a:avLst>
                            </a:prstGeom>
                            <a:solidFill>
                              <a:srgbClr val="55B6D0"/>
                            </a:solidFill>
                            <a:ln>
                              <a:noFill/>
                            </a:ln>
                          </wps:spPr>
                          <wps:txbx>
                            <w:txbxContent>
                              <w:p w14:paraId="27D64535"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16" name="Text Box 16"/>
                          <wps:cNvSpPr txBox="1"/>
                          <wps:spPr>
                            <a:xfrm>
                              <a:off x="0" y="2507291"/>
                              <a:ext cx="5486400" cy="274074"/>
                            </a:xfrm>
                            <a:prstGeom prst="rect">
                              <a:avLst/>
                            </a:prstGeom>
                            <a:noFill/>
                            <a:ln>
                              <a:noFill/>
                            </a:ln>
                          </wps:spPr>
                          <wps:txbx>
                            <w:txbxContent>
                              <w:p w14:paraId="75A6532C" w14:textId="77777777" w:rsidR="00C32FB1" w:rsidRDefault="00236BEC">
                                <w:pPr>
                                  <w:spacing w:after="0" w:line="215" w:lineRule="auto"/>
                                  <w:jc w:val="center"/>
                                  <w:textDirection w:val="btLr"/>
                                </w:pPr>
                                <w:r>
                                  <w:rPr>
                                    <w:b/>
                                    <w:color w:val="000000"/>
                                    <w:sz w:val="30"/>
                                  </w:rPr>
                                  <w:t>Customer ESG and Scope 3 reporting</w:t>
                                </w:r>
                              </w:p>
                            </w:txbxContent>
                          </wps:txbx>
                          <wps:bodyPr spcFirstLastPara="1" wrap="square" lIns="106675" tIns="106675" rIns="106675" bIns="106675" anchor="ctr" anchorCtr="0">
                            <a:noAutofit/>
                          </wps:bodyPr>
                        </wps:wsp>
                        <wps:wsp>
                          <wps:cNvPr id="17" name="Callout: Up Arrow 17"/>
                          <wps:cNvSpPr/>
                          <wps:spPr>
                            <a:xfrm rot="10800000">
                              <a:off x="0" y="2089604"/>
                              <a:ext cx="5486400" cy="421801"/>
                            </a:xfrm>
                            <a:prstGeom prst="upArrowCallout">
                              <a:avLst>
                                <a:gd name="adj1" fmla="val 25000"/>
                                <a:gd name="adj2" fmla="val 25000"/>
                                <a:gd name="adj3" fmla="val 25000"/>
                                <a:gd name="adj4" fmla="val 64977"/>
                              </a:avLst>
                            </a:prstGeom>
                            <a:solidFill>
                              <a:srgbClr val="51CBC3"/>
                            </a:solidFill>
                            <a:ln>
                              <a:noFill/>
                            </a:ln>
                          </wps:spPr>
                          <wps:txbx>
                            <w:txbxContent>
                              <w:p w14:paraId="6E9E08D7"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18" name="Text Box 18"/>
                          <wps:cNvSpPr txBox="1"/>
                          <wps:spPr>
                            <a:xfrm>
                              <a:off x="0" y="2089604"/>
                              <a:ext cx="5486400" cy="274074"/>
                            </a:xfrm>
                            <a:prstGeom prst="rect">
                              <a:avLst/>
                            </a:prstGeom>
                            <a:noFill/>
                            <a:ln>
                              <a:noFill/>
                            </a:ln>
                          </wps:spPr>
                          <wps:txbx>
                            <w:txbxContent>
                              <w:p w14:paraId="2E95EB3D" w14:textId="77777777" w:rsidR="00C32FB1" w:rsidRDefault="00236BEC">
                                <w:pPr>
                                  <w:spacing w:after="0" w:line="215" w:lineRule="auto"/>
                                  <w:jc w:val="center"/>
                                  <w:textDirection w:val="btLr"/>
                                </w:pPr>
                                <w:r>
                                  <w:rPr>
                                    <w:b/>
                                    <w:color w:val="000000"/>
                                    <w:sz w:val="30"/>
                                  </w:rPr>
                                  <w:t>Secure dashboard and QR access</w:t>
                                </w:r>
                              </w:p>
                            </w:txbxContent>
                          </wps:txbx>
                          <wps:bodyPr spcFirstLastPara="1" wrap="square" lIns="106675" tIns="106675" rIns="106675" bIns="106675" anchor="ctr" anchorCtr="0">
                            <a:noAutofit/>
                          </wps:bodyPr>
                        </wps:wsp>
                        <wps:wsp>
                          <wps:cNvPr id="19" name="Callout: Up Arrow 19"/>
                          <wps:cNvSpPr/>
                          <wps:spPr>
                            <a:xfrm rot="10800000">
                              <a:off x="0" y="1671917"/>
                              <a:ext cx="5486400" cy="421801"/>
                            </a:xfrm>
                            <a:prstGeom prst="upArrowCallout">
                              <a:avLst>
                                <a:gd name="adj1" fmla="val 25000"/>
                                <a:gd name="adj2" fmla="val 25000"/>
                                <a:gd name="adj3" fmla="val 25000"/>
                                <a:gd name="adj4" fmla="val 64977"/>
                              </a:avLst>
                            </a:prstGeom>
                            <a:solidFill>
                              <a:srgbClr val="4DC69E"/>
                            </a:solidFill>
                            <a:ln>
                              <a:noFill/>
                            </a:ln>
                          </wps:spPr>
                          <wps:txbx>
                            <w:txbxContent>
                              <w:p w14:paraId="4AB0D4AA"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20" name="Text Box 20"/>
                          <wps:cNvSpPr txBox="1"/>
                          <wps:spPr>
                            <a:xfrm>
                              <a:off x="0" y="1671917"/>
                              <a:ext cx="5486400" cy="274074"/>
                            </a:xfrm>
                            <a:prstGeom prst="rect">
                              <a:avLst/>
                            </a:prstGeom>
                            <a:noFill/>
                            <a:ln>
                              <a:noFill/>
                            </a:ln>
                          </wps:spPr>
                          <wps:txbx>
                            <w:txbxContent>
                              <w:p w14:paraId="091213D9" w14:textId="77777777" w:rsidR="00C32FB1" w:rsidRDefault="00236BEC">
                                <w:pPr>
                                  <w:spacing w:after="0" w:line="215" w:lineRule="auto"/>
                                  <w:jc w:val="center"/>
                                  <w:textDirection w:val="btLr"/>
                                </w:pPr>
                                <w:r>
                                  <w:rPr>
                                    <w:b/>
                                    <w:color w:val="000000"/>
                                    <w:sz w:val="30"/>
                                  </w:rPr>
                                  <w:t>Digital mineral passport creation</w:t>
                                </w:r>
                              </w:p>
                            </w:txbxContent>
                          </wps:txbx>
                          <wps:bodyPr spcFirstLastPara="1" wrap="square" lIns="106675" tIns="106675" rIns="106675" bIns="106675" anchor="ctr" anchorCtr="0">
                            <a:noAutofit/>
                          </wps:bodyPr>
                        </wps:wsp>
                        <wps:wsp>
                          <wps:cNvPr id="21" name="Callout: Up Arrow 21"/>
                          <wps:cNvSpPr/>
                          <wps:spPr>
                            <a:xfrm rot="10800000">
                              <a:off x="0" y="1254229"/>
                              <a:ext cx="5486400" cy="421801"/>
                            </a:xfrm>
                            <a:prstGeom prst="upArrowCallout">
                              <a:avLst>
                                <a:gd name="adj1" fmla="val 25000"/>
                                <a:gd name="adj2" fmla="val 25000"/>
                                <a:gd name="adj3" fmla="val 25000"/>
                                <a:gd name="adj4" fmla="val 64977"/>
                              </a:avLst>
                            </a:prstGeom>
                            <a:solidFill>
                              <a:srgbClr val="4AC17A"/>
                            </a:solidFill>
                            <a:ln>
                              <a:noFill/>
                            </a:ln>
                          </wps:spPr>
                          <wps:txbx>
                            <w:txbxContent>
                              <w:p w14:paraId="558C65AE"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22" name="Text Box 22"/>
                          <wps:cNvSpPr txBox="1"/>
                          <wps:spPr>
                            <a:xfrm>
                              <a:off x="0" y="1254229"/>
                              <a:ext cx="5486400" cy="274074"/>
                            </a:xfrm>
                            <a:prstGeom prst="rect">
                              <a:avLst/>
                            </a:prstGeom>
                            <a:noFill/>
                            <a:ln>
                              <a:noFill/>
                            </a:ln>
                          </wps:spPr>
                          <wps:txbx>
                            <w:txbxContent>
                              <w:p w14:paraId="6DAE5910" w14:textId="77777777" w:rsidR="00C32FB1" w:rsidRDefault="00236BEC">
                                <w:pPr>
                                  <w:spacing w:after="0" w:line="215" w:lineRule="auto"/>
                                  <w:jc w:val="center"/>
                                  <w:textDirection w:val="btLr"/>
                                </w:pPr>
                                <w:r>
                                  <w:rPr>
                                    <w:b/>
                                    <w:color w:val="000000"/>
                                    <w:sz w:val="30"/>
                                  </w:rPr>
                                  <w:t>Independent third-party verification</w:t>
                                </w:r>
                              </w:p>
                            </w:txbxContent>
                          </wps:txbx>
                          <wps:bodyPr spcFirstLastPara="1" wrap="square" lIns="106675" tIns="106675" rIns="106675" bIns="106675" anchor="ctr" anchorCtr="0">
                            <a:noAutofit/>
                          </wps:bodyPr>
                        </wps:wsp>
                        <wps:wsp>
                          <wps:cNvPr id="23" name="Callout: Up Arrow 23"/>
                          <wps:cNvSpPr/>
                          <wps:spPr>
                            <a:xfrm rot="10800000">
                              <a:off x="0" y="836542"/>
                              <a:ext cx="5486400" cy="421801"/>
                            </a:xfrm>
                            <a:prstGeom prst="upArrowCallout">
                              <a:avLst>
                                <a:gd name="adj1" fmla="val 25000"/>
                                <a:gd name="adj2" fmla="val 25000"/>
                                <a:gd name="adj3" fmla="val 25000"/>
                                <a:gd name="adj4" fmla="val 64977"/>
                              </a:avLst>
                            </a:prstGeom>
                            <a:solidFill>
                              <a:srgbClr val="46BC57"/>
                            </a:solidFill>
                            <a:ln>
                              <a:noFill/>
                            </a:ln>
                          </wps:spPr>
                          <wps:txbx>
                            <w:txbxContent>
                              <w:p w14:paraId="730C7519"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24" name="Text Box 24"/>
                          <wps:cNvSpPr txBox="1"/>
                          <wps:spPr>
                            <a:xfrm>
                              <a:off x="0" y="836542"/>
                              <a:ext cx="5486400" cy="274074"/>
                            </a:xfrm>
                            <a:prstGeom prst="rect">
                              <a:avLst/>
                            </a:prstGeom>
                            <a:noFill/>
                            <a:ln>
                              <a:noFill/>
                            </a:ln>
                          </wps:spPr>
                          <wps:txbx>
                            <w:txbxContent>
                              <w:p w14:paraId="3BE4428B" w14:textId="77777777" w:rsidR="00C32FB1" w:rsidRDefault="00236BEC">
                                <w:pPr>
                                  <w:spacing w:after="0" w:line="215" w:lineRule="auto"/>
                                  <w:jc w:val="center"/>
                                  <w:textDirection w:val="btLr"/>
                                </w:pPr>
                                <w:r>
                                  <w:rPr>
                                    <w:b/>
                                    <w:color w:val="000000"/>
                                    <w:sz w:val="30"/>
                                  </w:rPr>
                                  <w:t>Standardised data validation</w:t>
                                </w:r>
                              </w:p>
                            </w:txbxContent>
                          </wps:txbx>
                          <wps:bodyPr spcFirstLastPara="1" wrap="square" lIns="106675" tIns="106675" rIns="106675" bIns="106675" anchor="ctr" anchorCtr="0">
                            <a:noAutofit/>
                          </wps:bodyPr>
                        </wps:wsp>
                        <wps:wsp>
                          <wps:cNvPr id="25" name="Callout: Up Arrow 25"/>
                          <wps:cNvSpPr/>
                          <wps:spPr>
                            <a:xfrm rot="10800000">
                              <a:off x="0" y="418855"/>
                              <a:ext cx="5486400" cy="421801"/>
                            </a:xfrm>
                            <a:prstGeom prst="upArrowCallout">
                              <a:avLst>
                                <a:gd name="adj1" fmla="val 25000"/>
                                <a:gd name="adj2" fmla="val 25000"/>
                                <a:gd name="adj3" fmla="val 25000"/>
                                <a:gd name="adj4" fmla="val 64977"/>
                              </a:avLst>
                            </a:prstGeom>
                            <a:solidFill>
                              <a:srgbClr val="55B445"/>
                            </a:solidFill>
                            <a:ln>
                              <a:noFill/>
                            </a:ln>
                          </wps:spPr>
                          <wps:txbx>
                            <w:txbxContent>
                              <w:p w14:paraId="3FAE5652"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26" name="Text Box 26"/>
                          <wps:cNvSpPr txBox="1"/>
                          <wps:spPr>
                            <a:xfrm>
                              <a:off x="0" y="418855"/>
                              <a:ext cx="5486400" cy="274074"/>
                            </a:xfrm>
                            <a:prstGeom prst="rect">
                              <a:avLst/>
                            </a:prstGeom>
                            <a:noFill/>
                            <a:ln>
                              <a:noFill/>
                            </a:ln>
                          </wps:spPr>
                          <wps:txbx>
                            <w:txbxContent>
                              <w:p w14:paraId="0B06AFA0" w14:textId="77777777" w:rsidR="00C32FB1" w:rsidRDefault="00236BEC">
                                <w:pPr>
                                  <w:spacing w:after="0" w:line="215" w:lineRule="auto"/>
                                  <w:jc w:val="center"/>
                                  <w:textDirection w:val="btLr"/>
                                </w:pPr>
                                <w:r>
                                  <w:rPr>
                                    <w:b/>
                                    <w:color w:val="000000"/>
                                    <w:sz w:val="30"/>
                                  </w:rPr>
                                  <w:t>Operational data capture</w:t>
                                </w:r>
                              </w:p>
                            </w:txbxContent>
                          </wps:txbx>
                          <wps:bodyPr spcFirstLastPara="1" wrap="square" lIns="106675" tIns="106675" rIns="106675" bIns="106675" anchor="ctr" anchorCtr="0">
                            <a:noAutofit/>
                          </wps:bodyPr>
                        </wps:wsp>
                        <wps:wsp>
                          <wps:cNvPr id="27" name="Callout: Up Arrow 27"/>
                          <wps:cNvSpPr/>
                          <wps:spPr>
                            <a:xfrm rot="10800000">
                              <a:off x="0" y="1167"/>
                              <a:ext cx="5486400" cy="421801"/>
                            </a:xfrm>
                            <a:prstGeom prst="upArrowCallout">
                              <a:avLst>
                                <a:gd name="adj1" fmla="val 25000"/>
                                <a:gd name="adj2" fmla="val 25000"/>
                                <a:gd name="adj3" fmla="val 25000"/>
                                <a:gd name="adj4" fmla="val 64977"/>
                              </a:avLst>
                            </a:prstGeom>
                            <a:solidFill>
                              <a:srgbClr val="6FAB46"/>
                            </a:solidFill>
                            <a:ln>
                              <a:noFill/>
                            </a:ln>
                          </wps:spPr>
                          <wps:txbx>
                            <w:txbxContent>
                              <w:p w14:paraId="114F48DA" w14:textId="77777777" w:rsidR="00C32FB1" w:rsidRDefault="00C32FB1">
                                <w:pPr>
                                  <w:spacing w:after="0" w:line="240" w:lineRule="auto"/>
                                  <w:jc w:val="left"/>
                                  <w:textDirection w:val="btLr"/>
                                </w:pPr>
                              </w:p>
                            </w:txbxContent>
                          </wps:txbx>
                          <wps:bodyPr spcFirstLastPara="1" wrap="square" lIns="91425" tIns="91425" rIns="91425" bIns="91425" anchor="ctr" anchorCtr="0">
                            <a:noAutofit/>
                          </wps:bodyPr>
                        </wps:wsp>
                        <wps:wsp>
                          <wps:cNvPr id="28" name="Text Box 28"/>
                          <wps:cNvSpPr txBox="1"/>
                          <wps:spPr>
                            <a:xfrm>
                              <a:off x="0" y="1167"/>
                              <a:ext cx="5486400" cy="274074"/>
                            </a:xfrm>
                            <a:prstGeom prst="rect">
                              <a:avLst/>
                            </a:prstGeom>
                            <a:noFill/>
                            <a:ln>
                              <a:noFill/>
                            </a:ln>
                          </wps:spPr>
                          <wps:txbx>
                            <w:txbxContent>
                              <w:p w14:paraId="11DCF98B" w14:textId="77777777" w:rsidR="00C32FB1" w:rsidRDefault="00236BEC">
                                <w:pPr>
                                  <w:spacing w:after="0" w:line="215" w:lineRule="auto"/>
                                  <w:jc w:val="center"/>
                                  <w:textDirection w:val="btLr"/>
                                </w:pPr>
                                <w:r>
                                  <w:rPr>
                                    <w:b/>
                                    <w:color w:val="000000"/>
                                    <w:sz w:val="30"/>
                                  </w:rPr>
                                  <w:t>Mineral extraction</w:t>
                                </w:r>
                              </w:p>
                            </w:txbxContent>
                          </wps:txbx>
                          <wps:bodyPr spcFirstLastPara="1" wrap="square" lIns="106675" tIns="106675" rIns="106675" bIns="106675" anchor="ctr" anchorCtr="0">
                            <a:noAutofit/>
                          </wps:bodyPr>
                        </wps:wsp>
                      </wpg:grpSp>
                    </wpg:wgp>
                  </a:graphicData>
                </a:graphic>
              </wp:inline>
            </w:drawing>
          </mc:Choice>
          <mc:Fallback>
            <w:pict>
              <v:group w14:anchorId="62D0FEEC" id="Group 1" o:spid="_x0000_s1026" style="width:398.85pt;height:378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">
                <v:group id="Group 11"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rect id="Rectangle 12"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" filled="f" stroked="f">
                    <v:textbox inset="2.53958mm,2.53958mm,2.53958mm,2.53958mm">
                      <w:txbxContent>
                        <w:p w14:paraId="475C702C" w14:textId="77777777" w:rsidR="00C32FB1" w:rsidRDefault="00C32FB1">
                          <w:pPr>
                            <w:spacing w:after="0" w:line="240" w:lineRule="auto"/>
                            <w:jc w:val="left"/>
                            <w:textDirection w:val="btLr"/>
                          </w:pPr>
                        </w:p>
                      </w:txbxContent>
                    </v:textbox>
                  </v:rect>
                  <v:rect id="Rectangle 13" o:spid="_x0000_s1029" style="position:absolute;top:29249;width:54864;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" fillcolor="#5998d4" stroked="f">
                    <v:textbox inset="2.53958mm,2.53958mm,2.53958mm,2.53958mm">
                      <w:txbxContent>
                        <w:p w14:paraId="2954F830" w14:textId="77777777" w:rsidR="00C32FB1" w:rsidRDefault="00C32FB1">
                          <w:pPr>
                            <w:spacing w:after="0" w:line="240" w:lineRule="auto"/>
                            <w:jc w:val="left"/>
                            <w:textDirection w:val="btLr"/>
                          </w:pPr>
                        </w:p>
                      </w:txbxContent>
                    </v:textbox>
                  </v:rect>
                  <v:shapetype id="_x0000_t202" coordsize="21600,21600" o:spt="202" path="m,l,21600r21600,l21600,xe">
                    <v:stroke joinstyle="miter"/>
                    <v:path gradientshapeok="t" o:connecttype="rect"/>
                  </v:shapetype>
                  <v:shape id="Text Box 14" o:spid="_x0000_s1030" type="#_x0000_t202" style="position:absolute;top:29249;width:54864;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" filled="f" stroked="f">
                    <v:textbox inset="2.96319mm,2.96319mm,2.96319mm,2.96319mm">
                      <w:txbxContent>
                        <w:p w14:paraId="21E16BB1" w14:textId="77777777" w:rsidR="00C32FB1" w:rsidRDefault="00236BEC">
                          <w:pPr>
                            <w:spacing w:after="0" w:line="215" w:lineRule="auto"/>
                            <w:jc w:val="center"/>
                            <w:textDirection w:val="btLr"/>
                          </w:pPr>
                          <w:r>
                            <w:rPr>
                              <w:b/>
                              <w:color w:val="000000"/>
                              <w:sz w:val="30"/>
                            </w:rPr>
                            <w:t>Periodic review and correction</w:t>
                          </w:r>
                        </w:p>
                      </w:txbxContent>
                    </v:textbox>
                  </v:shape>
                  <v:shapetype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Callout: Up Arrow 15" o:spid="_x0000_s1031" type="#_x0000_t79" style="position:absolute;top:25072;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" adj="7565,10385,5400,10592" fillcolor="#55b6d0" stroked="f">
                    <v:textbox inset="2.53958mm,2.53958mm,2.53958mm,2.53958mm">
                      <w:txbxContent>
                        <w:p w14:paraId="27D64535" w14:textId="77777777" w:rsidR="00C32FB1" w:rsidRDefault="00C32FB1">
                          <w:pPr>
                            <w:spacing w:after="0" w:line="240" w:lineRule="auto"/>
                            <w:jc w:val="left"/>
                            <w:textDirection w:val="btLr"/>
                          </w:pPr>
                        </w:p>
                      </w:txbxContent>
                    </v:textbox>
                  </v:shape>
                  <v:shape id="Text Box 16" o:spid="_x0000_s1032" type="#_x0000_t202" style="position:absolute;top:25072;width:54864;height:2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" filled="f" stroked="f">
                    <v:textbox inset="2.96319mm,2.96319mm,2.96319mm,2.96319mm">
                      <w:txbxContent>
                        <w:p w14:paraId="75A6532C" w14:textId="77777777" w:rsidR="00C32FB1" w:rsidRDefault="00236BEC">
                          <w:pPr>
                            <w:spacing w:after="0" w:line="215" w:lineRule="auto"/>
                            <w:jc w:val="center"/>
                            <w:textDirection w:val="btLr"/>
                          </w:pPr>
                          <w:r>
                            <w:rPr>
                              <w:b/>
                              <w:color w:val="000000"/>
                              <w:sz w:val="30"/>
                            </w:rPr>
                            <w:t>Customer ESG and Scope 3 reporting</w:t>
                          </w:r>
                        </w:p>
                      </w:txbxContent>
                    </v:textbox>
                  </v:shape>
                  <v:shape id="Callout: Up Arrow 17" o:spid="_x0000_s1033" type="#_x0000_t79" style="position:absolute;top:20896;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" adj="7565,10385,5400,10592" fillcolor="#51cbc3" stroked="f">
                    <v:textbox inset="2.53958mm,2.53958mm,2.53958mm,2.53958mm">
                      <w:txbxContent>
                        <w:p w14:paraId="6E9E08D7" w14:textId="77777777" w:rsidR="00C32FB1" w:rsidRDefault="00C32FB1">
                          <w:pPr>
                            <w:spacing w:after="0" w:line="240" w:lineRule="auto"/>
                            <w:jc w:val="left"/>
                            <w:textDirection w:val="btLr"/>
                          </w:pPr>
                        </w:p>
                      </w:txbxContent>
                    </v:textbox>
                  </v:shape>
                  <v:shape id="Text Box 18" o:spid="_x0000_s1034" type="#_x0000_t202" style="position:absolute;top:20896;width:54864;height:27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" filled="f" stroked="f">
                    <v:textbox inset="2.96319mm,2.96319mm,2.96319mm,2.96319mm">
                      <w:txbxContent>
                        <w:p w14:paraId="2E95EB3D" w14:textId="77777777" w:rsidR="00C32FB1" w:rsidRDefault="00236BEC">
                          <w:pPr>
                            <w:spacing w:after="0" w:line="215" w:lineRule="auto"/>
                            <w:jc w:val="center"/>
                            <w:textDirection w:val="btLr"/>
                          </w:pPr>
                          <w:r>
                            <w:rPr>
                              <w:b/>
                              <w:color w:val="000000"/>
                              <w:sz w:val="30"/>
                            </w:rPr>
                            <w:t>Secure dashboard and QR access</w:t>
                          </w:r>
                        </w:p>
                      </w:txbxContent>
                    </v:textbox>
                  </v:shape>
                  <v:shape id="Callout: Up Arrow 19" o:spid="_x0000_s1035" type="#_x0000_t79" style="position:absolute;top:16719;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" adj="7565,10385,5400,10592" fillcolor="#4dc69e" stroked="f">
                    <v:textbox inset="2.53958mm,2.53958mm,2.53958mm,2.53958mm">
                      <w:txbxContent>
                        <w:p w14:paraId="4AB0D4AA" w14:textId="77777777" w:rsidR="00C32FB1" w:rsidRDefault="00C32FB1">
                          <w:pPr>
                            <w:spacing w:after="0" w:line="240" w:lineRule="auto"/>
                            <w:jc w:val="left"/>
                            <w:textDirection w:val="btLr"/>
                          </w:pPr>
                        </w:p>
                      </w:txbxContent>
                    </v:textbox>
                  </v:shape>
                  <v:shape id="Text Box 20" o:spid="_x0000_s1036" type="#_x0000_t202" style="position:absolute;top:16719;width:54864;height:27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" filled="f" stroked="f">
                    <v:textbox inset="2.96319mm,2.96319mm,2.96319mm,2.96319mm">
                      <w:txbxContent>
                        <w:p w14:paraId="091213D9" w14:textId="77777777" w:rsidR="00C32FB1" w:rsidRDefault="00236BEC">
                          <w:pPr>
                            <w:spacing w:after="0" w:line="215" w:lineRule="auto"/>
                            <w:jc w:val="center"/>
                            <w:textDirection w:val="btLr"/>
                          </w:pPr>
                          <w:r>
                            <w:rPr>
                              <w:b/>
                              <w:color w:val="000000"/>
                              <w:sz w:val="30"/>
                            </w:rPr>
                            <w:t>Digital mineral passport creation</w:t>
                          </w:r>
                        </w:p>
                      </w:txbxContent>
                    </v:textbox>
                  </v:shape>
                  <v:shape id="Callout: Up Arrow 21" o:spid="_x0000_s1037" type="#_x0000_t79" style="position:absolute;top:12542;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" adj="7565,10385,5400,10592" fillcolor="#4ac17a" stroked="f">
                    <v:textbox inset="2.53958mm,2.53958mm,2.53958mm,2.53958mm">
                      <w:txbxContent>
                        <w:p w14:paraId="558C65AE" w14:textId="77777777" w:rsidR="00C32FB1" w:rsidRDefault="00C32FB1">
                          <w:pPr>
                            <w:spacing w:after="0" w:line="240" w:lineRule="auto"/>
                            <w:jc w:val="left"/>
                            <w:textDirection w:val="btLr"/>
                          </w:pPr>
                        </w:p>
                      </w:txbxContent>
                    </v:textbox>
                  </v:shape>
                  <v:shape id="Text Box 22" o:spid="_x0000_s1038" type="#_x0000_t202" style="position:absolute;top:12542;width:54864;height:2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" filled="f" stroked="f">
                    <v:textbox inset="2.96319mm,2.96319mm,2.96319mm,2.96319mm">
                      <w:txbxContent>
                        <w:p w14:paraId="6DAE5910" w14:textId="77777777" w:rsidR="00C32FB1" w:rsidRDefault="00236BEC">
                          <w:pPr>
                            <w:spacing w:after="0" w:line="215" w:lineRule="auto"/>
                            <w:jc w:val="center"/>
                            <w:textDirection w:val="btLr"/>
                          </w:pPr>
                          <w:r>
                            <w:rPr>
                              <w:b/>
                              <w:color w:val="000000"/>
                              <w:sz w:val="30"/>
                            </w:rPr>
                            <w:t>Independent third-party verification</w:t>
                          </w:r>
                        </w:p>
                      </w:txbxContent>
                    </v:textbox>
                  </v:shape>
                  <v:shape id="Callout: Up Arrow 23" o:spid="_x0000_s1039" type="#_x0000_t79" style="position:absolute;top:8365;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" adj="7565,10385,5400,10592" fillcolor="#46bc57" stroked="f">
                    <v:textbox inset="2.53958mm,2.53958mm,2.53958mm,2.53958mm">
                      <w:txbxContent>
                        <w:p w14:paraId="730C7519" w14:textId="77777777" w:rsidR="00C32FB1" w:rsidRDefault="00C32FB1">
                          <w:pPr>
                            <w:spacing w:after="0" w:line="240" w:lineRule="auto"/>
                            <w:jc w:val="left"/>
                            <w:textDirection w:val="btLr"/>
                          </w:pPr>
                        </w:p>
                      </w:txbxContent>
                    </v:textbox>
                  </v:shape>
                  <v:shape id="Text Box 24" o:spid="_x0000_s1040" type="#_x0000_t202" style="position:absolute;top:8365;width:54864;height:2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" filled="f" stroked="f">
                    <v:textbox inset="2.96319mm,2.96319mm,2.96319mm,2.96319mm">
                      <w:txbxContent>
                        <w:p w14:paraId="3BE4428B" w14:textId="77777777" w:rsidR="00C32FB1" w:rsidRDefault="00236BEC">
                          <w:pPr>
                            <w:spacing w:after="0" w:line="215" w:lineRule="auto"/>
                            <w:jc w:val="center"/>
                            <w:textDirection w:val="btLr"/>
                          </w:pPr>
                          <w:r>
                            <w:rPr>
                              <w:b/>
                              <w:color w:val="000000"/>
                              <w:sz w:val="30"/>
                            </w:rPr>
                            <w:t>Standardised data validation</w:t>
                          </w:r>
                        </w:p>
                      </w:txbxContent>
                    </v:textbox>
                  </v:shape>
                  <v:shape id="Callout: Up Arrow 25" o:spid="_x0000_s1041" type="#_x0000_t79" style="position:absolute;top:4188;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" adj="7565,10385,5400,10592" fillcolor="#55b445" stroked="f">
                    <v:textbox inset="2.53958mm,2.53958mm,2.53958mm,2.53958mm">
                      <w:txbxContent>
                        <w:p w14:paraId="3FAE5652" w14:textId="77777777" w:rsidR="00C32FB1" w:rsidRDefault="00C32FB1">
                          <w:pPr>
                            <w:spacing w:after="0" w:line="240" w:lineRule="auto"/>
                            <w:jc w:val="left"/>
                            <w:textDirection w:val="btLr"/>
                          </w:pPr>
                        </w:p>
                      </w:txbxContent>
                    </v:textbox>
                  </v:shape>
                  <v:shape id="Text Box 26" o:spid="_x0000_s1042" type="#_x0000_t202" style="position:absolute;top:4188;width:54864;height:2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" filled="f" stroked="f">
                    <v:textbox inset="2.96319mm,2.96319mm,2.96319mm,2.96319mm">
                      <w:txbxContent>
                        <w:p w14:paraId="0B06AFA0" w14:textId="77777777" w:rsidR="00C32FB1" w:rsidRDefault="00236BEC">
                          <w:pPr>
                            <w:spacing w:after="0" w:line="215" w:lineRule="auto"/>
                            <w:jc w:val="center"/>
                            <w:textDirection w:val="btLr"/>
                          </w:pPr>
                          <w:r>
                            <w:rPr>
                              <w:b/>
                              <w:color w:val="000000"/>
                              <w:sz w:val="30"/>
                            </w:rPr>
                            <w:t>Operational data capture</w:t>
                          </w:r>
                        </w:p>
                      </w:txbxContent>
                    </v:textbox>
                  </v:shape>
                  <v:shape id="Callout: Up Arrow 27" o:spid="_x0000_s1043" type="#_x0000_t79" style="position:absolute;top:11;width:54864;height:421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" adj="7565,10385,5400,10592" fillcolor="#6fab46" stroked="f">
                    <v:textbox inset="2.53958mm,2.53958mm,2.53958mm,2.53958mm">
                      <w:txbxContent>
                        <w:p w14:paraId="114F48DA" w14:textId="77777777" w:rsidR="00C32FB1" w:rsidRDefault="00C32FB1">
                          <w:pPr>
                            <w:spacing w:after="0" w:line="240" w:lineRule="auto"/>
                            <w:jc w:val="left"/>
                            <w:textDirection w:val="btLr"/>
                          </w:pPr>
                        </w:p>
                      </w:txbxContent>
                    </v:textbox>
                  </v:shape>
                  <v:shape id="Text Box 28" o:spid="_x0000_s1044" type="#_x0000_t202" style="position:absolute;top:11;width:54864;height:27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" filled="f" stroked="f">
                    <v:textbox inset="2.96319mm,2.96319mm,2.96319mm,2.96319mm">
                      <w:txbxContent>
                        <w:p w14:paraId="11DCF98B" w14:textId="77777777" w:rsidR="00C32FB1" w:rsidRDefault="00236BEC">
                          <w:pPr>
                            <w:spacing w:after="0" w:line="215" w:lineRule="auto"/>
                            <w:jc w:val="center"/>
                            <w:textDirection w:val="btLr"/>
                          </w:pPr>
                          <w:r>
                            <w:rPr>
                              <w:b/>
                              <w:color w:val="000000"/>
                              <w:sz w:val="30"/>
                            </w:rPr>
                            <w:t>Mineral extraction</w:t>
                          </w:r>
                        </w:p>
                      </w:txbxContent>
                    </v:textbox>
                  </v:shape>
                </v:group>
                <w10:anchorlock/>
              </v:group>
            </w:pict>
          </mc:Fallback>
        </mc:AlternateContent>
      </w:r>
    </w:p>
    <w:p w14:paraId="687A02AB" w14:textId="77777777" w:rsidR="00C32FB1" w:rsidRPr="00577F1E" w:rsidRDefault="00236BEC">
      <w:pPr>
        <w:jc w:val="center"/>
        <w:rPr>
          <w:rFonts w:ascii="Arial" w:eastAsia="Arial" w:hAnsi="Arial" w:cs="Arial"/>
          <w:b/>
          <w:bCs/>
        </w:rPr>
      </w:pPr>
      <w:r w:rsidRPr="00577F1E">
        <w:rPr>
          <w:rFonts w:ascii="Arial" w:eastAsia="Arial" w:hAnsi="Arial" w:cs="Arial"/>
          <w:b/>
          <w:bCs/>
        </w:rPr>
        <w:t>Figure 5: Proposed Anglo GreenTrace Service-Delivery Process</w:t>
      </w:r>
    </w:p>
    <w:p w14:paraId="2BC552E8" w14:textId="77777777" w:rsidR="00C32FB1" w:rsidRPr="00577F1E" w:rsidRDefault="00236BEC">
      <w:pPr>
        <w:jc w:val="center"/>
        <w:rPr>
          <w:rFonts w:ascii="Arial" w:eastAsia="Arial" w:hAnsi="Arial" w:cs="Arial"/>
        </w:rPr>
      </w:pPr>
      <w:r w:rsidRPr="00577F1E">
        <w:rPr>
          <w:rFonts w:ascii="Arial" w:eastAsia="Arial" w:hAnsi="Arial" w:cs="Arial"/>
        </w:rPr>
        <w:t>(Source: Self-developed)</w:t>
      </w:r>
    </w:p>
    <w:p w14:paraId="4C0A60A1" w14:textId="77777777" w:rsidR="00C32FB1" w:rsidRPr="00577F1E" w:rsidRDefault="00236BEC">
      <w:pPr>
        <w:rPr>
          <w:rFonts w:ascii="Arial" w:eastAsia="Arial" w:hAnsi="Arial" w:cs="Arial"/>
        </w:rPr>
      </w:pPr>
      <w:r w:rsidRPr="00577F1E">
        <w:rPr>
          <w:rFonts w:ascii="Arial" w:eastAsia="Arial" w:hAnsi="Arial" w:cs="Arial"/>
        </w:rPr>
        <w:t>The sequential process shown above includes the steps of mineral extraction, data capture, data being validated through a standard process, independent validation, mineral passport generation, secure customer access, reporting and review. A timeline of when the above information is recorded, ownership and control over each record will be required. When creating an onboarding, reporting requirement, API permissions, and users will be put in place. The status of transport and environmental indicators may change continuously while the status for assured environmental indicators may be updated on a regular basis. Customers must have a path to submit missing or broken data. Access logs, backups and cybersecurity monitoring are required as records can be changed and will affect both parties negatively. Anglo American’s Scope 1 and 2 emissions fell 14.4% to 6.3 MtCO</w:t>
      </w:r>
      <w:r w:rsidRPr="00577F1E">
        <w:rPr>
          <w:rFonts w:ascii="Cambria Math" w:eastAsia="Arial" w:hAnsi="Cambria Math" w:cs="Cambria Math"/>
        </w:rPr>
        <w:t>₂</w:t>
      </w:r>
      <w:r w:rsidRPr="00577F1E">
        <w:rPr>
          <w:rFonts w:ascii="Arial" w:eastAsia="Arial" w:hAnsi="Arial" w:cs="Arial"/>
        </w:rPr>
        <w:t>e in 2025 (Anglo American, 2026a). This process will apply the correct verified information to each shipment and not simply re-create corporate information.</w:t>
      </w:r>
    </w:p>
    <w:p w14:paraId="4529CBDE" w14:textId="77777777" w:rsidR="00C32FB1" w:rsidRPr="00577F1E" w:rsidRDefault="00236BEC">
      <w:pPr>
        <w:pStyle w:val="Heading2"/>
      </w:pPr>
      <w:bookmarkStart w:id="14" w:name="_Toc235733516"/>
      <w:r w:rsidRPr="00577F1E">
        <w:t>3.7 Physical Evidence</w:t>
      </w:r>
      <w:bookmarkEnd w:id="14"/>
    </w:p>
    <w:p w14:paraId="6F7ED325" w14:textId="77777777" w:rsidR="00C32FB1" w:rsidRPr="00577F1E" w:rsidRDefault="00236BEC">
      <w:pPr>
        <w:rPr>
          <w:rFonts w:ascii="Arial" w:eastAsia="Arial" w:hAnsi="Arial" w:cs="Arial"/>
        </w:rPr>
      </w:pPr>
      <w:r w:rsidRPr="00577F1E">
        <w:rPr>
          <w:rFonts w:ascii="Arial" w:eastAsia="Arial" w:hAnsi="Arial" w:cs="Arial"/>
        </w:rPr>
        <w:t xml:space="preserve">As stated by </w:t>
      </w:r>
      <w:r w:rsidRPr="00577F1E">
        <w:rPr>
          <w:rFonts w:ascii="Arial" w:eastAsia="Arial" w:hAnsi="Arial" w:cs="Arial"/>
          <w:color w:val="222222"/>
          <w:highlight w:val="white"/>
        </w:rPr>
        <w:t>Elkemali</w:t>
      </w:r>
      <w:r w:rsidRPr="00577F1E">
        <w:rPr>
          <w:rFonts w:ascii="Arial" w:eastAsia="Arial" w:hAnsi="Arial" w:cs="Arial"/>
        </w:rPr>
        <w:t xml:space="preserve"> (2024), visible evidence is all about reducing uncertainty of the intangible service. In the case of Anglo GreenTrace, this will contain a unique logo, secure portals, dashboards, QR passports, verification certificate, methodology statement, audit report, ESG summary and case studies of some real-time customers. The design ought to resonate with Anglo American's business statement and be associated with transparency and digital innovation. After permission and assurance, certification marks will be used. Print out prototype screens and labelling such will be done, as proposed. For standardized communication, Apollopoulos et al. (2025) found that supplier green certification would lead to improved green procurement, provided that it is communicated effectively. All such documents will, therefore, describe verifiers to be verified, duration of reporting, method of verification and limitations of the verification. </w:t>
      </w:r>
    </w:p>
    <w:p w14:paraId="6F7727ED" w14:textId="77777777" w:rsidR="00C32FB1" w:rsidRPr="00577F1E" w:rsidRDefault="00C32FB1">
      <w:pPr>
        <w:rPr>
          <w:rFonts w:ascii="Arial" w:eastAsia="Arial" w:hAnsi="Arial" w:cs="Arial"/>
        </w:rPr>
      </w:pPr>
    </w:p>
    <w:p w14:paraId="4943A81B" w14:textId="77777777" w:rsidR="00C32FB1" w:rsidRPr="00577F1E" w:rsidRDefault="00236BEC">
      <w:pPr>
        <w:pStyle w:val="Heading1"/>
      </w:pPr>
      <w:bookmarkStart w:id="15" w:name="_Toc235733517"/>
      <w:r w:rsidRPr="00577F1E">
        <w:t>Element 4: Reflection</w:t>
      </w:r>
      <w:bookmarkEnd w:id="15"/>
    </w:p>
    <w:p w14:paraId="4394FB23" w14:textId="77777777" w:rsidR="00C32FB1" w:rsidRPr="00577F1E" w:rsidRDefault="00236BEC">
      <w:pPr>
        <w:rPr>
          <w:rFonts w:ascii="Arial" w:eastAsia="Arial" w:hAnsi="Arial" w:cs="Arial"/>
        </w:rPr>
      </w:pPr>
      <w:r w:rsidRPr="00577F1E">
        <w:rPr>
          <w:rFonts w:ascii="Arial" w:eastAsia="Arial" w:hAnsi="Arial" w:cs="Arial"/>
        </w:rPr>
        <w:t xml:space="preserve">Marketing strategy is all about overseeing business growth in relation to responsible mining and with the development of the Anglo GreenTrace. While considering it to be a responsible brand extension, I came to know it in a much deeper manner. The key challenge was, however, in making the very general sustainability promises honest, actionable and deliverable to the customer as a service. The value of the STDP analysis was discovering specific markets within the bigger picture of the B2B market. I realised that EV, battery and renewable-energy manufacturers value a detailed traceability of minerals, scope 3 information and verified environmental evidence from minerals. The 7Ps tool helped deepen my understanding of the ability to be creative and then make decisions. I found that a sustainable service is more than a pretty name or web app. Concurrently, pricing, access, staff skills and verification methods and physical proof must all play their part. I also became more cautious about greenwashing. Borah et al. (2024) explained the way green knowledge, advertising and trust affect the sustainable buying attitude. This reinforced the need to provide independent assurance for Anglo GreenTrace claims and accurate product level data. </w:t>
      </w:r>
    </w:p>
    <w:p w14:paraId="457333B3" w14:textId="77777777" w:rsidR="00C32FB1" w:rsidRPr="00577F1E" w:rsidRDefault="00236BEC">
      <w:pPr>
        <w:rPr>
          <w:rFonts w:ascii="Arial" w:eastAsia="Arial" w:hAnsi="Arial" w:cs="Arial"/>
        </w:rPr>
      </w:pPr>
      <w:r w:rsidRPr="00577F1E">
        <w:rPr>
          <w:rFonts w:ascii="Arial" w:eastAsia="Arial" w:hAnsi="Arial" w:cs="Arial"/>
        </w:rPr>
        <w:t>Practicing creating the poster improved my visual communication skills and abilities to select information. The biggest hurdle was condensing all the confusing and complicated company information, customer benefits, and sustainability data into a format easily presented in three to five minutes. Employed headings, small messages, statistical callouts, and a process diagram to make the concept understandable. During the preparation and presentation, I became increasingly confident when having to present a technical B2B concept to a non-specialist audience. Algouzi et al. (2023) concluded that presenting and practicing structured means could enhance a students' oral presentation skills. Practicing was, therefore, helpful for me to become more aware of the timing, make things clearer and less dependent on written notes. The feedback that I received while presenting this project helped in my professional development in areas of data interpretation, strategic thinking, creativity and planning skills of the presentation. It also helped me become more familiar with academic integrity. I took care to ensure that all decisions, evaluation and reflection were my own understanding and judgement. In the future, I would evaluate sources earlier, test with potential users and have feedback from the poster. I would also improve my ability to use business to business profits data to interpret a new business, design perceptual maps and confidently communicate limitations. Future marketing plans would be more achievable, factitious and convincing.</w:t>
      </w:r>
    </w:p>
    <w:p w14:paraId="6F932687" w14:textId="77777777" w:rsidR="00C32FB1" w:rsidRPr="00577F1E" w:rsidRDefault="00236BEC">
      <w:pPr>
        <w:jc w:val="left"/>
        <w:rPr>
          <w:rFonts w:ascii="Arial" w:eastAsia="Arial" w:hAnsi="Arial" w:cs="Arial"/>
        </w:rPr>
      </w:pPr>
      <w:r w:rsidRPr="00577F1E">
        <w:rPr>
          <w:rFonts w:ascii="Arial" w:hAnsi="Arial" w:cs="Arial"/>
        </w:rPr>
        <w:br w:type="page"/>
      </w:r>
    </w:p>
    <w:p w14:paraId="7B39F456" w14:textId="77777777" w:rsidR="00C32FB1" w:rsidRPr="00577F1E" w:rsidRDefault="00236BEC">
      <w:pPr>
        <w:pStyle w:val="Heading1"/>
      </w:pPr>
      <w:bookmarkStart w:id="16" w:name="_Toc235733518"/>
      <w:r w:rsidRPr="00577F1E">
        <w:t>Reference List</w:t>
      </w:r>
      <w:bookmarkEnd w:id="16"/>
      <w:r w:rsidRPr="00577F1E">
        <w:t xml:space="preserve"> </w:t>
      </w:r>
    </w:p>
    <w:p w14:paraId="6FF5BA49" w14:textId="77777777" w:rsidR="00577F1E" w:rsidRPr="00577F1E" w:rsidRDefault="00577F1E">
      <w:pPr>
        <w:rPr>
          <w:rFonts w:ascii="Arial" w:eastAsia="Arial" w:hAnsi="Arial" w:cs="Arial"/>
        </w:rPr>
      </w:pPr>
      <w:r w:rsidRPr="00577F1E">
        <w:rPr>
          <w:rFonts w:ascii="Arial" w:eastAsia="Arial" w:hAnsi="Arial" w:cs="Arial"/>
        </w:rPr>
        <w:t xml:space="preserve">Algouzi, S., Alzubi, A.A.F. and Nazim, M. (2023) Strengthening English language undergraduates’ presentation skills: A Blackboard-mediated intervention program. </w:t>
      </w:r>
      <w:r w:rsidRPr="00577F1E">
        <w:rPr>
          <w:rFonts w:ascii="Arial" w:eastAsia="Arial" w:hAnsi="Arial" w:cs="Arial"/>
          <w:i/>
          <w:iCs/>
        </w:rPr>
        <w:t>PLOS ONE</w:t>
      </w:r>
      <w:r w:rsidRPr="00577F1E">
        <w:rPr>
          <w:rFonts w:ascii="Arial" w:eastAsia="Arial" w:hAnsi="Arial" w:cs="Arial"/>
        </w:rPr>
        <w:t>, 18(8), p.e0289936.</w:t>
      </w:r>
    </w:p>
    <w:p w14:paraId="40F88246" w14:textId="77777777" w:rsidR="00577F1E" w:rsidRPr="00577F1E" w:rsidRDefault="00577F1E">
      <w:pPr>
        <w:rPr>
          <w:rFonts w:ascii="Arial" w:eastAsia="Arial" w:hAnsi="Arial" w:cs="Arial"/>
        </w:rPr>
      </w:pPr>
      <w:r w:rsidRPr="00577F1E">
        <w:rPr>
          <w:rFonts w:ascii="Arial" w:eastAsia="Arial" w:hAnsi="Arial" w:cs="Arial"/>
        </w:rPr>
        <w:t xml:space="preserve">Anglo American (2025) </w:t>
      </w:r>
      <w:r w:rsidRPr="00577F1E">
        <w:rPr>
          <w:rFonts w:ascii="Arial" w:eastAsia="Arial" w:hAnsi="Arial" w:cs="Arial"/>
          <w:i/>
          <w:iCs/>
        </w:rPr>
        <w:t>Re-imagining mining to improve people’s lives</w:t>
      </w:r>
      <w:r w:rsidRPr="00577F1E">
        <w:rPr>
          <w:rFonts w:ascii="Arial" w:eastAsia="Arial" w:hAnsi="Arial" w:cs="Arial"/>
        </w:rPr>
        <w:t xml:space="preserve">. Available at: </w:t>
      </w:r>
      <w:hyperlink r:id="rId17">
        <w:r w:rsidRPr="00577F1E">
          <w:rPr>
            <w:rFonts w:ascii="Arial" w:eastAsia="Arial" w:hAnsi="Arial" w:cs="Arial"/>
            <w:color w:val="0563C1"/>
            <w:u w:val="single"/>
          </w:rPr>
          <w:t>https://www.angloamerican.com/~/media/Files/A/Anglo-American-Group-v9/PLC/investors/annual-reporting/2025/aa-annual-report-full-2025.pdf</w:t>
        </w:r>
      </w:hyperlink>
      <w:r w:rsidRPr="00577F1E">
        <w:rPr>
          <w:rFonts w:ascii="Arial" w:eastAsia="Arial" w:hAnsi="Arial" w:cs="Arial"/>
        </w:rPr>
        <w:t xml:space="preserve"> (Accessed: 18 July 2026).</w:t>
      </w:r>
    </w:p>
    <w:p w14:paraId="18AA9145" w14:textId="77777777" w:rsidR="00577F1E" w:rsidRPr="00577F1E" w:rsidRDefault="00577F1E">
      <w:pPr>
        <w:rPr>
          <w:rFonts w:ascii="Arial" w:eastAsia="Arial" w:hAnsi="Arial" w:cs="Arial"/>
        </w:rPr>
      </w:pPr>
      <w:r w:rsidRPr="00577F1E">
        <w:rPr>
          <w:rFonts w:ascii="Arial" w:eastAsia="Arial" w:hAnsi="Arial" w:cs="Arial"/>
        </w:rPr>
        <w:t xml:space="preserve">Anglo American (2025a) </w:t>
      </w:r>
      <w:r w:rsidRPr="00577F1E">
        <w:rPr>
          <w:rFonts w:ascii="Arial" w:eastAsia="Arial" w:hAnsi="Arial" w:cs="Arial"/>
          <w:i/>
          <w:iCs/>
        </w:rPr>
        <w:t>Our business at a glance.</w:t>
      </w:r>
      <w:r w:rsidRPr="00577F1E">
        <w:rPr>
          <w:rFonts w:ascii="Arial" w:eastAsia="Arial" w:hAnsi="Arial" w:cs="Arial"/>
        </w:rPr>
        <w:t xml:space="preserve"> Available at: </w:t>
      </w:r>
      <w:hyperlink r:id="rId18">
        <w:r w:rsidRPr="00577F1E">
          <w:rPr>
            <w:rFonts w:ascii="Arial" w:eastAsia="Arial" w:hAnsi="Arial" w:cs="Arial"/>
            <w:color w:val="0563C1"/>
            <w:u w:val="single"/>
          </w:rPr>
          <w:t>https://www.angloamerican.com/~/media/Files/A/Anglo-American-Group-v9/PLC/documents/modern-slavery-statement-2025.pdf</w:t>
        </w:r>
      </w:hyperlink>
      <w:r w:rsidRPr="00577F1E">
        <w:rPr>
          <w:rFonts w:ascii="Arial" w:eastAsia="Arial" w:hAnsi="Arial" w:cs="Arial"/>
        </w:rPr>
        <w:t xml:space="preserve"> (Accessed: 20 July 2026).</w:t>
      </w:r>
    </w:p>
    <w:p w14:paraId="6293D5BD" w14:textId="77777777" w:rsidR="00577F1E" w:rsidRPr="00577F1E" w:rsidRDefault="00577F1E">
      <w:pPr>
        <w:rPr>
          <w:rFonts w:ascii="Arial" w:eastAsia="Arial" w:hAnsi="Arial" w:cs="Arial"/>
        </w:rPr>
      </w:pPr>
      <w:r w:rsidRPr="00577F1E">
        <w:rPr>
          <w:rFonts w:ascii="Arial" w:eastAsia="Arial" w:hAnsi="Arial" w:cs="Arial"/>
        </w:rPr>
        <w:t xml:space="preserve">Anglo American (2025b) </w:t>
      </w:r>
      <w:r w:rsidRPr="00577F1E">
        <w:rPr>
          <w:rFonts w:ascii="Arial" w:eastAsia="Arial" w:hAnsi="Arial" w:cs="Arial"/>
          <w:i/>
          <w:iCs/>
        </w:rPr>
        <w:t>Financial performance.</w:t>
      </w:r>
      <w:r w:rsidRPr="00577F1E">
        <w:rPr>
          <w:rFonts w:ascii="Arial" w:eastAsia="Arial" w:hAnsi="Arial" w:cs="Arial"/>
        </w:rPr>
        <w:t xml:space="preserve"> Available at: </w:t>
      </w:r>
      <w:hyperlink r:id="rId19">
        <w:r w:rsidRPr="00577F1E">
          <w:rPr>
            <w:rFonts w:ascii="Arial" w:eastAsia="Arial" w:hAnsi="Arial" w:cs="Arial"/>
            <w:color w:val="0563C1"/>
            <w:u w:val="single"/>
          </w:rPr>
          <w:t>https://www.angloamerican.com/investors/annual-reporting</w:t>
        </w:r>
      </w:hyperlink>
      <w:r w:rsidRPr="00577F1E">
        <w:rPr>
          <w:rFonts w:ascii="Arial" w:eastAsia="Arial" w:hAnsi="Arial" w:cs="Arial"/>
        </w:rPr>
        <w:t xml:space="preserve"> (Accessed: 15 July 2026).</w:t>
      </w:r>
    </w:p>
    <w:p w14:paraId="5C7B8D0C" w14:textId="77777777" w:rsidR="00577F1E" w:rsidRPr="00577F1E" w:rsidRDefault="00577F1E">
      <w:pPr>
        <w:rPr>
          <w:rFonts w:ascii="Arial" w:eastAsia="Arial" w:hAnsi="Arial" w:cs="Arial"/>
        </w:rPr>
      </w:pPr>
      <w:r w:rsidRPr="00577F1E">
        <w:rPr>
          <w:rFonts w:ascii="Arial" w:eastAsia="Arial" w:hAnsi="Arial" w:cs="Arial"/>
        </w:rPr>
        <w:t xml:space="preserve">Anglo American (2025c) </w:t>
      </w:r>
      <w:r w:rsidRPr="00577F1E">
        <w:rPr>
          <w:rFonts w:ascii="Arial" w:eastAsia="Arial" w:hAnsi="Arial" w:cs="Arial"/>
          <w:i/>
          <w:iCs/>
        </w:rPr>
        <w:t xml:space="preserve">Sustainability-related disclosure supplement 2025. </w:t>
      </w:r>
      <w:r w:rsidRPr="00577F1E">
        <w:rPr>
          <w:rFonts w:ascii="Arial" w:eastAsia="Arial" w:hAnsi="Arial" w:cs="Arial"/>
        </w:rPr>
        <w:t xml:space="preserve">Available at: </w:t>
      </w:r>
      <w:hyperlink r:id="rId20">
        <w:r w:rsidRPr="00577F1E">
          <w:rPr>
            <w:rFonts w:ascii="Arial" w:eastAsia="Arial" w:hAnsi="Arial" w:cs="Arial"/>
            <w:color w:val="0563C1"/>
            <w:u w:val="single"/>
          </w:rPr>
          <w:t>https://www.angloamerican.com/~/media/Files/A/Anglo-American-Group-v9/PLC/investors/annual-reporting/2025/sustainability-related-disclosure-supplement-2025.pdf</w:t>
        </w:r>
      </w:hyperlink>
      <w:r w:rsidRPr="00577F1E">
        <w:rPr>
          <w:rFonts w:ascii="Arial" w:eastAsia="Arial" w:hAnsi="Arial" w:cs="Arial"/>
        </w:rPr>
        <w:t xml:space="preserve"> (Accessed: 18 July 2026).</w:t>
      </w:r>
    </w:p>
    <w:p w14:paraId="0ADEF9F4" w14:textId="77777777" w:rsidR="00577F1E" w:rsidRPr="00577F1E" w:rsidRDefault="00577F1E">
      <w:pPr>
        <w:rPr>
          <w:rFonts w:ascii="Arial" w:eastAsia="Arial" w:hAnsi="Arial" w:cs="Arial"/>
        </w:rPr>
      </w:pPr>
      <w:r w:rsidRPr="00577F1E">
        <w:rPr>
          <w:rFonts w:ascii="Arial" w:eastAsia="Arial" w:hAnsi="Arial" w:cs="Arial"/>
        </w:rPr>
        <w:t xml:space="preserve">Anglo American (2026) </w:t>
      </w:r>
      <w:r w:rsidRPr="00577F1E">
        <w:rPr>
          <w:rFonts w:ascii="Arial" w:eastAsia="Arial" w:hAnsi="Arial" w:cs="Arial"/>
          <w:i/>
          <w:iCs/>
        </w:rPr>
        <w:t xml:space="preserve">Press releases – 2026. </w:t>
      </w:r>
      <w:r w:rsidRPr="00577F1E">
        <w:rPr>
          <w:rFonts w:ascii="Arial" w:eastAsia="Arial" w:hAnsi="Arial" w:cs="Arial"/>
        </w:rPr>
        <w:t xml:space="preserve">Available at: </w:t>
      </w:r>
      <w:hyperlink r:id="rId21">
        <w:r w:rsidRPr="00577F1E">
          <w:rPr>
            <w:rFonts w:ascii="Arial" w:eastAsia="Arial" w:hAnsi="Arial" w:cs="Arial"/>
            <w:color w:val="0563C1"/>
            <w:u w:val="single"/>
          </w:rPr>
          <w:t>https://www.angloamerican.com/media/press-releases/2026/28-04-2026</w:t>
        </w:r>
      </w:hyperlink>
      <w:r w:rsidRPr="00577F1E">
        <w:rPr>
          <w:rFonts w:ascii="Arial" w:eastAsia="Arial" w:hAnsi="Arial" w:cs="Arial"/>
        </w:rPr>
        <w:t xml:space="preserve"> (Accessed: 20 July 2026).</w:t>
      </w:r>
    </w:p>
    <w:p w14:paraId="2727AB08" w14:textId="77777777" w:rsidR="00577F1E" w:rsidRPr="00577F1E" w:rsidRDefault="00577F1E">
      <w:pPr>
        <w:rPr>
          <w:rFonts w:ascii="Arial" w:eastAsia="Arial" w:hAnsi="Arial" w:cs="Arial"/>
        </w:rPr>
      </w:pPr>
      <w:r w:rsidRPr="00577F1E">
        <w:rPr>
          <w:rFonts w:ascii="Arial" w:eastAsia="Arial" w:hAnsi="Arial" w:cs="Arial"/>
        </w:rPr>
        <w:t xml:space="preserve">Anglo American (2026a) </w:t>
      </w:r>
      <w:r w:rsidRPr="00577F1E">
        <w:rPr>
          <w:rFonts w:ascii="Arial" w:eastAsia="Arial" w:hAnsi="Arial" w:cs="Arial"/>
          <w:i/>
          <w:iCs/>
        </w:rPr>
        <w:t xml:space="preserve">Greenhouse gas emissions performance. </w:t>
      </w:r>
      <w:r w:rsidRPr="00577F1E">
        <w:rPr>
          <w:rFonts w:ascii="Arial" w:eastAsia="Arial" w:hAnsi="Arial" w:cs="Arial"/>
        </w:rPr>
        <w:t xml:space="preserve">Available at: </w:t>
      </w:r>
      <w:hyperlink r:id="rId22">
        <w:r w:rsidRPr="00577F1E">
          <w:rPr>
            <w:rFonts w:ascii="Arial" w:eastAsia="Arial" w:hAnsi="Arial" w:cs="Arial"/>
            <w:color w:val="0563C1"/>
            <w:u w:val="single"/>
          </w:rPr>
          <w:t>https://www.angloamerican.com/sustainability-strategy/healthy-environment/climate/ghg-emissions-data</w:t>
        </w:r>
      </w:hyperlink>
      <w:r w:rsidRPr="00577F1E">
        <w:rPr>
          <w:rFonts w:ascii="Arial" w:eastAsia="Arial" w:hAnsi="Arial" w:cs="Arial"/>
        </w:rPr>
        <w:t xml:space="preserve"> (Accessed: 19 July 2026).</w:t>
      </w:r>
    </w:p>
    <w:p w14:paraId="37D91DE2" w14:textId="77777777" w:rsidR="00577F1E" w:rsidRPr="00577F1E" w:rsidRDefault="00577F1E">
      <w:pPr>
        <w:rPr>
          <w:rFonts w:ascii="Arial" w:eastAsia="Arial" w:hAnsi="Arial" w:cs="Arial"/>
        </w:rPr>
      </w:pPr>
      <w:r w:rsidRPr="00577F1E">
        <w:rPr>
          <w:rFonts w:ascii="Arial" w:eastAsia="Arial" w:hAnsi="Arial" w:cs="Arial"/>
        </w:rPr>
        <w:t xml:space="preserve">Anglo American (2026b) </w:t>
      </w:r>
      <w:r w:rsidRPr="00577F1E">
        <w:rPr>
          <w:rFonts w:ascii="Arial" w:eastAsia="Arial" w:hAnsi="Arial" w:cs="Arial"/>
          <w:i/>
          <w:iCs/>
        </w:rPr>
        <w:t xml:space="preserve">Anglo American full year results 2025. </w:t>
      </w:r>
      <w:r w:rsidRPr="00577F1E">
        <w:rPr>
          <w:rFonts w:ascii="Arial" w:eastAsia="Arial" w:hAnsi="Arial" w:cs="Arial"/>
        </w:rPr>
        <w:t xml:space="preserve">Available at: </w:t>
      </w:r>
      <w:hyperlink r:id="rId23">
        <w:r w:rsidRPr="00577F1E">
          <w:rPr>
            <w:rFonts w:ascii="Arial" w:eastAsia="Arial" w:hAnsi="Arial" w:cs="Arial"/>
            <w:color w:val="0563C1"/>
            <w:u w:val="single"/>
          </w:rPr>
          <w:t>https://www.angloamerican.com/media/press-releases/2026/20-02-2026</w:t>
        </w:r>
      </w:hyperlink>
      <w:r w:rsidRPr="00577F1E">
        <w:rPr>
          <w:rFonts w:ascii="Arial" w:eastAsia="Arial" w:hAnsi="Arial" w:cs="Arial"/>
        </w:rPr>
        <w:t xml:space="preserve"> (Accessed: 19 July 2026).</w:t>
      </w:r>
    </w:p>
    <w:p w14:paraId="1F5C47FC" w14:textId="77777777" w:rsidR="00577F1E" w:rsidRPr="00577F1E" w:rsidRDefault="00577F1E">
      <w:pPr>
        <w:rPr>
          <w:rFonts w:ascii="Arial" w:eastAsia="Arial" w:hAnsi="Arial" w:cs="Arial"/>
        </w:rPr>
      </w:pPr>
      <w:r w:rsidRPr="00577F1E">
        <w:rPr>
          <w:rFonts w:ascii="Arial" w:eastAsia="Arial" w:hAnsi="Arial" w:cs="Arial"/>
        </w:rPr>
        <w:t xml:space="preserve">Angloamerican (2025) </w:t>
      </w:r>
      <w:r w:rsidRPr="00577F1E">
        <w:rPr>
          <w:rFonts w:ascii="Arial" w:eastAsia="Arial" w:hAnsi="Arial" w:cs="Arial"/>
          <w:i/>
          <w:iCs/>
        </w:rPr>
        <w:t xml:space="preserve">Preliminary H2 financial update on FY2025 results. </w:t>
      </w:r>
      <w:r w:rsidRPr="00577F1E">
        <w:rPr>
          <w:rFonts w:ascii="Arial" w:eastAsia="Arial" w:hAnsi="Arial" w:cs="Arial"/>
        </w:rPr>
        <w:t xml:space="preserve">Available at: </w:t>
      </w:r>
      <w:hyperlink r:id="rId24">
        <w:r w:rsidRPr="00577F1E">
          <w:rPr>
            <w:rFonts w:ascii="Arial" w:eastAsia="Arial" w:hAnsi="Arial" w:cs="Arial"/>
            <w:color w:val="0563C1"/>
            <w:u w:val="single"/>
          </w:rPr>
          <w:t>https://www.angloamerican.com/~/media/Files/A/Anglo-American-Group-v9/PLC/media/press-release/releases/2026pr/q4-2025-production-report.pdf</w:t>
        </w:r>
      </w:hyperlink>
      <w:r w:rsidRPr="00577F1E">
        <w:rPr>
          <w:rFonts w:ascii="Arial" w:eastAsia="Arial" w:hAnsi="Arial" w:cs="Arial"/>
        </w:rPr>
        <w:t xml:space="preserve"> (Accessed: 18 July 2026).</w:t>
      </w:r>
    </w:p>
    <w:p w14:paraId="32426311" w14:textId="77777777" w:rsidR="00577F1E" w:rsidRPr="00577F1E" w:rsidRDefault="00577F1E">
      <w:pPr>
        <w:rPr>
          <w:rFonts w:ascii="Arial" w:eastAsia="Arial" w:hAnsi="Arial" w:cs="Arial"/>
        </w:rPr>
      </w:pPr>
      <w:r w:rsidRPr="00577F1E">
        <w:rPr>
          <w:rFonts w:ascii="Arial" w:eastAsia="Arial" w:hAnsi="Arial" w:cs="Arial"/>
        </w:rPr>
        <w:t xml:space="preserve">Apostolopoulos, N., Makris, I., Deirmentzoglou, G.A. and Apostolopoulos, S. (2025) The impact of greenwashing awareness and green perceived benefits on green purchase propensity: The mediating role of green consumer confusion. </w:t>
      </w:r>
      <w:r w:rsidRPr="00577F1E">
        <w:rPr>
          <w:rFonts w:ascii="Arial" w:eastAsia="Arial" w:hAnsi="Arial" w:cs="Arial"/>
          <w:i/>
          <w:iCs/>
        </w:rPr>
        <w:t>Sustainability</w:t>
      </w:r>
      <w:r w:rsidRPr="00577F1E">
        <w:rPr>
          <w:rFonts w:ascii="Arial" w:eastAsia="Arial" w:hAnsi="Arial" w:cs="Arial"/>
        </w:rPr>
        <w:t>, 17(14), p.6589.</w:t>
      </w:r>
    </w:p>
    <w:p w14:paraId="37DF58D2" w14:textId="77777777" w:rsidR="00577F1E" w:rsidRPr="00577F1E" w:rsidRDefault="00577F1E">
      <w:pPr>
        <w:rPr>
          <w:rFonts w:ascii="Arial" w:eastAsia="Arial" w:hAnsi="Arial" w:cs="Arial"/>
        </w:rPr>
      </w:pPr>
      <w:r w:rsidRPr="00577F1E">
        <w:rPr>
          <w:rFonts w:ascii="Arial" w:eastAsia="Arial" w:hAnsi="Arial" w:cs="Arial"/>
        </w:rPr>
        <w:t xml:space="preserve">Borah, P.S., Dogbe, C.S.K. and Marwa, N. (2024) Generation Z’s green purchase behavior: Do green consumer knowledge, consumer social responsibility, green advertising, and green consumer trust matter for sustainable development? </w:t>
      </w:r>
      <w:r w:rsidRPr="00577F1E">
        <w:rPr>
          <w:rFonts w:ascii="Arial" w:eastAsia="Arial" w:hAnsi="Arial" w:cs="Arial"/>
          <w:i/>
          <w:iCs/>
        </w:rPr>
        <w:t>Business Strategy and the Environment</w:t>
      </w:r>
      <w:r w:rsidRPr="00577F1E">
        <w:rPr>
          <w:rFonts w:ascii="Arial" w:eastAsia="Arial" w:hAnsi="Arial" w:cs="Arial"/>
        </w:rPr>
        <w:t>, 33(5), pp.4530–4546.</w:t>
      </w:r>
    </w:p>
    <w:p w14:paraId="0E5F3B5F" w14:textId="77777777" w:rsidR="00577F1E" w:rsidRPr="00577F1E" w:rsidRDefault="00577F1E">
      <w:pPr>
        <w:rPr>
          <w:rFonts w:ascii="Arial" w:eastAsia="Arial" w:hAnsi="Arial" w:cs="Arial"/>
        </w:rPr>
      </w:pPr>
      <w:r w:rsidRPr="00577F1E">
        <w:rPr>
          <w:rFonts w:ascii="Arial" w:eastAsia="Arial" w:hAnsi="Arial" w:cs="Arial"/>
          <w:color w:val="222222"/>
          <w:highlight w:val="white"/>
        </w:rPr>
        <w:t xml:space="preserve">Elkemali, T., (2024) Intangible and tangible investments and future earnings volatility. </w:t>
      </w:r>
      <w:r w:rsidRPr="00577F1E">
        <w:rPr>
          <w:rFonts w:ascii="Arial" w:eastAsia="Arial" w:hAnsi="Arial" w:cs="Arial"/>
          <w:i/>
          <w:iCs/>
          <w:color w:val="222222"/>
          <w:highlight w:val="white"/>
        </w:rPr>
        <w:t>Economies</w:t>
      </w:r>
      <w:r w:rsidRPr="00577F1E">
        <w:rPr>
          <w:rFonts w:ascii="Arial" w:eastAsia="Arial" w:hAnsi="Arial" w:cs="Arial"/>
          <w:color w:val="222222"/>
          <w:highlight w:val="white"/>
        </w:rPr>
        <w:t xml:space="preserve">, </w:t>
      </w:r>
      <w:r w:rsidRPr="00577F1E">
        <w:rPr>
          <w:rFonts w:ascii="Arial" w:eastAsia="Arial" w:hAnsi="Arial" w:cs="Arial"/>
          <w:i/>
          <w:iCs/>
          <w:color w:val="222222"/>
          <w:highlight w:val="white"/>
        </w:rPr>
        <w:t>12</w:t>
      </w:r>
      <w:r w:rsidRPr="00577F1E">
        <w:rPr>
          <w:rFonts w:ascii="Arial" w:eastAsia="Arial" w:hAnsi="Arial" w:cs="Arial"/>
          <w:color w:val="222222"/>
          <w:highlight w:val="white"/>
        </w:rPr>
        <w:t>(6), p.132.</w:t>
      </w:r>
      <w:r w:rsidRPr="00577F1E">
        <w:rPr>
          <w:rFonts w:ascii="Arial" w:eastAsia="Arial" w:hAnsi="Arial" w:cs="Arial"/>
        </w:rPr>
        <w:t xml:space="preserve"> </w:t>
      </w:r>
    </w:p>
    <w:p w14:paraId="76755F22" w14:textId="77777777" w:rsidR="00577F1E" w:rsidRPr="00577F1E" w:rsidRDefault="00577F1E">
      <w:pPr>
        <w:rPr>
          <w:rFonts w:ascii="Arial" w:eastAsia="Arial" w:hAnsi="Arial" w:cs="Arial"/>
        </w:rPr>
      </w:pPr>
      <w:r w:rsidRPr="00577F1E">
        <w:rPr>
          <w:rFonts w:ascii="Arial" w:eastAsia="Arial" w:hAnsi="Arial" w:cs="Arial"/>
        </w:rPr>
        <w:t xml:space="preserve">Iea (2025) </w:t>
      </w:r>
      <w:r w:rsidRPr="00577F1E">
        <w:rPr>
          <w:rFonts w:ascii="Arial" w:eastAsia="Arial" w:hAnsi="Arial" w:cs="Arial"/>
          <w:i/>
          <w:iCs/>
        </w:rPr>
        <w:t>Overview of outlook for key minerals.</w:t>
      </w:r>
      <w:r w:rsidRPr="00577F1E">
        <w:rPr>
          <w:rFonts w:ascii="Arial" w:eastAsia="Arial" w:hAnsi="Arial" w:cs="Arial"/>
        </w:rPr>
        <w:t xml:space="preserve"> Available at: </w:t>
      </w:r>
      <w:hyperlink r:id="rId25">
        <w:r w:rsidRPr="00577F1E">
          <w:rPr>
            <w:rFonts w:ascii="Arial" w:eastAsia="Arial" w:hAnsi="Arial" w:cs="Arial"/>
            <w:color w:val="0563C1"/>
            <w:u w:val="single"/>
          </w:rPr>
          <w:t>https://www.iea.org/reports/global-critical-minerals-outlook-2025/overview-of-outlook-for-key-minerals</w:t>
        </w:r>
      </w:hyperlink>
      <w:r w:rsidRPr="00577F1E">
        <w:rPr>
          <w:rFonts w:ascii="Arial" w:eastAsia="Arial" w:hAnsi="Arial" w:cs="Arial"/>
        </w:rPr>
        <w:t xml:space="preserve"> (Accessed: 20 July 2026).</w:t>
      </w:r>
    </w:p>
    <w:p w14:paraId="0FCFA154" w14:textId="77777777" w:rsidR="00577F1E" w:rsidRPr="00577F1E" w:rsidRDefault="00577F1E">
      <w:pPr>
        <w:rPr>
          <w:rFonts w:ascii="Arial" w:eastAsia="Arial" w:hAnsi="Arial" w:cs="Arial"/>
        </w:rPr>
      </w:pPr>
      <w:r w:rsidRPr="00577F1E">
        <w:rPr>
          <w:rFonts w:ascii="Arial" w:eastAsia="Arial" w:hAnsi="Arial" w:cs="Arial"/>
        </w:rPr>
        <w:t xml:space="preserve">IEA (2026) </w:t>
      </w:r>
      <w:r w:rsidRPr="00577F1E">
        <w:rPr>
          <w:rFonts w:ascii="Arial" w:eastAsia="Arial" w:hAnsi="Arial" w:cs="Arial"/>
          <w:i/>
          <w:iCs/>
        </w:rPr>
        <w:t>Across the three major electric car markets, sales growth was strongest in Europe.</w:t>
      </w:r>
      <w:r w:rsidRPr="00577F1E">
        <w:rPr>
          <w:rFonts w:ascii="Arial" w:eastAsia="Arial" w:hAnsi="Arial" w:cs="Arial"/>
        </w:rPr>
        <w:t xml:space="preserve"> Available at: </w:t>
      </w:r>
      <w:hyperlink r:id="rId26">
        <w:r w:rsidRPr="00577F1E">
          <w:rPr>
            <w:rFonts w:ascii="Arial" w:eastAsia="Arial" w:hAnsi="Arial" w:cs="Arial"/>
            <w:color w:val="0563C1"/>
            <w:u w:val="single"/>
          </w:rPr>
          <w:t>https://www.iea.org/reports/global-ev-outlook-2026/trends-in-electric-cars</w:t>
        </w:r>
      </w:hyperlink>
      <w:r w:rsidRPr="00577F1E">
        <w:rPr>
          <w:rFonts w:ascii="Arial" w:eastAsia="Arial" w:hAnsi="Arial" w:cs="Arial"/>
        </w:rPr>
        <w:t xml:space="preserve"> (Accessed: 19 July 2026).</w:t>
      </w:r>
    </w:p>
    <w:p w14:paraId="2B6CBE4D" w14:textId="77777777" w:rsidR="00577F1E" w:rsidRPr="00577F1E" w:rsidRDefault="00577F1E">
      <w:pPr>
        <w:rPr>
          <w:rFonts w:ascii="Arial" w:eastAsia="Arial" w:hAnsi="Arial" w:cs="Arial"/>
        </w:rPr>
      </w:pPr>
      <w:r w:rsidRPr="00577F1E">
        <w:rPr>
          <w:rFonts w:ascii="Arial" w:eastAsia="Arial" w:hAnsi="Arial" w:cs="Arial"/>
        </w:rPr>
        <w:t xml:space="preserve">IEA (2026a) </w:t>
      </w:r>
      <w:r w:rsidRPr="00577F1E">
        <w:rPr>
          <w:rFonts w:ascii="Arial" w:eastAsia="Arial" w:hAnsi="Arial" w:cs="Arial"/>
          <w:i/>
          <w:iCs/>
        </w:rPr>
        <w:t>Electric vehicle batteries.</w:t>
      </w:r>
      <w:r w:rsidRPr="00577F1E">
        <w:rPr>
          <w:rFonts w:ascii="Arial" w:eastAsia="Arial" w:hAnsi="Arial" w:cs="Arial"/>
        </w:rPr>
        <w:t xml:space="preserve"> Available at: </w:t>
      </w:r>
      <w:hyperlink r:id="rId27">
        <w:r w:rsidRPr="00577F1E">
          <w:rPr>
            <w:rFonts w:ascii="Arial" w:eastAsia="Arial" w:hAnsi="Arial" w:cs="Arial"/>
            <w:color w:val="0563C1"/>
            <w:u w:val="single"/>
          </w:rPr>
          <w:t>https://www.iea.org/reports/global-ev-outlook-2026/electric-vehicle-batteries</w:t>
        </w:r>
      </w:hyperlink>
      <w:r w:rsidRPr="00577F1E">
        <w:rPr>
          <w:rFonts w:ascii="Arial" w:eastAsia="Arial" w:hAnsi="Arial" w:cs="Arial"/>
        </w:rPr>
        <w:t xml:space="preserve"> (Accessed: 15 July 2026).</w:t>
      </w:r>
    </w:p>
    <w:p w14:paraId="05CD5EF3" w14:textId="77777777" w:rsidR="00577F1E" w:rsidRPr="00577F1E" w:rsidRDefault="00577F1E">
      <w:pPr>
        <w:rPr>
          <w:rFonts w:ascii="Arial" w:eastAsia="Arial" w:hAnsi="Arial" w:cs="Arial"/>
        </w:rPr>
      </w:pPr>
      <w:r w:rsidRPr="00577F1E">
        <w:rPr>
          <w:rFonts w:ascii="Arial" w:eastAsia="Arial" w:hAnsi="Arial" w:cs="Arial"/>
          <w:color w:val="222222"/>
          <w:highlight w:val="white"/>
        </w:rPr>
        <w:t xml:space="preserve">Kleinemass, M., Fasters, Y. and Pedroza, R., (2025). How to Responsively Drive the Sustainability Train from a B2B Marketing and Sales Perspective: A Case Study on thyssenkrupp Materials Services’ Greenability Initiative. In </w:t>
      </w:r>
      <w:r w:rsidRPr="00577F1E">
        <w:rPr>
          <w:rFonts w:ascii="Arial" w:eastAsia="Arial" w:hAnsi="Arial" w:cs="Arial"/>
          <w:i/>
          <w:iCs/>
          <w:color w:val="222222"/>
          <w:highlight w:val="white"/>
        </w:rPr>
        <w:t>B2B Marketing Guidebook-Vol. 2: Advanced B2B Marketing Tactics, AI, and Case Studies</w:t>
      </w:r>
      <w:r w:rsidRPr="00577F1E">
        <w:rPr>
          <w:rFonts w:ascii="Arial" w:eastAsia="Arial" w:hAnsi="Arial" w:cs="Arial"/>
          <w:color w:val="222222"/>
          <w:highlight w:val="white"/>
        </w:rPr>
        <w:t xml:space="preserve"> (pp. 695-725). Cham: Springer Nature Switzerland.</w:t>
      </w:r>
      <w:r w:rsidRPr="00577F1E">
        <w:rPr>
          <w:rFonts w:ascii="Arial" w:eastAsia="Arial" w:hAnsi="Arial" w:cs="Arial"/>
        </w:rPr>
        <w:t xml:space="preserve"> </w:t>
      </w:r>
    </w:p>
    <w:p w14:paraId="32C054FD" w14:textId="77777777" w:rsidR="00577F1E" w:rsidRPr="00577F1E" w:rsidRDefault="00577F1E">
      <w:pPr>
        <w:rPr>
          <w:rFonts w:ascii="Arial" w:eastAsia="Arial" w:hAnsi="Arial" w:cs="Arial"/>
        </w:rPr>
      </w:pPr>
      <w:r w:rsidRPr="00577F1E">
        <w:rPr>
          <w:rFonts w:ascii="Arial" w:eastAsia="Arial" w:hAnsi="Arial" w:cs="Arial"/>
        </w:rPr>
        <w:t xml:space="preserve">Kowalkowski, C. and Ulaga, W. (2024) Subscription offers in business-to-business markets: Conceptualization, taxonomy, and framework for growth. </w:t>
      </w:r>
      <w:r w:rsidRPr="00577F1E">
        <w:rPr>
          <w:rFonts w:ascii="Arial" w:eastAsia="Arial" w:hAnsi="Arial" w:cs="Arial"/>
          <w:i/>
          <w:iCs/>
        </w:rPr>
        <w:t>Industrial Marketing Management</w:t>
      </w:r>
      <w:r w:rsidRPr="00577F1E">
        <w:rPr>
          <w:rFonts w:ascii="Arial" w:eastAsia="Arial" w:hAnsi="Arial" w:cs="Arial"/>
        </w:rPr>
        <w:t>, 117, pp.440–456.</w:t>
      </w:r>
    </w:p>
    <w:p w14:paraId="1789370B" w14:textId="77777777" w:rsidR="00577F1E" w:rsidRPr="00577F1E" w:rsidRDefault="00577F1E">
      <w:pPr>
        <w:rPr>
          <w:rFonts w:ascii="Arial" w:eastAsia="Arial" w:hAnsi="Arial" w:cs="Arial"/>
        </w:rPr>
      </w:pPr>
      <w:r w:rsidRPr="00577F1E">
        <w:rPr>
          <w:rFonts w:ascii="Arial" w:eastAsia="Arial" w:hAnsi="Arial" w:cs="Arial"/>
        </w:rPr>
        <w:t xml:space="preserve">Kyrdoda, Y., Marzi, G. and Vianelli, D. (2025) Digital transformation in the B2B context: A review, theorisation and future perspectives. </w:t>
      </w:r>
      <w:r w:rsidRPr="00577F1E">
        <w:rPr>
          <w:rFonts w:ascii="Arial" w:eastAsia="Arial" w:hAnsi="Arial" w:cs="Arial"/>
          <w:i/>
          <w:iCs/>
        </w:rPr>
        <w:t>Industrial Marketing Management</w:t>
      </w:r>
      <w:r w:rsidRPr="00577F1E">
        <w:rPr>
          <w:rFonts w:ascii="Arial" w:eastAsia="Arial" w:hAnsi="Arial" w:cs="Arial"/>
        </w:rPr>
        <w:t>, 129, pp.182–196.</w:t>
      </w:r>
    </w:p>
    <w:p w14:paraId="06115F44" w14:textId="77777777" w:rsidR="00577F1E" w:rsidRPr="00577F1E" w:rsidRDefault="00577F1E">
      <w:pPr>
        <w:rPr>
          <w:rFonts w:ascii="Arial" w:eastAsia="Arial" w:hAnsi="Arial" w:cs="Arial"/>
        </w:rPr>
      </w:pPr>
      <w:r w:rsidRPr="00577F1E">
        <w:rPr>
          <w:rFonts w:ascii="Arial" w:eastAsia="Arial" w:hAnsi="Arial" w:cs="Arial"/>
          <w:color w:val="222222"/>
          <w:highlight w:val="white"/>
        </w:rPr>
        <w:t xml:space="preserve">Papadopoulou, M., Papasolomou, I. and Thrassou, A., (2022) Exploring the level of sustainability awareness among consumers within the fast-fashion clothing industry: a dual business and consumer perspective. </w:t>
      </w:r>
      <w:r w:rsidRPr="00577F1E">
        <w:rPr>
          <w:rFonts w:ascii="Arial" w:eastAsia="Arial" w:hAnsi="Arial" w:cs="Arial"/>
          <w:i/>
          <w:iCs/>
          <w:color w:val="222222"/>
          <w:highlight w:val="white"/>
        </w:rPr>
        <w:t>Competitiveness Review: An International Business Journal</w:t>
      </w:r>
      <w:r w:rsidRPr="00577F1E">
        <w:rPr>
          <w:rFonts w:ascii="Arial" w:eastAsia="Arial" w:hAnsi="Arial" w:cs="Arial"/>
          <w:color w:val="222222"/>
          <w:highlight w:val="white"/>
        </w:rPr>
        <w:t xml:space="preserve">, </w:t>
      </w:r>
      <w:r w:rsidRPr="00577F1E">
        <w:rPr>
          <w:rFonts w:ascii="Arial" w:eastAsia="Arial" w:hAnsi="Arial" w:cs="Arial"/>
          <w:i/>
          <w:iCs/>
          <w:color w:val="222222"/>
          <w:highlight w:val="white"/>
        </w:rPr>
        <w:t>32</w:t>
      </w:r>
      <w:r w:rsidRPr="00577F1E">
        <w:rPr>
          <w:rFonts w:ascii="Arial" w:eastAsia="Arial" w:hAnsi="Arial" w:cs="Arial"/>
          <w:color w:val="222222"/>
          <w:highlight w:val="white"/>
        </w:rPr>
        <w:t>(3), pp.350-375.</w:t>
      </w:r>
      <w:r w:rsidRPr="00577F1E">
        <w:rPr>
          <w:rFonts w:ascii="Arial" w:eastAsia="Arial" w:hAnsi="Arial" w:cs="Arial"/>
        </w:rPr>
        <w:t xml:space="preserve"> </w:t>
      </w:r>
    </w:p>
    <w:p w14:paraId="63806501" w14:textId="77777777" w:rsidR="00577F1E" w:rsidRPr="00577F1E" w:rsidRDefault="00577F1E">
      <w:pPr>
        <w:rPr>
          <w:rFonts w:ascii="Arial" w:eastAsia="Arial" w:hAnsi="Arial" w:cs="Arial"/>
        </w:rPr>
      </w:pPr>
      <w:r w:rsidRPr="00577F1E">
        <w:rPr>
          <w:rFonts w:ascii="Arial" w:eastAsia="Arial" w:hAnsi="Arial" w:cs="Arial"/>
        </w:rPr>
        <w:t xml:space="preserve">Persakis, A., Nikolopoulos, T., Negkakis, I.C. and Pavlopoulos, A. (2025) Greenwashing in marketing: a systematic literature review and bibliometric analysis. </w:t>
      </w:r>
      <w:r w:rsidRPr="00577F1E">
        <w:rPr>
          <w:rFonts w:ascii="Arial" w:eastAsia="Arial" w:hAnsi="Arial" w:cs="Arial"/>
          <w:i/>
          <w:iCs/>
        </w:rPr>
        <w:t>International Review on Public and Nonprofit Marketing</w:t>
      </w:r>
      <w:r w:rsidRPr="00577F1E">
        <w:rPr>
          <w:rFonts w:ascii="Arial" w:eastAsia="Arial" w:hAnsi="Arial" w:cs="Arial"/>
        </w:rPr>
        <w:t>, 22(4), pp.957–992.</w:t>
      </w:r>
    </w:p>
    <w:p w14:paraId="4FAFC522" w14:textId="77777777" w:rsidR="00577F1E" w:rsidRPr="00577F1E" w:rsidRDefault="00577F1E">
      <w:pPr>
        <w:rPr>
          <w:rFonts w:ascii="Arial" w:eastAsia="Arial" w:hAnsi="Arial" w:cs="Arial"/>
        </w:rPr>
      </w:pPr>
      <w:r w:rsidRPr="00577F1E">
        <w:rPr>
          <w:rFonts w:ascii="Arial" w:eastAsia="Arial" w:hAnsi="Arial" w:cs="Arial"/>
          <w:color w:val="222222"/>
          <w:highlight w:val="white"/>
        </w:rPr>
        <w:t xml:space="preserve">Petrik, D., Strobel, G., Schoormann, T., Möller, F., Hoppe-Ludwig, C. and Springer, V., (2026) Digital product passports. </w:t>
      </w:r>
      <w:r w:rsidRPr="00577F1E">
        <w:rPr>
          <w:rFonts w:ascii="Arial" w:eastAsia="Arial" w:hAnsi="Arial" w:cs="Arial"/>
          <w:i/>
          <w:iCs/>
          <w:color w:val="222222"/>
          <w:highlight w:val="white"/>
        </w:rPr>
        <w:t>Electronic Markets</w:t>
      </w:r>
      <w:r w:rsidRPr="00577F1E">
        <w:rPr>
          <w:rFonts w:ascii="Arial" w:eastAsia="Arial" w:hAnsi="Arial" w:cs="Arial"/>
          <w:color w:val="222222"/>
          <w:highlight w:val="white"/>
        </w:rPr>
        <w:t xml:space="preserve">, </w:t>
      </w:r>
      <w:r w:rsidRPr="00577F1E">
        <w:rPr>
          <w:rFonts w:ascii="Arial" w:eastAsia="Arial" w:hAnsi="Arial" w:cs="Arial"/>
          <w:i/>
          <w:iCs/>
          <w:color w:val="222222"/>
          <w:highlight w:val="white"/>
        </w:rPr>
        <w:t>36</w:t>
      </w:r>
      <w:r w:rsidRPr="00577F1E">
        <w:rPr>
          <w:rFonts w:ascii="Arial" w:eastAsia="Arial" w:hAnsi="Arial" w:cs="Arial"/>
          <w:color w:val="222222"/>
          <w:highlight w:val="white"/>
        </w:rPr>
        <w:t>(1), p.25.</w:t>
      </w:r>
      <w:r w:rsidRPr="00577F1E">
        <w:rPr>
          <w:rFonts w:ascii="Arial" w:eastAsia="Arial" w:hAnsi="Arial" w:cs="Arial"/>
        </w:rPr>
        <w:t xml:space="preserve"> </w:t>
      </w:r>
    </w:p>
    <w:p w14:paraId="252A872A" w14:textId="77777777" w:rsidR="00577F1E" w:rsidRPr="00577F1E" w:rsidRDefault="00577F1E">
      <w:pPr>
        <w:rPr>
          <w:rFonts w:ascii="Arial" w:eastAsia="Arial" w:hAnsi="Arial" w:cs="Arial"/>
        </w:rPr>
      </w:pPr>
      <w:r w:rsidRPr="00577F1E">
        <w:rPr>
          <w:rFonts w:ascii="Arial" w:eastAsia="Arial" w:hAnsi="Arial" w:cs="Arial"/>
        </w:rPr>
        <w:t xml:space="preserve">Riotinto (2026) </w:t>
      </w:r>
      <w:r w:rsidRPr="00577F1E">
        <w:rPr>
          <w:rFonts w:ascii="Arial" w:eastAsia="Arial" w:hAnsi="Arial" w:cs="Arial"/>
          <w:i/>
          <w:iCs/>
        </w:rPr>
        <w:t xml:space="preserve">As a global commodities producer, we have an important responsibility to supply the materials the world needs in a sustainable way. </w:t>
      </w:r>
      <w:r w:rsidRPr="00577F1E">
        <w:rPr>
          <w:rFonts w:ascii="Arial" w:eastAsia="Arial" w:hAnsi="Arial" w:cs="Arial"/>
        </w:rPr>
        <w:t xml:space="preserve">Available at: </w:t>
      </w:r>
      <w:hyperlink r:id="rId28">
        <w:r w:rsidRPr="00577F1E">
          <w:rPr>
            <w:rFonts w:ascii="Arial" w:eastAsia="Arial" w:hAnsi="Arial" w:cs="Arial"/>
            <w:color w:val="0563C1"/>
            <w:u w:val="single"/>
          </w:rPr>
          <w:t>https://www.riotinto.com/en/sustainability/ethics-compliance/value-chain/start</w:t>
        </w:r>
      </w:hyperlink>
      <w:r w:rsidRPr="00577F1E">
        <w:rPr>
          <w:rFonts w:ascii="Arial" w:eastAsia="Arial" w:hAnsi="Arial" w:cs="Arial"/>
        </w:rPr>
        <w:t xml:space="preserve"> (Accessed: 20 July 2026).</w:t>
      </w:r>
    </w:p>
    <w:p w14:paraId="6B90199E" w14:textId="77777777" w:rsidR="00577F1E" w:rsidRPr="00577F1E" w:rsidRDefault="00577F1E">
      <w:pPr>
        <w:rPr>
          <w:rFonts w:ascii="Arial" w:eastAsia="Arial" w:hAnsi="Arial" w:cs="Arial"/>
        </w:rPr>
      </w:pPr>
      <w:r w:rsidRPr="00577F1E">
        <w:rPr>
          <w:rFonts w:ascii="Arial" w:eastAsia="Arial" w:hAnsi="Arial" w:cs="Arial"/>
        </w:rPr>
        <w:t xml:space="preserve">Santos, C., Coelho, A. and Cancela, B.L. (2025) The impact of greenwashing on sustainability through green supply chain integration: the moderating role of information sharing. </w:t>
      </w:r>
      <w:r w:rsidRPr="00577F1E">
        <w:rPr>
          <w:rFonts w:ascii="Arial" w:eastAsia="Arial" w:hAnsi="Arial" w:cs="Arial"/>
          <w:i/>
          <w:iCs/>
        </w:rPr>
        <w:t>Environment, Development and Sustainability</w:t>
      </w:r>
      <w:r w:rsidRPr="00577F1E">
        <w:rPr>
          <w:rFonts w:ascii="Arial" w:eastAsia="Arial" w:hAnsi="Arial" w:cs="Arial"/>
        </w:rPr>
        <w:t>, 27(9), pp.21709–21736.</w:t>
      </w:r>
    </w:p>
    <w:p w14:paraId="1233A78E" w14:textId="77777777" w:rsidR="00577F1E" w:rsidRPr="00577F1E" w:rsidRDefault="00577F1E">
      <w:pPr>
        <w:rPr>
          <w:rFonts w:ascii="Arial" w:eastAsia="Arial" w:hAnsi="Arial" w:cs="Arial"/>
        </w:rPr>
      </w:pPr>
      <w:r w:rsidRPr="00577F1E">
        <w:rPr>
          <w:rFonts w:ascii="Arial" w:eastAsia="Arial" w:hAnsi="Arial" w:cs="Arial"/>
        </w:rPr>
        <w:t xml:space="preserve">Sklyar, A., Sörhammar, D., Kowalkowski, C. and Tronvoll, B. (2025) Digital service orientation: unlocking servitization in service operations and service sales. </w:t>
      </w:r>
      <w:r w:rsidRPr="00577F1E">
        <w:rPr>
          <w:rFonts w:ascii="Arial" w:eastAsia="Arial" w:hAnsi="Arial" w:cs="Arial"/>
          <w:i/>
          <w:iCs/>
        </w:rPr>
        <w:t>International Journal of Operations &amp; Production Management</w:t>
      </w:r>
      <w:r w:rsidRPr="00577F1E">
        <w:rPr>
          <w:rFonts w:ascii="Arial" w:eastAsia="Arial" w:hAnsi="Arial" w:cs="Arial"/>
        </w:rPr>
        <w:t>, 45(13), pp.117–139.</w:t>
      </w:r>
    </w:p>
    <w:p w14:paraId="62AFAE74" w14:textId="77777777" w:rsidR="00577F1E" w:rsidRPr="00577F1E" w:rsidRDefault="00577F1E">
      <w:pPr>
        <w:rPr>
          <w:rFonts w:ascii="Arial" w:eastAsia="Arial" w:hAnsi="Arial" w:cs="Arial"/>
        </w:rPr>
      </w:pPr>
      <w:r w:rsidRPr="00577F1E">
        <w:rPr>
          <w:rFonts w:ascii="Arial" w:eastAsia="Arial" w:hAnsi="Arial" w:cs="Arial"/>
        </w:rPr>
        <w:t xml:space="preserve">Vendrell-Herrero, F., Para-González, L., Mascaraque-Ramírez, C. and Freixanet, J. (2024) The order of the factors matters: how digital transformation and servitization integrate more efficiently. </w:t>
      </w:r>
      <w:r w:rsidRPr="00577F1E">
        <w:rPr>
          <w:rFonts w:ascii="Arial" w:eastAsia="Arial" w:hAnsi="Arial" w:cs="Arial"/>
          <w:i/>
          <w:iCs/>
        </w:rPr>
        <w:t>International Journal of Production Economics</w:t>
      </w:r>
      <w:r w:rsidRPr="00577F1E">
        <w:rPr>
          <w:rFonts w:ascii="Arial" w:eastAsia="Arial" w:hAnsi="Arial" w:cs="Arial"/>
        </w:rPr>
        <w:t>, 271, p.109228.</w:t>
      </w:r>
    </w:p>
    <w:sectPr w:rsidR="00577F1E" w:rsidRPr="00577F1E">
      <w:footerReference w:type="default" r:id="rId2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0A2A7" w14:textId="77777777" w:rsidR="00AC0748" w:rsidRDefault="00AC0748">
      <w:pPr>
        <w:spacing w:after="0" w:line="240" w:lineRule="auto"/>
      </w:pPr>
      <w:r>
        <w:separator/>
      </w:r>
    </w:p>
  </w:endnote>
  <w:endnote w:type="continuationSeparator" w:id="0">
    <w:p w14:paraId="2F0E37FD" w14:textId="77777777" w:rsidR="00AC0748" w:rsidRDefault="00AC0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23172FE-8BD7-4E97-9CEE-8233EC6DDE82}"/>
  </w:font>
  <w:font w:name="Cambria Math">
    <w:panose1 w:val="02040503050406030204"/>
    <w:charset w:val="00"/>
    <w:family w:val="roman"/>
    <w:pitch w:val="variable"/>
    <w:sig w:usb0="E00006FF" w:usb1="420024FF" w:usb2="02000000" w:usb3="00000000" w:csb0="0000019F" w:csb1="00000000"/>
    <w:embedRegular r:id="rId2" w:fontKey="{454039C1-843D-4B64-A8C1-605BBA354E40}"/>
  </w:font>
  <w:font w:name="Cambria">
    <w:panose1 w:val="02040503050406030204"/>
    <w:charset w:val="00"/>
    <w:family w:val="roman"/>
    <w:pitch w:val="variable"/>
    <w:sig w:usb0="E00006FF" w:usb1="420024FF" w:usb2="02000000" w:usb3="00000000" w:csb0="0000019F" w:csb1="00000000"/>
    <w:embedRegular r:id="rId3" w:fontKey="{01F63354-9D00-4141-B8CE-18142239A6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2D55B" w14:textId="77777777" w:rsidR="00C32FB1" w:rsidRDefault="00236BEC">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577F1E">
      <w:rPr>
        <w:noProof/>
        <w:color w:val="000000"/>
        <w:sz w:val="20"/>
        <w:szCs w:val="20"/>
      </w:rPr>
      <w:t>1</w:t>
    </w:r>
    <w:r>
      <w:rPr>
        <w:color w:val="000000"/>
        <w:sz w:val="20"/>
        <w:szCs w:val="20"/>
      </w:rPr>
      <w:fldChar w:fldCharType="end"/>
    </w:r>
  </w:p>
  <w:p w14:paraId="44FFFB1F" w14:textId="77777777" w:rsidR="00C32FB1" w:rsidRDefault="00C32FB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C4771" w14:textId="77777777" w:rsidR="00AC0748" w:rsidRDefault="00AC0748">
      <w:pPr>
        <w:spacing w:after="0" w:line="240" w:lineRule="auto"/>
      </w:pPr>
      <w:r>
        <w:separator/>
      </w:r>
    </w:p>
  </w:footnote>
  <w:footnote w:type="continuationSeparator" w:id="0">
    <w:p w14:paraId="46F5320C" w14:textId="77777777" w:rsidR="00AC0748" w:rsidRDefault="00AC074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2FB1"/>
    <w:rsid w:val="000043FD"/>
    <w:rsid w:val="000B4A99"/>
    <w:rsid w:val="000E54C1"/>
    <w:rsid w:val="00236BEC"/>
    <w:rsid w:val="00387193"/>
    <w:rsid w:val="00577F1E"/>
    <w:rsid w:val="006E1086"/>
    <w:rsid w:val="008C240D"/>
    <w:rsid w:val="00AC0748"/>
    <w:rsid w:val="00B21478"/>
    <w:rsid w:val="00C32FB1"/>
    <w:rsid w:val="00CA2644"/>
    <w:rsid w:val="00D73FEC"/>
    <w:rsid w:val="00E15D2E"/>
    <w:rsid w:val="00FD2D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91CF5"/>
  <w15:docId w15:val="{888812F1-3BB8-40DA-8E49-C243EC394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rFonts w:ascii="Arial" w:eastAsia="Arial" w:hAnsi="Arial" w:cs="Arial"/>
      <w:b/>
      <w:bCs/>
    </w:rPr>
  </w:style>
  <w:style w:type="paragraph" w:styleId="Heading2">
    <w:name w:val="heading 2"/>
    <w:basedOn w:val="Normal"/>
    <w:next w:val="Normal"/>
    <w:uiPriority w:val="9"/>
    <w:unhideWhenUsed/>
    <w:qFormat/>
    <w:pPr>
      <w:keepNext/>
      <w:keepLines/>
      <w:spacing w:before="160" w:after="80"/>
      <w:outlineLvl w:val="1"/>
    </w:pPr>
    <w:rPr>
      <w:rFonts w:ascii="Arial" w:eastAsia="Arial" w:hAnsi="Arial" w:cs="Arial"/>
      <w:b/>
      <w:bCs/>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577F1E"/>
    <w:pPr>
      <w:spacing w:after="100"/>
    </w:pPr>
  </w:style>
  <w:style w:type="paragraph" w:styleId="TOC2">
    <w:name w:val="toc 2"/>
    <w:basedOn w:val="Normal"/>
    <w:next w:val="Normal"/>
    <w:autoRedefine/>
    <w:uiPriority w:val="39"/>
    <w:unhideWhenUsed/>
    <w:rsid w:val="00577F1E"/>
    <w:pPr>
      <w:spacing w:after="100"/>
      <w:ind w:left="240"/>
    </w:pPr>
  </w:style>
  <w:style w:type="character" w:styleId="Hyperlink">
    <w:name w:val="Hyperlink"/>
    <w:basedOn w:val="DefaultParagraphFont"/>
    <w:uiPriority w:val="99"/>
    <w:unhideWhenUsed/>
    <w:rsid w:val="00577F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ngloamerican.com/~/media/Files/A/Anglo-American-Group-v9/PLC/documents/modern-slavery-statement-2025.pdf" TargetMode="External"/><Relationship Id="rId26" Type="http://schemas.openxmlformats.org/officeDocument/2006/relationships/hyperlink" Target="https://www.iea.org/reports/global-ev-outlook-2026/trends-in-electric-cars?utm_source=chatgpt.com" TargetMode="External"/><Relationship Id="rId3" Type="http://schemas.openxmlformats.org/officeDocument/2006/relationships/settings" Target="settings.xml"/><Relationship Id="rId21" Type="http://schemas.openxmlformats.org/officeDocument/2006/relationships/hyperlink" Target="https://www.angloamerican.com/media/press-releases/2026/28-04-2026?utm_source=chatgpt.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ngloamerican.com/~/media/Files/A/Anglo-American-Group-v9/PLC/investors/annual-reporting/2025/aa-annual-report-full-2025.pdf?utm_source=chatgpt.com" TargetMode="External"/><Relationship Id="rId25" Type="http://schemas.openxmlformats.org/officeDocument/2006/relationships/hyperlink" Target="https://www.iea.org/reports/global-critical-minerals-outlook-2025/overview-of-outlook-for-key-minerals?utm_source=chatgpt.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ngloamerican.com/~/media/Files/A/Anglo-American-Group-v9/PLC/investors/annual-reporting/2025/sustainability-related-disclosure-supplement-2025.pdf?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ngloamerican.com/~/media/Files/A/Anglo-American-Group-v9/PLC/media/press-release/releases/2026pr/q4-2025-production-report.pdf?utm_source=chatgpt.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angloamerican.com/media/press-releases/2026/20-02-2026?utm_source=chatgpt.com" TargetMode="External"/><Relationship Id="rId28" Type="http://schemas.openxmlformats.org/officeDocument/2006/relationships/hyperlink" Target="https://www.riotinto.com/en/sustainability/ethics-compliance/value-chain/start" TargetMode="External"/><Relationship Id="rId10" Type="http://schemas.openxmlformats.org/officeDocument/2006/relationships/image" Target="media/image4.png"/><Relationship Id="rId19" Type="http://schemas.openxmlformats.org/officeDocument/2006/relationships/hyperlink" Target="https://www.angloamerican.com/investors/annual-reporting?utm_source=chatgpt.com"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hyperlink" Target="https://www.angloamerican.com/sustainability-strategy/healthy-environment/climate/ghg-emissions-data?utm_source=chatgpt.com" TargetMode="External"/><Relationship Id="rId27" Type="http://schemas.openxmlformats.org/officeDocument/2006/relationships/hyperlink" Target="https://www.iea.org/reports/global-ev-outlook-2026/electric-vehicle-batteries?utm_source=chatgpt.com"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W0ItYZiyGwTfw6aBlFpPArI/BQ==">CgMxLjAyDmguNG9idDZ0ajU3dzF2Mg5oLjk3cXRjcGE2Y2hlazIOaC5vdTV4MmRybWx4bGEyDmgudnk1dnJ0NHl1dzE0Mg5oLmVoNDVtdTJ5Y214ajIOaC5kNGlpYTFpZWJjZDQyDmguM3Y5MXhsMzVqZjNvMg5oLmJndzg5dWZkbzV2aDINaC56cmE3bDV4am1kbjIOaC5xejhndjMzb3NqbTQyDmguZW5zeXk4cDkzaHR1Mg5oLjVjYmtjZzcyMm5wNjIOaC41eGQ0dW51dDhjcGsyDmguaDFoeHBsY3lxeHdpMg5oLmJubmdpdzc4NzBtMjIOaC5vMWVoZDBxNTVwZ3Y4AHIhMV8zb2t1ZG50eXVSUHlqR19wNW83WngwWDQ1czhyRWp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Pages>
  <Words>4087</Words>
  <Characters>23301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dc:creator>
  <cp:lastModifiedBy>Patel Prince</cp:lastModifiedBy>
  <cp:revision>8</cp:revision>
  <dcterms:created xsi:type="dcterms:W3CDTF">2026-07-23T15:40:00Z</dcterms:created>
  <dcterms:modified xsi:type="dcterms:W3CDTF">2026-08-14T09:20:00Z</dcterms:modified>
</cp:coreProperties>
</file>