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A9EB9" w14:textId="4DE68F76" w:rsidR="007A0159" w:rsidRPr="00452464" w:rsidRDefault="007A0159" w:rsidP="007A0159">
      <w:pPr>
        <w:rPr>
          <w:color w:val="2F5496" w:themeColor="accent1" w:themeShade="BF"/>
        </w:rPr>
      </w:pPr>
      <w:r w:rsidRPr="00452464">
        <w:rPr>
          <w:i/>
          <w:iCs/>
          <w:color w:val="2F5496" w:themeColor="accent1" w:themeShade="BF"/>
        </w:rPr>
        <w:t>Name: Eman Ali</w:t>
      </w:r>
    </w:p>
    <w:p w14:paraId="33A7DED2" w14:textId="77777777" w:rsidR="007A0159" w:rsidRPr="00452464" w:rsidRDefault="007A0159" w:rsidP="007A0159">
      <w:pPr>
        <w:rPr>
          <w:color w:val="2F5496" w:themeColor="accent1" w:themeShade="BF"/>
        </w:rPr>
      </w:pPr>
      <w:r w:rsidRPr="00452464">
        <w:rPr>
          <w:i/>
          <w:iCs/>
          <w:color w:val="2F5496" w:themeColor="accent1" w:themeShade="BF"/>
        </w:rPr>
        <w:t>Student Number: 2507026</w:t>
      </w:r>
    </w:p>
    <w:p w14:paraId="4A1C004C" w14:textId="77777777" w:rsidR="007A0159" w:rsidRPr="00452464" w:rsidRDefault="007A0159" w:rsidP="007A0159">
      <w:pPr>
        <w:rPr>
          <w:color w:val="2F5496" w:themeColor="accent1" w:themeShade="BF"/>
        </w:rPr>
      </w:pPr>
      <w:r w:rsidRPr="00452464">
        <w:rPr>
          <w:i/>
          <w:iCs/>
          <w:color w:val="2F5496" w:themeColor="accent1" w:themeShade="BF"/>
        </w:rPr>
        <w:t>Course: Certificate of Higher Education in Employability Skills</w:t>
      </w:r>
    </w:p>
    <w:p w14:paraId="2F442D91" w14:textId="76DD1119" w:rsidR="007A0159" w:rsidRPr="00452464" w:rsidRDefault="007A0159" w:rsidP="007A0159">
      <w:pPr>
        <w:rPr>
          <w:color w:val="2F5496" w:themeColor="accent1" w:themeShade="BF"/>
        </w:rPr>
      </w:pPr>
      <w:r w:rsidRPr="00452464">
        <w:rPr>
          <w:i/>
          <w:iCs/>
          <w:color w:val="2F5496" w:themeColor="accent1" w:themeShade="BF"/>
        </w:rPr>
        <w:t xml:space="preserve">Module: </w:t>
      </w:r>
      <w:r w:rsidR="0010713B">
        <w:rPr>
          <w:i/>
          <w:iCs/>
          <w:color w:val="2F5496" w:themeColor="accent1" w:themeShade="BF"/>
        </w:rPr>
        <w:t>Academic Skills for the Digital Era (BMSW4013)</w:t>
      </w:r>
    </w:p>
    <w:p w14:paraId="6594D1DD" w14:textId="3C719811" w:rsidR="007A0159" w:rsidRPr="00452464" w:rsidRDefault="007A0159" w:rsidP="007A0159">
      <w:pPr>
        <w:rPr>
          <w:color w:val="2F5496" w:themeColor="accent1" w:themeShade="BF"/>
        </w:rPr>
      </w:pPr>
      <w:r w:rsidRPr="00452464">
        <w:rPr>
          <w:i/>
          <w:iCs/>
          <w:color w:val="2F5496" w:themeColor="accent1" w:themeShade="BF"/>
        </w:rPr>
        <w:t xml:space="preserve">Module lead: </w:t>
      </w:r>
      <w:r w:rsidR="0010713B">
        <w:rPr>
          <w:i/>
          <w:iCs/>
          <w:color w:val="2F5496" w:themeColor="accent1" w:themeShade="BF"/>
        </w:rPr>
        <w:t>Scott James</w:t>
      </w:r>
    </w:p>
    <w:p w14:paraId="5840E38F" w14:textId="77777777" w:rsidR="007A0159" w:rsidRPr="007A0159" w:rsidRDefault="007A0159" w:rsidP="007A0159"/>
    <w:p w14:paraId="6BD77E62" w14:textId="2000932A" w:rsidR="00104B44" w:rsidRDefault="00104B44" w:rsidP="00B42232">
      <w:pPr>
        <w:pStyle w:val="Title"/>
      </w:pPr>
      <w:r>
        <w:t>Reflective Essay on the Development of Academic and Digital Skills</w:t>
      </w:r>
    </w:p>
    <w:p w14:paraId="1936B314" w14:textId="4E8BAA2B" w:rsidR="00C5136F" w:rsidRDefault="00C5136F" w:rsidP="009D4D17">
      <w:pPr>
        <w:rPr>
          <w:b/>
          <w:bCs/>
        </w:rPr>
      </w:pPr>
    </w:p>
    <w:p w14:paraId="4341E558" w14:textId="0FEE0989" w:rsidR="00C5136F" w:rsidRDefault="00C5136F" w:rsidP="00C5136F">
      <w:r w:rsidRPr="00C5136F">
        <w:t>Starting university was a lot more overwhelming than I thought it would be. I expected some changes, but the actual shift from school to university life hit me harder than I imagined. Everything was different</w:t>
      </w:r>
      <w:r w:rsidR="007A0159">
        <w:t xml:space="preserve">, </w:t>
      </w:r>
      <w:r w:rsidRPr="00C5136F">
        <w:t>suddenly I had to manage my own time, stay on top of assignments without reminders and figure out how to use all these digital platforms that were completely new to me. There were moments I felt completely lost, unsure if I was even doing things right. But slowly, I started to find my footing. This essay uses Gibbs’ Reflective Cycle (1988) to look back on the academic and digital skills I began developing during my first semester at a university in Bristol. It focuses on the real experiences I went through—what helped me grow, what challenged me, and how all of that shaped the way I began to adapt to university life. It ends with a SMART action plan that outlines how I plan to keep improving in the next term based on everything I’ve learned so far.</w:t>
      </w:r>
      <w:r w:rsidR="009D4D17" w:rsidRPr="009D4D17">
        <w:br/>
      </w:r>
      <w:r>
        <w:t>At the start of my university journey, I ran into a lot of unexpected challenges, especially with digital referencing and academic writing. I remember one of my first assignments</w:t>
      </w:r>
      <w:r w:rsidR="007A0159">
        <w:t xml:space="preserve"> that </w:t>
      </w:r>
      <w:r>
        <w:t>required Harvard referencing and a properly structured reflective essay. I had never done either before, and honestly, I thought my writing skills would carry me through. I have always been fairly confident when it comes to expressing myself in writing, so I didn’t think referencing would be that big of a deal. But I was wrong. I tried doing all the citations manually, without using tools like RefWorks or Zotero—mostly because I did not know how to use them properly. Research shows that digital literacy is essential for managing academic tasks in higher education (Budiman &amp; Syafrony, 2023), and my lack of these skills became very clear when my feedback highlighted multiple formatting mistakes.</w:t>
      </w:r>
    </w:p>
    <w:p w14:paraId="2717A4C5" w14:textId="77777777" w:rsidR="00C5136F" w:rsidRDefault="00C5136F" w:rsidP="00C5136F">
      <w:r>
        <w:t xml:space="preserve">One of the challenges I faced early on was understanding what reflective writing actually involved. I thought I was doing it right, but my first attempt ended up being more like a simple narrative. My tutor pointed out that it didn’t go deep enough and lacked proper analysis. This aligns with Schön’s (1983) idea that meaningful reflection requires critical thinking rather than just describing events. That feedback made me realise that writing at </w:t>
      </w:r>
      <w:r>
        <w:lastRenderedPageBreak/>
        <w:t>university isn’t just about telling what happened—it is about thinking critically, breaking things down, and showing how I’ve grown from the experience. This made me step back and seriously rethink how I approached future assignments.</w:t>
      </w:r>
    </w:p>
    <w:p w14:paraId="63DFBA6B" w14:textId="39F07B73" w:rsidR="00C5136F" w:rsidRDefault="00C5136F" w:rsidP="00C5136F">
      <w:r>
        <w:t>At first, I felt quite confident. I thought my previous writing experience would be enough to handle university assignments. But as I started working through the task, that confidence slowly turned into anxiety. I began to feel overwhelmed by unfamiliar terms like critical reflection, academic integrity, and plagiarism detection systems. Everything seemed more complicated than I had expected. The feedback on my first draft was disappointing and difficult to accept, but it also opened my eyes. I realized I was lacking both the technical understanding of proper referencing and the deeper level of thinking that university work demands, something also highlighted in studies on digital readiness and academic engagement (Kim, Hong &amp; Song, 2019).</w:t>
      </w:r>
    </w:p>
    <w:p w14:paraId="06A0CBD3" w14:textId="774AE988" w:rsidR="00C5136F" w:rsidRDefault="00C5136F" w:rsidP="00C5136F">
      <w:r>
        <w:t>I also went through a phase where I felt isolated. Even though I was engaging with the online materials, I avoided reaching out to classmates or lecturers for support because I was worried about being judged or misunderstood. Over time, I came to see that struggling is a normal part of learning. I began to understand that asking for help is not a weakness. It is actually a sign of strength and willingness to improve. That shift in my mindset made a big difference in how I approached my academic challenges.</w:t>
      </w:r>
      <w:r w:rsidR="009D4D17" w:rsidRPr="009D4D17">
        <w:br/>
      </w:r>
      <w:r>
        <w:t>One good thing that came out of this experience was that it pushed me to take initiative and explore the support available at the university. After receiving the feedback on my work, I started attending academic writing and referencing workshops. That was when I also found out that the university library had helpful study material. These resources made a big difference in how I approached my next assignments and gave me the guidance I had been missing in the beginning.</w:t>
      </w:r>
    </w:p>
    <w:p w14:paraId="791C0E05" w14:textId="3ABE4856" w:rsidR="00C5136F" w:rsidRDefault="00C5136F" w:rsidP="00C5136F">
      <w:r>
        <w:t>At the same time, I also realised that not knowing about digital academic tools early on had slowed down my progress. I spent a lot of time figuring things out the hard way, which could have been avoided if I had familiarised myself with tools like referencing software or online databases from the start. Studies have shown that digital readiness plays a big role in how well students adjust to higher education (Ibrahim &amp; Aldawsari, 2023). Looking back, if I had engaged with those digital tools right away, I probably would have faced fewer setbacks during those first few weeks.</w:t>
      </w:r>
    </w:p>
    <w:p w14:paraId="10749673" w14:textId="30E9E7DB" w:rsidR="00AB68EF" w:rsidRDefault="00AB68EF" w:rsidP="00AB68EF">
      <w:r>
        <w:t>Looking back, a lot of the challenges I went through came from not fully understanding what was expected of me at university, especially when it came to academic standards and digital tools. I was relying too much on what I had learned in school and assumed it would be enough, but it clearly wasn’t. I also avoided asking for help, thinking I should be able to manage on my own. This only made things more difficult. Interestingly, this aligns with what Mahmud and Wong (2022) pointed out in their research, where they mentioned that many undergraduates enter university without fully developed twenty-first-century skills.</w:t>
      </w:r>
    </w:p>
    <w:p w14:paraId="63BC7C50" w14:textId="77777777" w:rsidR="00AB68EF" w:rsidRDefault="00AB68EF" w:rsidP="00AB68EF"/>
    <w:p w14:paraId="2DB41EA1" w14:textId="77777777" w:rsidR="00AB68EF" w:rsidRDefault="00AB68EF" w:rsidP="00AB68EF">
      <w:r>
        <w:t>Another issue that held me back was poor time management. I spent most of my time writing the main body of the assignment and left very little time for editing or proper referencing. I thought I could just fix everything quickly at the end, but that approach did not work well. I now understand that planning and time allocation are just as important as the writing itself. This problem seems to be quite common among first-year students, as also discussed by the National Research Council (2012), which highlights how crucial transferable skills like time management are in academic success. These experiences taught me that doing well at university requires a much more strategic and organised approach than I initially believed.</w:t>
      </w:r>
    </w:p>
    <w:p w14:paraId="302CB3D6" w14:textId="77777777" w:rsidR="00AB68EF" w:rsidRDefault="00AB68EF" w:rsidP="00AB68EF">
      <w:r>
        <w:t>To ensure continuous improvement in my academic and digital skills, I have developed the following SMART action plan. I will actively improve my referencing, academic writing, and digital research skills by attending at least two referencing workshops, one academic writing seminar, and completing three online tutorials on citation tools like Zotero, Mendeley, or RefWorks. These tools are becoming increasingly essential for students navigating digital academic environments (World Economic Forum, 2015).</w:t>
      </w:r>
    </w:p>
    <w:p w14:paraId="7823687F" w14:textId="31717C90" w:rsidR="009D4D17" w:rsidRPr="009D4D17" w:rsidRDefault="007A0159" w:rsidP="00AB68EF">
      <w:r>
        <w:t xml:space="preserve">Also, </w:t>
      </w:r>
      <w:r w:rsidR="00AB68EF">
        <w:t>I will book a one-on-one session with a study skills tutor to discuss feedback from my previous assignments and seek personalized guidance. I will track my progress by completing and submitting two assignments using proper Harvard referencing formats via digital tools.</w:t>
      </w:r>
      <w:r>
        <w:t xml:space="preserve"> </w:t>
      </w:r>
      <w:r w:rsidR="00AB68EF">
        <w:t>I will also maintain a digital learning log where I reflect weekly on what I’ve learned and how I applied it. Each workshop or tutorial requires approximately 60–90 minutes, and all are available via the university’s learning portal or library website. Spreading these over four weeks is realistic alongside my regular coursework. Booking a tutoring session is also manageable within university office hours. Research highlights that developing strong digital literacy and academic integrity practices boosts performance and confidence (Burgos, Farias-Gaytán &amp; Ramirez-Montoya, 2023).</w:t>
      </w:r>
      <w:r>
        <w:t xml:space="preserve"> Lastly, </w:t>
      </w:r>
      <w:r w:rsidR="00AB68EF">
        <w:t>I will complete all workshops, tutorials, and the one-on-one session within the first four weeks of the next academic term. My first assessed assignment after this period will serve as a checkpoint to evaluate my progress.</w:t>
      </w:r>
    </w:p>
    <w:p w14:paraId="016CCE8B" w14:textId="1ADC294C" w:rsidR="009D4D17" w:rsidRPr="009D4D17" w:rsidRDefault="007A0159" w:rsidP="00AB68EF">
      <w:r>
        <w:t>To conclude, t</w:t>
      </w:r>
      <w:r w:rsidR="00AB68EF">
        <w:t>his reflective essay has allowed me to critically examine my developmental journey through Gibbs' framework (1988). Although the first term was challenging, it was also rich in learning. Academic and digital skills are interlinked, and addressing gaps in one area often improves the other. With hindsight, I recognize several areas for improvement. I could have asked for help earlier from tutors or peers, or joined a study group to gain collective insights into academic requirements. I also could have made use of digital guides provided by the university, which I ignored initially. Burgos et al. (2023) advocate for proactive engagement with digital learning platforms as a crucial step in easing academic transitions.</w:t>
      </w:r>
      <w:r>
        <w:t xml:space="preserve"> </w:t>
      </w:r>
      <w:r w:rsidR="00AB68EF">
        <w:t xml:space="preserve">Also, I acknowledge that academic and digital challenges are not isolated problems but interconnected. Effective time management, awareness of available resources, and confidence in using academic tools could have significantly improved my early academic </w:t>
      </w:r>
      <w:r w:rsidR="00AB68EF">
        <w:lastRenderedPageBreak/>
        <w:t>performance. The SMART action plan offers a structured way forward and encourages continuous development. By reflecting on both failures and improvements, I am better equipped to navigate the rest of my academic journey successfully.</w:t>
      </w:r>
    </w:p>
    <w:p w14:paraId="463C6E75" w14:textId="2AA3EF97" w:rsidR="009D4D17" w:rsidRPr="009D4D17" w:rsidRDefault="009D4D17" w:rsidP="009D4D17"/>
    <w:p w14:paraId="2DD5DD43" w14:textId="77777777" w:rsidR="00C5136F" w:rsidRDefault="00C5136F" w:rsidP="009D4D17">
      <w:pPr>
        <w:rPr>
          <w:b/>
          <w:bCs/>
        </w:rPr>
      </w:pPr>
    </w:p>
    <w:p w14:paraId="17664EAE" w14:textId="74BA6587" w:rsidR="009D4D17" w:rsidRDefault="009D4D17" w:rsidP="009D4D17">
      <w:pPr>
        <w:rPr>
          <w:b/>
          <w:bCs/>
        </w:rPr>
      </w:pPr>
      <w:r w:rsidRPr="009D4D17">
        <w:rPr>
          <w:b/>
          <w:bCs/>
        </w:rPr>
        <w:t>References</w:t>
      </w:r>
    </w:p>
    <w:p w14:paraId="622C4C87" w14:textId="2FFE6C83" w:rsidR="00822929" w:rsidRPr="00822929" w:rsidRDefault="003741F6" w:rsidP="00822929">
      <w:hyperlink r:id="rId5" w:history="1">
        <w:r w:rsidR="00822929" w:rsidRPr="003741F6">
          <w:rPr>
            <w:rStyle w:val="Hyperlink"/>
          </w:rPr>
          <w:t xml:space="preserve">Budiman, R., &amp; Syafrony, A. I. (2023). </w:t>
        </w:r>
        <w:r w:rsidR="00822929" w:rsidRPr="003741F6">
          <w:rPr>
            <w:rStyle w:val="Hyperlink"/>
            <w:i/>
            <w:iCs/>
          </w:rPr>
          <w:t>The digital literacy of first-year students and its function in an online method of delivery</w:t>
        </w:r>
        <w:r w:rsidR="00822929" w:rsidRPr="003741F6">
          <w:rPr>
            <w:rStyle w:val="Hyperlink"/>
          </w:rPr>
          <w:t>. Asian Association of Open Universities Journal, 18(2), 176–186.</w:t>
        </w:r>
      </w:hyperlink>
    </w:p>
    <w:p w14:paraId="1EAC3538" w14:textId="0DF904C3" w:rsidR="00822929" w:rsidRDefault="003741F6" w:rsidP="00822929">
      <w:hyperlink r:id="rId6" w:history="1">
        <w:r w:rsidR="00822929" w:rsidRPr="003741F6">
          <w:rPr>
            <w:rStyle w:val="Hyperlink"/>
          </w:rPr>
          <w:t>Mahmud, M. M., &amp; Wong, S. F. (2022). Digital age: The importance of twenty</w:t>
        </w:r>
        <w:r w:rsidR="00822929" w:rsidRPr="003741F6">
          <w:rPr>
            <w:rStyle w:val="Hyperlink"/>
          </w:rPr>
          <w:noBreakHyphen/>
          <w:t xml:space="preserve">first century skills among the undergraduates. </w:t>
        </w:r>
        <w:r w:rsidR="00822929" w:rsidRPr="003741F6">
          <w:rPr>
            <w:rStyle w:val="Hyperlink"/>
            <w:i/>
            <w:iCs/>
          </w:rPr>
          <w:t>Frontiers in Education, 7</w:t>
        </w:r>
        <w:r w:rsidR="00822929" w:rsidRPr="003741F6">
          <w:rPr>
            <w:rStyle w:val="Hyperlink"/>
          </w:rPr>
          <w:t>, Article 950553.</w:t>
        </w:r>
      </w:hyperlink>
      <w:r w:rsidR="00822929" w:rsidRPr="00822929">
        <w:t xml:space="preserve"> </w:t>
      </w:r>
    </w:p>
    <w:p w14:paraId="79409ADC" w14:textId="3AC1C625" w:rsidR="00641B0D" w:rsidRPr="009D4D17" w:rsidRDefault="00C5136F" w:rsidP="00822929">
      <w:hyperlink r:id="rId7" w:history="1">
        <w:r w:rsidR="00641B0D" w:rsidRPr="00C5136F">
          <w:rPr>
            <w:rStyle w:val="Hyperlink"/>
          </w:rPr>
          <w:t xml:space="preserve">Ibrahim, R. K., &amp; Aldawsari, A. N. (2023). </w:t>
        </w:r>
        <w:r w:rsidR="00641B0D" w:rsidRPr="00C5136F">
          <w:rPr>
            <w:rStyle w:val="Hyperlink"/>
            <w:i/>
            <w:iCs/>
          </w:rPr>
          <w:t>Relationship between digital capabilities and academic performance: the mediating effect of self-efficacy</w:t>
        </w:r>
        <w:r w:rsidR="00641B0D" w:rsidRPr="00C5136F">
          <w:rPr>
            <w:rStyle w:val="Hyperlink"/>
          </w:rPr>
          <w:t>. BMC Nursing, 22, 434.</w:t>
        </w:r>
      </w:hyperlink>
      <w:r w:rsidR="00641B0D" w:rsidRPr="00641B0D">
        <w:t xml:space="preserve"> </w:t>
      </w:r>
    </w:p>
    <w:p w14:paraId="4AE535CA" w14:textId="3C300A42" w:rsidR="009D4D17" w:rsidRPr="009D4D17" w:rsidRDefault="00C5136F" w:rsidP="009D4D17">
      <w:hyperlink r:id="rId8" w:history="1">
        <w:r w:rsidR="009D4D17" w:rsidRPr="00C5136F">
          <w:rPr>
            <w:rStyle w:val="Hyperlink"/>
          </w:rPr>
          <w:t xml:space="preserve">Burgos, C., Farias-Gaytán, S., &amp; Ramirez-Montoya, M.-S. (2023). Digital transformation and digital literacy in the context of complexity within higher education institutions: A systematic literature review. </w:t>
        </w:r>
        <w:r w:rsidR="009D4D17" w:rsidRPr="00C5136F">
          <w:rPr>
            <w:rStyle w:val="Hyperlink"/>
            <w:i/>
            <w:iCs/>
          </w:rPr>
          <w:t>Humanities and Social Sciences Communications, 10</w:t>
        </w:r>
        <w:r w:rsidR="009D4D17" w:rsidRPr="00C5136F">
          <w:rPr>
            <w:rStyle w:val="Hyperlink"/>
          </w:rPr>
          <w:t>(386).</w:t>
        </w:r>
      </w:hyperlink>
      <w:r w:rsidR="009D4D17" w:rsidRPr="009D4D17">
        <w:t xml:space="preserve"> </w:t>
      </w:r>
    </w:p>
    <w:p w14:paraId="564D5249" w14:textId="77777777" w:rsidR="009D4D17" w:rsidRPr="009D4D17" w:rsidRDefault="009D4D17" w:rsidP="009D4D17">
      <w:r w:rsidRPr="009D4D17">
        <w:t xml:space="preserve">Gibbs, G. (1988). </w:t>
      </w:r>
      <w:r w:rsidRPr="009D4D17">
        <w:rPr>
          <w:i/>
          <w:iCs/>
        </w:rPr>
        <w:t>Learning by Doing: A Guide to Teaching and Learning Methods</w:t>
      </w:r>
      <w:r w:rsidRPr="009D4D17">
        <w:t>. Further Education Unit.</w:t>
      </w:r>
    </w:p>
    <w:p w14:paraId="6F5A946E" w14:textId="31CD0761" w:rsidR="009D4D17" w:rsidRPr="009D4D17" w:rsidRDefault="00C5136F" w:rsidP="009D4D17">
      <w:hyperlink r:id="rId9" w:history="1">
        <w:r w:rsidR="009D4D17" w:rsidRPr="00C5136F">
          <w:rPr>
            <w:rStyle w:val="Hyperlink"/>
          </w:rPr>
          <w:t xml:space="preserve">Kim, H. J., Hong, A. J., &amp; Song, H.-D. (2019). The roles of academic engagement and digital readiness in students' achievements in university e-learning environments. </w:t>
        </w:r>
        <w:r w:rsidR="009D4D17" w:rsidRPr="00C5136F">
          <w:rPr>
            <w:rStyle w:val="Hyperlink"/>
            <w:i/>
            <w:iCs/>
          </w:rPr>
          <w:t>International Journal of Educational Technology in Higher Education, 16</w:t>
        </w:r>
        <w:r w:rsidR="009D4D17" w:rsidRPr="00C5136F">
          <w:rPr>
            <w:rStyle w:val="Hyperlink"/>
          </w:rPr>
          <w:t>(21).</w:t>
        </w:r>
      </w:hyperlink>
      <w:r w:rsidR="009D4D17" w:rsidRPr="009D4D17">
        <w:t xml:space="preserve"> </w:t>
      </w:r>
    </w:p>
    <w:p w14:paraId="0E655F14" w14:textId="422DAA74" w:rsidR="009D4D17" w:rsidRPr="009D4D17" w:rsidRDefault="00704D16" w:rsidP="009D4D17">
      <w:hyperlink r:id="rId10" w:history="1">
        <w:r w:rsidR="009D4D17" w:rsidRPr="00704D16">
          <w:rPr>
            <w:rStyle w:val="Hyperlink"/>
          </w:rPr>
          <w:t xml:space="preserve">National Research Council. (2012). </w:t>
        </w:r>
        <w:r w:rsidR="009D4D17" w:rsidRPr="00704D16">
          <w:rPr>
            <w:rStyle w:val="Hyperlink"/>
            <w:i/>
            <w:iCs/>
          </w:rPr>
          <w:t>Education for Life and Work: Developing Transferable Knowledge and Skills in the 21st Century</w:t>
        </w:r>
        <w:r w:rsidR="009D4D17" w:rsidRPr="00704D16">
          <w:rPr>
            <w:rStyle w:val="Hyperlink"/>
          </w:rPr>
          <w:t>. National Academies Press.</w:t>
        </w:r>
      </w:hyperlink>
    </w:p>
    <w:p w14:paraId="61FD3178" w14:textId="29048BFE" w:rsidR="009D4D17" w:rsidRPr="009D4D17" w:rsidRDefault="003741F6" w:rsidP="009D4D17">
      <w:hyperlink r:id="rId11" w:history="1">
        <w:r w:rsidR="009D4D17" w:rsidRPr="003741F6">
          <w:rPr>
            <w:rStyle w:val="Hyperlink"/>
          </w:rPr>
          <w:t xml:space="preserve">Schön, D. A. (1983). </w:t>
        </w:r>
        <w:r w:rsidR="009D4D17" w:rsidRPr="003741F6">
          <w:rPr>
            <w:rStyle w:val="Hyperlink"/>
            <w:i/>
            <w:iCs/>
          </w:rPr>
          <w:t>The Reflective Practitioner: How Professionals Think in Action</w:t>
        </w:r>
        <w:r w:rsidR="009D4D17" w:rsidRPr="003741F6">
          <w:rPr>
            <w:rStyle w:val="Hyperlink"/>
          </w:rPr>
          <w:t>. Basic Books.</w:t>
        </w:r>
      </w:hyperlink>
    </w:p>
    <w:p w14:paraId="495FBE91" w14:textId="43FB2874" w:rsidR="009D4D17" w:rsidRPr="009D4D17" w:rsidRDefault="003741F6" w:rsidP="009D4D17">
      <w:hyperlink r:id="rId12" w:history="1">
        <w:r w:rsidR="009D4D17" w:rsidRPr="003741F6">
          <w:rPr>
            <w:rStyle w:val="Hyperlink"/>
          </w:rPr>
          <w:t xml:space="preserve">World Economic Forum. (2015). </w:t>
        </w:r>
        <w:r w:rsidR="009D4D17" w:rsidRPr="003741F6">
          <w:rPr>
            <w:rStyle w:val="Hyperlink"/>
            <w:i/>
            <w:iCs/>
          </w:rPr>
          <w:t>A New Vision for Education: Unlocking the Potential of Technology</w:t>
        </w:r>
        <w:r w:rsidR="009D4D17" w:rsidRPr="003741F6">
          <w:rPr>
            <w:rStyle w:val="Hyperlink"/>
          </w:rPr>
          <w:t>. Geneva: WEF.</w:t>
        </w:r>
      </w:hyperlink>
    </w:p>
    <w:p w14:paraId="7443379F" w14:textId="4C3997D0" w:rsidR="00104B44" w:rsidRDefault="00104B44" w:rsidP="009D4D17"/>
    <w:sectPr w:rsidR="00104B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087851"/>
    <w:multiLevelType w:val="hybridMultilevel"/>
    <w:tmpl w:val="6AEE892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6D1058D6"/>
    <w:multiLevelType w:val="multilevel"/>
    <w:tmpl w:val="86948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1037713">
    <w:abstractNumId w:val="1"/>
  </w:num>
  <w:num w:numId="2" w16cid:durableId="1559244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B44"/>
    <w:rsid w:val="00104B44"/>
    <w:rsid w:val="0010713B"/>
    <w:rsid w:val="00345118"/>
    <w:rsid w:val="003741F6"/>
    <w:rsid w:val="00445A15"/>
    <w:rsid w:val="00512158"/>
    <w:rsid w:val="00641B0D"/>
    <w:rsid w:val="00704D16"/>
    <w:rsid w:val="00731142"/>
    <w:rsid w:val="007707AE"/>
    <w:rsid w:val="007A0159"/>
    <w:rsid w:val="00820804"/>
    <w:rsid w:val="00822929"/>
    <w:rsid w:val="009D4D17"/>
    <w:rsid w:val="009E6176"/>
    <w:rsid w:val="00AB68EF"/>
    <w:rsid w:val="00AD7FA3"/>
    <w:rsid w:val="00B42232"/>
    <w:rsid w:val="00C5136F"/>
    <w:rsid w:val="00F4280B"/>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6D2B0"/>
  <w15:chartTrackingRefBased/>
  <w15:docId w15:val="{91AA137B-0B68-473F-B790-35F3A26E1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4B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04B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4B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4B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4B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4B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4B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4B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4B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B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04B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4B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4B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4B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4B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B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B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B44"/>
    <w:rPr>
      <w:rFonts w:eastAsiaTheme="majorEastAsia" w:cstheme="majorBidi"/>
      <w:color w:val="272727" w:themeColor="text1" w:themeTint="D8"/>
    </w:rPr>
  </w:style>
  <w:style w:type="paragraph" w:styleId="Title">
    <w:name w:val="Title"/>
    <w:basedOn w:val="Normal"/>
    <w:next w:val="Normal"/>
    <w:link w:val="TitleChar"/>
    <w:uiPriority w:val="10"/>
    <w:qFormat/>
    <w:rsid w:val="00104B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4B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B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4B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B44"/>
    <w:pPr>
      <w:spacing w:before="160"/>
      <w:jc w:val="center"/>
    </w:pPr>
    <w:rPr>
      <w:i/>
      <w:iCs/>
      <w:color w:val="404040" w:themeColor="text1" w:themeTint="BF"/>
    </w:rPr>
  </w:style>
  <w:style w:type="character" w:customStyle="1" w:styleId="QuoteChar">
    <w:name w:val="Quote Char"/>
    <w:basedOn w:val="DefaultParagraphFont"/>
    <w:link w:val="Quote"/>
    <w:uiPriority w:val="29"/>
    <w:rsid w:val="00104B44"/>
    <w:rPr>
      <w:i/>
      <w:iCs/>
      <w:color w:val="404040" w:themeColor="text1" w:themeTint="BF"/>
    </w:rPr>
  </w:style>
  <w:style w:type="paragraph" w:styleId="ListParagraph">
    <w:name w:val="List Paragraph"/>
    <w:basedOn w:val="Normal"/>
    <w:uiPriority w:val="34"/>
    <w:qFormat/>
    <w:rsid w:val="00104B44"/>
    <w:pPr>
      <w:ind w:left="720"/>
      <w:contextualSpacing/>
    </w:pPr>
  </w:style>
  <w:style w:type="character" w:styleId="IntenseEmphasis">
    <w:name w:val="Intense Emphasis"/>
    <w:basedOn w:val="DefaultParagraphFont"/>
    <w:uiPriority w:val="21"/>
    <w:qFormat/>
    <w:rsid w:val="00104B44"/>
    <w:rPr>
      <w:i/>
      <w:iCs/>
      <w:color w:val="2F5496" w:themeColor="accent1" w:themeShade="BF"/>
    </w:rPr>
  </w:style>
  <w:style w:type="paragraph" w:styleId="IntenseQuote">
    <w:name w:val="Intense Quote"/>
    <w:basedOn w:val="Normal"/>
    <w:next w:val="Normal"/>
    <w:link w:val="IntenseQuoteChar"/>
    <w:uiPriority w:val="30"/>
    <w:qFormat/>
    <w:rsid w:val="00104B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4B44"/>
    <w:rPr>
      <w:i/>
      <w:iCs/>
      <w:color w:val="2F5496" w:themeColor="accent1" w:themeShade="BF"/>
    </w:rPr>
  </w:style>
  <w:style w:type="character" w:styleId="IntenseReference">
    <w:name w:val="Intense Reference"/>
    <w:basedOn w:val="DefaultParagraphFont"/>
    <w:uiPriority w:val="32"/>
    <w:qFormat/>
    <w:rsid w:val="00104B44"/>
    <w:rPr>
      <w:b/>
      <w:bCs/>
      <w:smallCaps/>
      <w:color w:val="2F5496" w:themeColor="accent1" w:themeShade="BF"/>
      <w:spacing w:val="5"/>
    </w:rPr>
  </w:style>
  <w:style w:type="character" w:styleId="Hyperlink">
    <w:name w:val="Hyperlink"/>
    <w:basedOn w:val="DefaultParagraphFont"/>
    <w:uiPriority w:val="99"/>
    <w:unhideWhenUsed/>
    <w:rsid w:val="009D4D17"/>
    <w:rPr>
      <w:color w:val="0563C1" w:themeColor="hyperlink"/>
      <w:u w:val="single"/>
    </w:rPr>
  </w:style>
  <w:style w:type="character" w:styleId="UnresolvedMention">
    <w:name w:val="Unresolved Mention"/>
    <w:basedOn w:val="DefaultParagraphFont"/>
    <w:uiPriority w:val="99"/>
    <w:semiHidden/>
    <w:unhideWhenUsed/>
    <w:rsid w:val="009D4D17"/>
    <w:rPr>
      <w:color w:val="605E5C"/>
      <w:shd w:val="clear" w:color="auto" w:fill="E1DFDD"/>
    </w:rPr>
  </w:style>
  <w:style w:type="character" w:styleId="FollowedHyperlink">
    <w:name w:val="FollowedHyperlink"/>
    <w:basedOn w:val="DefaultParagraphFont"/>
    <w:uiPriority w:val="99"/>
    <w:semiHidden/>
    <w:unhideWhenUsed/>
    <w:rsid w:val="00704D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600718">
      <w:bodyDiv w:val="1"/>
      <w:marLeft w:val="0"/>
      <w:marRight w:val="0"/>
      <w:marTop w:val="0"/>
      <w:marBottom w:val="0"/>
      <w:divBdr>
        <w:top w:val="none" w:sz="0" w:space="0" w:color="auto"/>
        <w:left w:val="none" w:sz="0" w:space="0" w:color="auto"/>
        <w:bottom w:val="none" w:sz="0" w:space="0" w:color="auto"/>
        <w:right w:val="none" w:sz="0" w:space="0" w:color="auto"/>
      </w:divBdr>
    </w:div>
    <w:div w:id="998651248">
      <w:bodyDiv w:val="1"/>
      <w:marLeft w:val="0"/>
      <w:marRight w:val="0"/>
      <w:marTop w:val="0"/>
      <w:marBottom w:val="0"/>
      <w:divBdr>
        <w:top w:val="none" w:sz="0" w:space="0" w:color="auto"/>
        <w:left w:val="none" w:sz="0" w:space="0" w:color="auto"/>
        <w:bottom w:val="none" w:sz="0" w:space="0" w:color="auto"/>
        <w:right w:val="none" w:sz="0" w:space="0" w:color="auto"/>
      </w:divBdr>
    </w:div>
    <w:div w:id="1677688641">
      <w:bodyDiv w:val="1"/>
      <w:marLeft w:val="0"/>
      <w:marRight w:val="0"/>
      <w:marTop w:val="0"/>
      <w:marBottom w:val="0"/>
      <w:divBdr>
        <w:top w:val="none" w:sz="0" w:space="0" w:color="auto"/>
        <w:left w:val="none" w:sz="0" w:space="0" w:color="auto"/>
        <w:bottom w:val="none" w:sz="0" w:space="0" w:color="auto"/>
        <w:right w:val="none" w:sz="0" w:space="0" w:color="auto"/>
      </w:divBdr>
    </w:div>
    <w:div w:id="206976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articles/s41599-023-01875-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nk.springer.com/article/10.1186/s12912-023-01593-2" TargetMode="External"/><Relationship Id="rId12" Type="http://schemas.openxmlformats.org/officeDocument/2006/relationships/hyperlink" Target="https://www3.weforum.org/docs/WEFUSA_NewVisionforEducation_Report201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rontiersin.org/journals/education/articles/10.3389/feduc.2022.950553/full" TargetMode="External"/><Relationship Id="rId11" Type="http://schemas.openxmlformats.org/officeDocument/2006/relationships/hyperlink" Target="https://archive.org/details/reflectivepracti0000scho/page/n5/mode/2up" TargetMode="External"/><Relationship Id="rId5" Type="http://schemas.openxmlformats.org/officeDocument/2006/relationships/hyperlink" Target="https://www.emerald.com/aaouj/article/18/2/176/2733/The-digital-literacy-of-first-year-students-and" TargetMode="External"/><Relationship Id="rId10" Type="http://schemas.openxmlformats.org/officeDocument/2006/relationships/hyperlink" Target="https://www.nationalacademies.org/read/13398" TargetMode="External"/><Relationship Id="rId4" Type="http://schemas.openxmlformats.org/officeDocument/2006/relationships/webSettings" Target="webSettings.xml"/><Relationship Id="rId9" Type="http://schemas.openxmlformats.org/officeDocument/2006/relationships/hyperlink" Target="https://link.springer.com/article/10.1186/s41239-019-0152-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4</Pages>
  <Words>1714</Words>
  <Characters>9776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yasir</dc:creator>
  <cp:keywords/>
  <dc:description/>
  <cp:lastModifiedBy>ammar yasir</cp:lastModifiedBy>
  <cp:revision>10</cp:revision>
  <dcterms:created xsi:type="dcterms:W3CDTF">2025-06-20T09:53:00Z</dcterms:created>
  <dcterms:modified xsi:type="dcterms:W3CDTF">2025-12-06T20:03:00Z</dcterms:modified>
</cp:coreProperties>
</file>