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D5624" w14:textId="4698EE35" w:rsidR="008D6E29" w:rsidRDefault="008D6E29" w:rsidP="008D6E29">
      <w:pPr>
        <w:jc w:val="center"/>
      </w:pPr>
      <w:r>
        <w:t>Academic Study Skills for Students: ECGE4001R</w:t>
      </w:r>
    </w:p>
    <w:p w14:paraId="73F74716" w14:textId="1383111C" w:rsidR="008D6E29" w:rsidRDefault="008D6E29" w:rsidP="008D6E29"/>
    <w:p w14:paraId="1F01E914" w14:textId="1A13A417" w:rsidR="008D6E29" w:rsidRDefault="008D6E29" w:rsidP="008D6E29">
      <w:r>
        <w:t>Part 1 – Paraphrasing Gross Chapter 37</w:t>
      </w:r>
    </w:p>
    <w:p w14:paraId="7E8AB302" w14:textId="6D37B4CD" w:rsidR="0079030B" w:rsidRPr="0090369E" w:rsidRDefault="0079030B" w:rsidP="008D6E29">
      <w:pPr>
        <w:rPr>
          <w:i/>
        </w:rPr>
      </w:pPr>
      <w:r w:rsidRPr="0090369E">
        <w:rPr>
          <w:i/>
        </w:rPr>
        <w:t xml:space="preserve">This paraphrased content will be from page </w:t>
      </w:r>
      <w:r w:rsidR="0090369E">
        <w:rPr>
          <w:i/>
        </w:rPr>
        <w:t>5</w:t>
      </w:r>
      <w:r w:rsidRPr="0090369E">
        <w:rPr>
          <w:i/>
        </w:rPr>
        <w:t>82 on ‘Hall’s theory: adolescence as stress and storm.</w:t>
      </w:r>
    </w:p>
    <w:p w14:paraId="79851CFC" w14:textId="7D447954" w:rsidR="0090369E" w:rsidRDefault="0090369E" w:rsidP="00233A96">
      <w:r>
        <w:t>Hall in 1904 was one of the first to theorise adolescence which also had influences of Darwin’s evolutionary theory. He stated that psychological development is determined by the biological and cultural evolution of the human species. Storm and stress are how Hall described adolescence’s effect on humans and this is partly due to the violent history of humans.</w:t>
      </w:r>
    </w:p>
    <w:p w14:paraId="46EF7AEF" w14:textId="65E0C95D" w:rsidR="0090369E" w:rsidRDefault="00D01ABA" w:rsidP="00233A96">
      <w:r>
        <w:t>Evidence from this theory suggests that there is a stronger reaction</w:t>
      </w:r>
      <w:r w:rsidR="006B3DCE">
        <w:t xml:space="preserve"> and</w:t>
      </w:r>
      <w:r>
        <w:t xml:space="preserve"> is far more common during adolescence years in contrast to other parts of </w:t>
      </w:r>
      <w:r w:rsidR="006B3DCE">
        <w:t>people’s</w:t>
      </w:r>
      <w:r>
        <w:t xml:space="preserve"> lives. </w:t>
      </w:r>
      <w:r w:rsidR="006B3DCE">
        <w:t xml:space="preserve">To support this is a study conducted in 1984 by Csikszentmihalyi and Larson, showing that high school students were frequently displaying rapid change in behaviours such as, extreme happiness to depressed feelings of sadness in under and hour. </w:t>
      </w:r>
    </w:p>
    <w:p w14:paraId="10E59CE9" w14:textId="591EB0AD" w:rsidR="006B3DCE" w:rsidRDefault="006B3DCE" w:rsidP="00233A96">
      <w:r>
        <w:t>An important factor in Hall’s stress and storm theory is mental disorders. More than one study looking at mental illness in early maturing girls have found that they score higher on measures of sadness and depressive feelings, however these results were only true due to the girls either moving schools or before moving. This could have an impact on their emotions which lead them to feeling more sad or depressed, (Peterson et al</w:t>
      </w:r>
      <w:r w:rsidR="00E832CC">
        <w:t>.</w:t>
      </w:r>
      <w:r>
        <w:t xml:space="preserve">, 1991). </w:t>
      </w:r>
    </w:p>
    <w:p w14:paraId="33945867" w14:textId="27B69F4F" w:rsidR="006B3DCE" w:rsidRDefault="006B3DCE" w:rsidP="00233A96">
      <w:r>
        <w:t>On the other hand, the results for boys were for more mixed than the girls. It was found that even though maturing earlier is seen as beneficial and advantageous, the studies have linked it to be associated with psychopathology, anxiety and depressive thoughts and actions</w:t>
      </w:r>
      <w:r w:rsidR="009E6952">
        <w:t xml:space="preserve"> (Alsaker, 1996).</w:t>
      </w:r>
    </w:p>
    <w:p w14:paraId="240A6707" w14:textId="55C747EA" w:rsidR="009E6952" w:rsidRDefault="009E6952" w:rsidP="00CD7830">
      <w:r>
        <w:t>A study conducted by Rutter et al, (1976) looked at the difference in mental health between humans during adolescence (14-15 years of age) and ten-year-olds. The study consisted of questionnaires given to people close to the 14-15-year olds like their parents and school teachers asking about their behaviours, also the participants in the study were also interviewed by psychiatrists. The results showed that rates of psychiatric disorders in adolescence was higher than that in ten-year-olds. However, a large portion of the adolescence had had psychiatric disorders before and during their childhood and would normally be down to stressful situations such as martial issues at home</w:t>
      </w:r>
      <w:r w:rsidR="00E832CC">
        <w:t xml:space="preserve"> (Rutter et al., 1976).</w:t>
      </w:r>
    </w:p>
    <w:p w14:paraId="4AC840CE" w14:textId="2E3CEFF0" w:rsidR="009E6952" w:rsidRDefault="00E832CC" w:rsidP="00233A96">
      <w:r>
        <w:t xml:space="preserve">Clinical depression in western societies isn’t extremely common as it’s a small minority of adolescence that display signs of clinical depression or display affective disturbances (Compass et al., 1993). Alternatively, most of adolescence were worrying about issues that occur in our everyday lives, for example, school worries, tests, examination performances, finding a job, family relationships, self-image and also their future (Gallagher et al., 1992). </w:t>
      </w:r>
    </w:p>
    <w:p w14:paraId="12C3720A" w14:textId="4738917F" w:rsidR="009E6952" w:rsidRDefault="00895D20" w:rsidP="00233A96">
      <w:r>
        <w:t>Another aspect of the storm and stress theory by Hall was the studies of delinquent behaviour. Similar results were gathered like the studies of mental health in adolescence. Early maturing girls were more likely to show delinquent behaviours such as, breaking windows, stealing and getting drunk (Caspi et al., 1993). This was also more apparent in mixed sex schools as there was a study on Swedish girls by Magnusson (Magnusson et al.,1985).</w:t>
      </w:r>
    </w:p>
    <w:p w14:paraId="2CE9FDB4" w14:textId="77777777" w:rsidR="009E6952" w:rsidRDefault="009E6952" w:rsidP="00233A96"/>
    <w:p w14:paraId="55C9E06E" w14:textId="108B9F4C" w:rsidR="0090369E" w:rsidRDefault="0090369E" w:rsidP="00233A96"/>
    <w:p w14:paraId="6DE73BD9" w14:textId="77777777" w:rsidR="00AF0858" w:rsidRDefault="0043667A" w:rsidP="00AF0858">
      <w:r>
        <w:lastRenderedPageBreak/>
        <w:t>Part 2 – Summary of three journal papers</w:t>
      </w:r>
      <w:r w:rsidR="00030768">
        <w:t xml:space="preserve"> </w:t>
      </w:r>
    </w:p>
    <w:p w14:paraId="79E5BBE6" w14:textId="1570FC07" w:rsidR="00AF0858" w:rsidRPr="00631628" w:rsidRDefault="00AF0858" w:rsidP="00AF0858">
      <w:pPr>
        <w:rPr>
          <w:rFonts w:eastAsia="Times New Roman" w:cstheme="minorHAnsi"/>
          <w:color w:val="000000"/>
          <w:kern w:val="36"/>
          <w:u w:val="single"/>
          <w:lang w:eastAsia="en-GB"/>
        </w:rPr>
      </w:pPr>
      <w:r w:rsidRPr="00AF0858">
        <w:rPr>
          <w:rFonts w:eastAsia="Times New Roman" w:cstheme="minorHAnsi"/>
          <w:color w:val="000000"/>
          <w:kern w:val="36"/>
          <w:u w:val="single"/>
          <w:lang w:eastAsia="en-GB"/>
        </w:rPr>
        <w:t>How to write a good abstract for a scientific paper or conference presentation</w:t>
      </w:r>
      <w:r w:rsidRPr="00631628">
        <w:rPr>
          <w:rFonts w:eastAsia="Times New Roman" w:cstheme="minorHAnsi"/>
          <w:color w:val="000000"/>
          <w:kern w:val="36"/>
          <w:u w:val="single"/>
          <w:lang w:eastAsia="en-GB"/>
        </w:rPr>
        <w:t>:</w:t>
      </w:r>
    </w:p>
    <w:p w14:paraId="2A81456D" w14:textId="3FE42BD5" w:rsidR="008977C2" w:rsidRDefault="00F246FB" w:rsidP="00AF0858">
      <w:pPr>
        <w:rPr>
          <w:rFonts w:eastAsia="Times New Roman" w:cstheme="minorHAnsi"/>
          <w:color w:val="000000"/>
          <w:kern w:val="36"/>
          <w:lang w:eastAsia="en-GB"/>
        </w:rPr>
      </w:pPr>
      <w:r>
        <w:rPr>
          <w:rFonts w:eastAsia="Times New Roman" w:cstheme="minorHAnsi"/>
          <w:color w:val="000000"/>
          <w:kern w:val="36"/>
          <w:lang w:eastAsia="en-GB"/>
        </w:rPr>
        <w:t xml:space="preserve">This paper goes through how to write good abstracts that target all ages with any type of experience but especially written for younger researchers. The abstract is an extremely vital part of any scientific journal or paper as many people picking to chose what they want to read glance at the abstract to see it content. Therefore, creating a strong abstract is necessary to help readers understand what the journal article is about. Many examples of different needs that the abstract requires, such as a few lines on background, importance of correct information for methods, results being very important in ensuring the reader understand what the accurate findings that were gathered and lastly conclusion which should consist of tailoring the abstract to what the journal article is about. </w:t>
      </w:r>
    </w:p>
    <w:p w14:paraId="448959A8" w14:textId="58C732B9" w:rsidR="00AF0858" w:rsidRPr="00631628" w:rsidRDefault="00AF0858" w:rsidP="00AF0858">
      <w:pPr>
        <w:rPr>
          <w:u w:val="single"/>
        </w:rPr>
      </w:pPr>
      <w:r w:rsidRPr="00631628">
        <w:rPr>
          <w:u w:val="single"/>
        </w:rPr>
        <w:t>The role of narcissism in health-risk and health-protective behavio</w:t>
      </w:r>
      <w:r w:rsidRPr="00631628">
        <w:rPr>
          <w:u w:val="single"/>
        </w:rPr>
        <w:t>u</w:t>
      </w:r>
      <w:r w:rsidRPr="00631628">
        <w:rPr>
          <w:u w:val="single"/>
        </w:rPr>
        <w:t>rs</w:t>
      </w:r>
      <w:r w:rsidRPr="00631628">
        <w:rPr>
          <w:u w:val="single"/>
        </w:rPr>
        <w:t>:</w:t>
      </w:r>
    </w:p>
    <w:p w14:paraId="6CF1C07E" w14:textId="05AB76A2" w:rsidR="00AF0858" w:rsidRDefault="00631628" w:rsidP="00AF0858">
      <w:r>
        <w:t xml:space="preserve">This study looks into how narcissistic attitudes influence risk taking behaviours. Personality is looked at in this study to gain an understanding on how personality traits such as narcissism can have a long-term effect on people’s health. 365 undergraduates were used in this study and had taken a questionnaire with answers showing narcissistic behaviours or neutral answers. Question asked were about health risk behaviours such as smoking, drinking and drug use. Results showed that males scored higher than females and that age didn’t have any correlation.  There was a significant link between smoking, alcohol and drug use to narcissism. There is a correlation between narcissism and risk-taking behaviours. </w:t>
      </w:r>
    </w:p>
    <w:p w14:paraId="14926053" w14:textId="1DF2D0B0" w:rsidR="00AF0858" w:rsidRDefault="00AF0858" w:rsidP="00AF0858">
      <w:pPr>
        <w:rPr>
          <w:u w:val="single"/>
        </w:rPr>
      </w:pPr>
      <w:r w:rsidRPr="00631628">
        <w:rPr>
          <w:u w:val="single"/>
        </w:rPr>
        <w:t>Using the Theory of Planned Behavio</w:t>
      </w:r>
      <w:r w:rsidRPr="00631628">
        <w:rPr>
          <w:u w:val="single"/>
        </w:rPr>
        <w:t>u</w:t>
      </w:r>
      <w:r w:rsidRPr="00631628">
        <w:rPr>
          <w:u w:val="single"/>
        </w:rPr>
        <w:t>r to Predict Gambling Behavio</w:t>
      </w:r>
      <w:r w:rsidRPr="00631628">
        <w:rPr>
          <w:u w:val="single"/>
        </w:rPr>
        <w:t>u</w:t>
      </w:r>
      <w:r w:rsidRPr="00631628">
        <w:rPr>
          <w:u w:val="single"/>
        </w:rPr>
        <w:t>r</w:t>
      </w:r>
      <w:r w:rsidRPr="00631628">
        <w:rPr>
          <w:u w:val="single"/>
        </w:rPr>
        <w:t>:</w:t>
      </w:r>
    </w:p>
    <w:p w14:paraId="073CAD62" w14:textId="0CDFEBFF" w:rsidR="00631628" w:rsidRPr="00226701" w:rsidRDefault="00226701" w:rsidP="00AF0858">
      <w:pPr>
        <w:rPr>
          <w:rFonts w:eastAsia="Times New Roman" w:cstheme="minorHAnsi"/>
          <w:color w:val="000000"/>
          <w:kern w:val="36"/>
          <w:lang w:eastAsia="en-GB"/>
        </w:rPr>
      </w:pPr>
      <w:r>
        <w:rPr>
          <w:rFonts w:eastAsia="Times New Roman" w:cstheme="minorHAnsi"/>
          <w:color w:val="000000"/>
          <w:kern w:val="36"/>
          <w:lang w:eastAsia="en-GB"/>
        </w:rPr>
        <w:t>Gambling too ofte</w:t>
      </w:r>
      <w:r w:rsidR="005D03D3">
        <w:rPr>
          <w:rFonts w:eastAsia="Times New Roman" w:cstheme="minorHAnsi"/>
          <w:color w:val="000000"/>
          <w:kern w:val="36"/>
          <w:lang w:eastAsia="en-GB"/>
        </w:rPr>
        <w:t>n</w:t>
      </w:r>
      <w:r>
        <w:rPr>
          <w:rFonts w:eastAsia="Times New Roman" w:cstheme="minorHAnsi"/>
          <w:color w:val="000000"/>
          <w:kern w:val="36"/>
          <w:lang w:eastAsia="en-GB"/>
        </w:rPr>
        <w:t xml:space="preserve"> can cause proble</w:t>
      </w:r>
      <w:r w:rsidR="005D03D3">
        <w:rPr>
          <w:rFonts w:eastAsia="Times New Roman" w:cstheme="minorHAnsi"/>
          <w:color w:val="000000"/>
          <w:kern w:val="36"/>
          <w:lang w:eastAsia="en-GB"/>
        </w:rPr>
        <w:t>ms financially and socially if it left to get out of control. Gamblers that gamble to this degree can even be diagnosed at a pathological level. 785 participants had completed an assessment battery. Half of the participants had gambled in the past year at least once. The participants were given a questionnaire on how frequently they had gambled and another to asses gambling attitudes. The findings showed that males were far more likely to gamble in the last year and gambled more often than females. Also, white and upper-class students were also more likely to gamble more frequently in comparison to people of other races. This study found that people who gamble frequently are far more of a concern than people who gambled once in the past year. Frequent gamblers were also correlated positively with gambling disorders suggesting that there is a correlation between frequently gambling and gambling related disorders.</w:t>
      </w:r>
    </w:p>
    <w:p w14:paraId="4201B3FC" w14:textId="77777777" w:rsidR="00AF0858" w:rsidRPr="00AF0858" w:rsidRDefault="00AF0858" w:rsidP="00AF0858"/>
    <w:p w14:paraId="7BDBB9F6" w14:textId="77777777" w:rsidR="008D6E29" w:rsidRDefault="008D6E29" w:rsidP="00233A96"/>
    <w:p w14:paraId="5ED4377B" w14:textId="77777777" w:rsidR="008D6E29" w:rsidRDefault="008D6E29" w:rsidP="00233A96"/>
    <w:p w14:paraId="45B2CE7B" w14:textId="77777777" w:rsidR="008D6E29" w:rsidRDefault="008D6E29" w:rsidP="00233A96"/>
    <w:p w14:paraId="058E448A" w14:textId="77777777" w:rsidR="008D6E29" w:rsidRDefault="008D6E29" w:rsidP="00233A96"/>
    <w:p w14:paraId="069279C5" w14:textId="77777777" w:rsidR="008D6E29" w:rsidRDefault="008D6E29" w:rsidP="00233A96"/>
    <w:p w14:paraId="54110C8F" w14:textId="77777777" w:rsidR="008D6E29" w:rsidRDefault="008D6E29" w:rsidP="00233A96"/>
    <w:p w14:paraId="0816B8BD" w14:textId="5E68AD65" w:rsidR="008D6E29" w:rsidRDefault="008D6E29" w:rsidP="00233A96"/>
    <w:p w14:paraId="11411838" w14:textId="3E9F663D" w:rsidR="00A74F85" w:rsidRDefault="007A1004" w:rsidP="00233A96">
      <w:bookmarkStart w:id="0" w:name="_GoBack"/>
      <w:bookmarkEnd w:id="0"/>
      <w:r>
        <w:lastRenderedPageBreak/>
        <w:t xml:space="preserve">Part 3 – Jumbled </w:t>
      </w:r>
      <w:r w:rsidR="00EC0FEA">
        <w:t>Referenc</w:t>
      </w:r>
      <w:r>
        <w:t>e List</w:t>
      </w:r>
    </w:p>
    <w:p w14:paraId="7030CA5E" w14:textId="77777777" w:rsidR="00CD7830" w:rsidRDefault="00CD7830" w:rsidP="00CD7830">
      <w:pPr>
        <w:spacing w:line="276" w:lineRule="auto"/>
      </w:pPr>
      <w:r>
        <w:t xml:space="preserve">Bennett, P. (2011). </w:t>
      </w:r>
      <w:r w:rsidRPr="006C6918">
        <w:rPr>
          <w:i/>
        </w:rPr>
        <w:t>Abnormal and clinical psychology: an introductory textbook.</w:t>
      </w:r>
      <w:r>
        <w:rPr>
          <w:i/>
        </w:rPr>
        <w:t xml:space="preserve"> </w:t>
      </w:r>
      <w:r>
        <w:t>(3</w:t>
      </w:r>
      <w:r w:rsidRPr="006C6918">
        <w:rPr>
          <w:vertAlign w:val="superscript"/>
        </w:rPr>
        <w:t>rd</w:t>
      </w:r>
      <w:r>
        <w:t xml:space="preserve"> edition).    </w:t>
      </w:r>
    </w:p>
    <w:p w14:paraId="2DC81F40" w14:textId="64035DC2" w:rsidR="00CD7830" w:rsidRPr="006C6918" w:rsidRDefault="00CD7830" w:rsidP="00CD7830">
      <w:pPr>
        <w:spacing w:line="276" w:lineRule="auto"/>
      </w:pPr>
      <w:r>
        <w:t xml:space="preserve">         Berkshire, Open university press.</w:t>
      </w:r>
    </w:p>
    <w:p w14:paraId="49A8F1D3" w14:textId="77777777" w:rsidR="00CD7830" w:rsidRDefault="00CD7830" w:rsidP="00CD7830">
      <w:pPr>
        <w:spacing w:line="276" w:lineRule="auto"/>
        <w:rPr>
          <w:vertAlign w:val="superscript"/>
        </w:rPr>
      </w:pPr>
      <w:r>
        <w:t xml:space="preserve">Davey, G. (2014). </w:t>
      </w:r>
      <w:r w:rsidRPr="000C2BAE">
        <w:rPr>
          <w:i/>
        </w:rPr>
        <w:t>Psychopathology: Research, Assessment, and Treatment in Clinical Psychology.</w:t>
      </w:r>
      <w:r>
        <w:rPr>
          <w:i/>
        </w:rPr>
        <w:t xml:space="preserve"> </w:t>
      </w:r>
      <w:r>
        <w:t>(2</w:t>
      </w:r>
      <w:r w:rsidRPr="000C2BAE">
        <w:rPr>
          <w:vertAlign w:val="superscript"/>
        </w:rPr>
        <w:t>nd</w:t>
      </w:r>
    </w:p>
    <w:p w14:paraId="7163A254" w14:textId="1AD071C2" w:rsidR="00CD7830" w:rsidRPr="000C2BAE" w:rsidRDefault="00CD7830" w:rsidP="00CD7830">
      <w:pPr>
        <w:spacing w:line="276" w:lineRule="auto"/>
        <w:ind w:firstLine="720"/>
      </w:pPr>
      <w:r>
        <w:t xml:space="preserve"> edition), Blackwell: Oxford.</w:t>
      </w:r>
    </w:p>
    <w:p w14:paraId="707EBD67" w14:textId="77777777" w:rsidR="00CD7830" w:rsidRDefault="00CD7830" w:rsidP="00CD7830">
      <w:pPr>
        <w:spacing w:line="276" w:lineRule="auto"/>
      </w:pPr>
      <w:r>
        <w:t xml:space="preserve">Day, S. (2015, 9-11 September). </w:t>
      </w:r>
      <w:r w:rsidRPr="00A77702">
        <w:rPr>
          <w:i/>
        </w:rPr>
        <w:t>Families experience of Poverty Stigma in Education</w:t>
      </w:r>
      <w:r>
        <w:rPr>
          <w:i/>
        </w:rPr>
        <w:t xml:space="preserve">. </w:t>
      </w:r>
      <w:r>
        <w:t>[</w:t>
      </w:r>
      <w:r>
        <w:t xml:space="preserve">Developmental </w:t>
      </w:r>
    </w:p>
    <w:p w14:paraId="165766AE" w14:textId="7151F707" w:rsidR="00CD7830" w:rsidRDefault="00CD7830" w:rsidP="00CD7830">
      <w:pPr>
        <w:spacing w:line="276" w:lineRule="auto"/>
        <w:ind w:firstLine="720"/>
      </w:pPr>
      <w:r>
        <w:t>Psychology Section</w:t>
      </w:r>
      <w:r>
        <w:t xml:space="preserve">]. </w:t>
      </w:r>
      <w:r>
        <w:t>University of Central Lancashire</w:t>
      </w:r>
      <w:r>
        <w:t xml:space="preserve">. </w:t>
      </w:r>
      <w:r>
        <w:t>Psychology 46, no. 6</w:t>
      </w:r>
      <w:r>
        <w:t xml:space="preserve">: </w:t>
      </w:r>
      <w:r>
        <w:t>369-375.</w:t>
      </w:r>
    </w:p>
    <w:p w14:paraId="13662FE0" w14:textId="77777777" w:rsidR="00CD7830" w:rsidRDefault="00CD7830" w:rsidP="00CD7830">
      <w:pPr>
        <w:spacing w:line="276" w:lineRule="auto"/>
      </w:pPr>
      <w:r>
        <w:t xml:space="preserve">Doctoral dissertation, </w:t>
      </w:r>
      <w:r w:rsidRPr="00483500">
        <w:rPr>
          <w:i/>
        </w:rPr>
        <w:t>Stigma and mental illness: are there cultural differences?</w:t>
      </w:r>
      <w:r>
        <w:t xml:space="preserve"> </w:t>
      </w:r>
      <w:proofErr w:type="spellStart"/>
      <w:r>
        <w:t>Shemin</w:t>
      </w:r>
      <w:proofErr w:type="spellEnd"/>
      <w:r>
        <w:t xml:space="preserve"> Mohamed, </w:t>
      </w:r>
    </w:p>
    <w:p w14:paraId="320AE5EC" w14:textId="49350DFB" w:rsidR="00CD7830" w:rsidRDefault="00CD7830" w:rsidP="00CD7830">
      <w:pPr>
        <w:spacing w:line="276" w:lineRule="auto"/>
        <w:ind w:firstLine="720"/>
      </w:pPr>
      <w:r>
        <w:t xml:space="preserve">2011, University of East Anglia, </w:t>
      </w:r>
      <w:proofErr w:type="spellStart"/>
      <w:r>
        <w:t>EThOS</w:t>
      </w:r>
      <w:proofErr w:type="spellEnd"/>
      <w:r>
        <w:t xml:space="preserve">, </w:t>
      </w:r>
      <w:proofErr w:type="gramStart"/>
      <w:r>
        <w:t>uk.bl.ethos</w:t>
      </w:r>
      <w:proofErr w:type="gramEnd"/>
      <w:r>
        <w:t xml:space="preserve">.573771 </w:t>
      </w:r>
    </w:p>
    <w:p w14:paraId="1871DBCE" w14:textId="77777777" w:rsidR="00CD7830" w:rsidRDefault="00CD7830" w:rsidP="00CD7830">
      <w:pPr>
        <w:spacing w:line="276" w:lineRule="auto"/>
        <w:rPr>
          <w:i/>
        </w:rPr>
      </w:pPr>
      <w:proofErr w:type="spellStart"/>
      <w:r>
        <w:t>Geekie</w:t>
      </w:r>
      <w:proofErr w:type="spellEnd"/>
      <w:r>
        <w:t xml:space="preserve">, J., &amp; Read, J. (2009). </w:t>
      </w:r>
      <w:r w:rsidRPr="00791427">
        <w:rPr>
          <w:i/>
        </w:rPr>
        <w:t>Making sense of madness: Contesting the meaning of schizophrenia</w:t>
      </w:r>
      <w:r>
        <w:rPr>
          <w:i/>
        </w:rPr>
        <w:t>.</w:t>
      </w:r>
    </w:p>
    <w:p w14:paraId="672357DD" w14:textId="6433BB91" w:rsidR="00CD7830" w:rsidRDefault="00CD7830" w:rsidP="00CD7830">
      <w:pPr>
        <w:spacing w:line="276" w:lineRule="auto"/>
        <w:ind w:left="720" w:firstLine="45"/>
      </w:pPr>
      <w:r>
        <w:t xml:space="preserve">London, Routledge Taylor &amp; Francis. [e-book]. Retrieved from </w:t>
      </w:r>
      <w:hyperlink r:id="rId7" w:history="1">
        <w:r w:rsidRPr="00C65D03">
          <w:rPr>
            <w:rStyle w:val="Hyperlink"/>
          </w:rPr>
          <w:t>http://www.tandfebooks.com/doi/view/10.4324/9780203878422</w:t>
        </w:r>
      </w:hyperlink>
      <w:r>
        <w:t xml:space="preserve"> </w:t>
      </w:r>
    </w:p>
    <w:p w14:paraId="005A16D2" w14:textId="77777777" w:rsidR="00CD7830" w:rsidRDefault="00CD7830" w:rsidP="00CD7830">
      <w:pPr>
        <w:spacing w:line="276" w:lineRule="auto"/>
        <w:rPr>
          <w:i/>
        </w:rPr>
      </w:pPr>
      <w:proofErr w:type="spellStart"/>
      <w:r>
        <w:t>Hanton</w:t>
      </w:r>
      <w:proofErr w:type="spellEnd"/>
      <w:r>
        <w:t xml:space="preserve">, S. and </w:t>
      </w:r>
      <w:proofErr w:type="spellStart"/>
      <w:r>
        <w:t>Mellalieu</w:t>
      </w:r>
      <w:proofErr w:type="spellEnd"/>
      <w:r>
        <w:t xml:space="preserve">, D. S. (2006). </w:t>
      </w:r>
      <w:r w:rsidRPr="00A05D6A">
        <w:rPr>
          <w:i/>
        </w:rPr>
        <w:t>Literature reviews in Sport Psychology</w:t>
      </w:r>
      <w:r>
        <w:rPr>
          <w:i/>
        </w:rPr>
        <w:t xml:space="preserve">: </w:t>
      </w:r>
      <w:r w:rsidRPr="00A05D6A">
        <w:rPr>
          <w:i/>
        </w:rPr>
        <w:t xml:space="preserve">Psychological Response </w:t>
      </w:r>
    </w:p>
    <w:p w14:paraId="51EE9DEA" w14:textId="2FAFA502" w:rsidR="00CD7830" w:rsidRDefault="00CD7830" w:rsidP="00CD7830">
      <w:pPr>
        <w:spacing w:line="276" w:lineRule="auto"/>
        <w:ind w:firstLine="720"/>
      </w:pPr>
      <w:r w:rsidRPr="00A05D6A">
        <w:rPr>
          <w:i/>
        </w:rPr>
        <w:t>to Sport Injury</w:t>
      </w:r>
      <w:r>
        <w:rPr>
          <w:i/>
        </w:rPr>
        <w:t xml:space="preserve">. </w:t>
      </w:r>
      <w:proofErr w:type="spellStart"/>
      <w:r>
        <w:t>Hauppage</w:t>
      </w:r>
      <w:proofErr w:type="spellEnd"/>
      <w:r>
        <w:t>, NY: N</w:t>
      </w:r>
      <w:r>
        <w:t>ova Science Publications</w:t>
      </w:r>
      <w:r>
        <w:t>. 289-319.</w:t>
      </w:r>
    </w:p>
    <w:p w14:paraId="3B65F7D1" w14:textId="77777777" w:rsidR="00CD7830" w:rsidRDefault="00CD7830" w:rsidP="00CD7830">
      <w:pPr>
        <w:spacing w:line="276" w:lineRule="auto"/>
      </w:pPr>
      <w:r>
        <w:t xml:space="preserve">Hasselt, V. B. V., Romano, S. J., &amp; </w:t>
      </w:r>
      <w:proofErr w:type="spellStart"/>
      <w:r>
        <w:t>Vecchi</w:t>
      </w:r>
      <w:proofErr w:type="spellEnd"/>
      <w:r>
        <w:t xml:space="preserve">, G. M. (2008). Role playing: Applications in hostage and </w:t>
      </w:r>
    </w:p>
    <w:p w14:paraId="4A2CF1AC" w14:textId="1B2A28A5" w:rsidR="00CD7830" w:rsidRPr="006C6918" w:rsidRDefault="00CD7830" w:rsidP="00CD7830">
      <w:pPr>
        <w:spacing w:line="276" w:lineRule="auto"/>
        <w:ind w:left="720"/>
      </w:pPr>
      <w:r>
        <w:t xml:space="preserve">crisis negotiation skills training. </w:t>
      </w:r>
      <w:proofErr w:type="spellStart"/>
      <w:r w:rsidRPr="006C6918">
        <w:rPr>
          <w:i/>
        </w:rPr>
        <w:t>Behavior</w:t>
      </w:r>
      <w:proofErr w:type="spellEnd"/>
      <w:r w:rsidRPr="006C6918">
        <w:rPr>
          <w:i/>
        </w:rPr>
        <w:t xml:space="preserve"> Modification</w:t>
      </w:r>
      <w:r>
        <w:rPr>
          <w:i/>
        </w:rPr>
        <w:t>, 32</w:t>
      </w:r>
      <w:r>
        <w:t>(2), 248-263. DOI: 10.1177/0145445507308281</w:t>
      </w:r>
    </w:p>
    <w:p w14:paraId="3BDC608F" w14:textId="77777777" w:rsidR="00CD7830" w:rsidRDefault="00CD7830" w:rsidP="00CD7830">
      <w:pPr>
        <w:spacing w:line="276" w:lineRule="auto"/>
        <w:rPr>
          <w:rStyle w:val="normaltextrun"/>
          <w:rFonts w:ascii="Calibri" w:hAnsi="Calibri" w:cs="Calibri"/>
          <w:color w:val="000000"/>
          <w:shd w:val="clear" w:color="auto" w:fill="FFFFFF"/>
        </w:rPr>
      </w:pPr>
      <w:proofErr w:type="spellStart"/>
      <w:r>
        <w:t>Hefferon</w:t>
      </w:r>
      <w:proofErr w:type="spellEnd"/>
      <w:r>
        <w:t xml:space="preserve">, K. and </w:t>
      </w:r>
      <w:proofErr w:type="spellStart"/>
      <w:r>
        <w:t>Boniwell</w:t>
      </w:r>
      <w:proofErr w:type="spellEnd"/>
      <w:r>
        <w:t>, I. (2011</w:t>
      </w:r>
      <w:r w:rsidRPr="002D5C7B">
        <w:rPr>
          <w:i/>
        </w:rPr>
        <w:t>). Positive psychology: theory, research and applications</w:t>
      </w:r>
      <w:r>
        <w:rPr>
          <w:i/>
        </w:rPr>
        <w:t xml:space="preserve">. </w:t>
      </w:r>
      <w:r>
        <w:rPr>
          <w:rStyle w:val="normaltextrun"/>
          <w:rFonts w:ascii="Calibri" w:hAnsi="Calibri" w:cs="Calibri"/>
          <w:i/>
          <w:iCs/>
          <w:color w:val="000000"/>
          <w:shd w:val="clear" w:color="auto" w:fill="FFFFFF"/>
        </w:rPr>
        <w:t> </w:t>
      </w:r>
      <w:r>
        <w:rPr>
          <w:rStyle w:val="normaltextrun"/>
          <w:rFonts w:ascii="Calibri" w:hAnsi="Calibri" w:cs="Calibri"/>
          <w:color w:val="000000"/>
          <w:shd w:val="clear" w:color="auto" w:fill="FFFFFF"/>
        </w:rPr>
        <w:t xml:space="preserve">New   </w:t>
      </w:r>
    </w:p>
    <w:p w14:paraId="39404141" w14:textId="51E0E5CA" w:rsidR="00CD7830" w:rsidRDefault="00CD7830" w:rsidP="00CD7830">
      <w:pPr>
        <w:spacing w:line="276" w:lineRule="auto"/>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          York, Open University Press: New York.</w:t>
      </w:r>
      <w:r>
        <w:rPr>
          <w:rStyle w:val="eop"/>
          <w:rFonts w:ascii="Calibri" w:hAnsi="Calibri" w:cs="Calibri"/>
          <w:color w:val="000000"/>
          <w:shd w:val="clear" w:color="auto" w:fill="FFFFFF"/>
        </w:rPr>
        <w:t> </w:t>
      </w:r>
    </w:p>
    <w:p w14:paraId="6ECDCF7B" w14:textId="77777777" w:rsidR="00CD7830" w:rsidRDefault="00CD7830" w:rsidP="00CD7830">
      <w:pPr>
        <w:spacing w:line="276" w:lineRule="auto"/>
        <w:rPr>
          <w:i/>
        </w:rPr>
      </w:pPr>
      <w:r>
        <w:t xml:space="preserve">Hill, E. M. (2015). The role of narcissism in health-risk and health-protective </w:t>
      </w:r>
      <w:proofErr w:type="spellStart"/>
      <w:r>
        <w:t>behaviors</w:t>
      </w:r>
      <w:proofErr w:type="spellEnd"/>
      <w:r>
        <w:t xml:space="preserve">. </w:t>
      </w:r>
      <w:r w:rsidRPr="00AE56EC">
        <w:rPr>
          <w:i/>
        </w:rPr>
        <w:t xml:space="preserve">Journal of </w:t>
      </w:r>
    </w:p>
    <w:p w14:paraId="7114386C" w14:textId="3A0F0F61" w:rsidR="00CD7830" w:rsidRPr="00AE56EC" w:rsidRDefault="00CD7830" w:rsidP="00CD7830">
      <w:pPr>
        <w:spacing w:line="276" w:lineRule="auto"/>
        <w:ind w:firstLine="720"/>
      </w:pPr>
      <w:r w:rsidRPr="00AE56EC">
        <w:rPr>
          <w:i/>
        </w:rPr>
        <w:t>health psychology</w:t>
      </w:r>
      <w:r>
        <w:rPr>
          <w:i/>
        </w:rPr>
        <w:t xml:space="preserve">, </w:t>
      </w:r>
      <w:r>
        <w:t>1-12. DOI: 10.1177/1359105315569858</w:t>
      </w:r>
    </w:p>
    <w:p w14:paraId="0136005A" w14:textId="77777777" w:rsidR="00CD7830" w:rsidRDefault="00CD7830" w:rsidP="00CD7830">
      <w:pPr>
        <w:spacing w:line="276" w:lineRule="auto"/>
      </w:pPr>
      <w:proofErr w:type="spellStart"/>
      <w:r>
        <w:t>Mazetti</w:t>
      </w:r>
      <w:proofErr w:type="spellEnd"/>
      <w:r>
        <w:t xml:space="preserve">, G., Schaufeli. W. B., &amp; </w:t>
      </w:r>
      <w:proofErr w:type="spellStart"/>
      <w:r>
        <w:t>Guglielmi</w:t>
      </w:r>
      <w:proofErr w:type="spellEnd"/>
      <w:r>
        <w:t>. D. (2014). Are workaholics born or made? Relations of</w:t>
      </w:r>
    </w:p>
    <w:p w14:paraId="2FC570F6" w14:textId="0FB837E4" w:rsidR="00CD7830" w:rsidRDefault="00CD7830" w:rsidP="00CD7830">
      <w:pPr>
        <w:spacing w:line="276" w:lineRule="auto"/>
        <w:ind w:left="720" w:firstLine="30"/>
      </w:pPr>
      <w:r>
        <w:t xml:space="preserve">workaholism with person characteristics and overwork climate. </w:t>
      </w:r>
      <w:r w:rsidRPr="002D5C7B">
        <w:rPr>
          <w:i/>
        </w:rPr>
        <w:t xml:space="preserve">International journal of stress </w:t>
      </w:r>
      <w:r>
        <w:rPr>
          <w:i/>
        </w:rPr>
        <w:t xml:space="preserve">    </w:t>
      </w:r>
      <w:r w:rsidRPr="002D5C7B">
        <w:rPr>
          <w:i/>
        </w:rPr>
        <w:t>management</w:t>
      </w:r>
      <w:r>
        <w:rPr>
          <w:i/>
        </w:rPr>
        <w:t xml:space="preserve">, </w:t>
      </w:r>
      <w:r w:rsidRPr="002D5C7B">
        <w:rPr>
          <w:i/>
        </w:rPr>
        <w:t>23</w:t>
      </w:r>
      <w:r>
        <w:t>(3), 227-254.</w:t>
      </w:r>
    </w:p>
    <w:p w14:paraId="542B81A9" w14:textId="77777777" w:rsidR="00CD7830" w:rsidRDefault="00CD7830" w:rsidP="00CD7830">
      <w:pPr>
        <w:spacing w:line="276" w:lineRule="auto"/>
      </w:pPr>
      <w:r>
        <w:t xml:space="preserve">Mental Health Foundation (2017). </w:t>
      </w:r>
      <w:r w:rsidRPr="00483500">
        <w:rPr>
          <w:i/>
        </w:rPr>
        <w:t>Computerised cognitive behavioural therapy</w:t>
      </w:r>
      <w:r>
        <w:t xml:space="preserve">. </w:t>
      </w:r>
    </w:p>
    <w:p w14:paraId="448B4C3B" w14:textId="17FFE988" w:rsidR="00CD7830" w:rsidRDefault="00CD7830" w:rsidP="00CD7830">
      <w:pPr>
        <w:spacing w:line="276" w:lineRule="auto"/>
        <w:ind w:left="720"/>
      </w:pPr>
      <w:hyperlink r:id="rId8" w:history="1">
        <w:r w:rsidRPr="00C65D03">
          <w:rPr>
            <w:rStyle w:val="Hyperlink"/>
          </w:rPr>
          <w:t>http://www.mentalhealth.org.uk/podcastsand-videos/computerised-cognitivebehavioural-therapy</w:t>
        </w:r>
      </w:hyperlink>
    </w:p>
    <w:p w14:paraId="013FB530" w14:textId="77777777" w:rsidR="00CD7830" w:rsidRDefault="00CD7830" w:rsidP="00CD7830">
      <w:pPr>
        <w:spacing w:line="276" w:lineRule="auto"/>
      </w:pPr>
      <w:r>
        <w:t xml:space="preserve">Mohamed, S. (2011). </w:t>
      </w:r>
      <w:r w:rsidRPr="00483500">
        <w:rPr>
          <w:i/>
        </w:rPr>
        <w:t>Stigma and mental illness: are there cultural differences?</w:t>
      </w:r>
      <w:r>
        <w:rPr>
          <w:i/>
        </w:rPr>
        <w:t xml:space="preserve"> </w:t>
      </w:r>
      <w:r>
        <w:t xml:space="preserve">(PhD). University of </w:t>
      </w:r>
    </w:p>
    <w:p w14:paraId="2EF85C7C" w14:textId="4FAED574" w:rsidR="00CD7830" w:rsidRDefault="00CD7830" w:rsidP="00CD7830">
      <w:pPr>
        <w:spacing w:line="276" w:lineRule="auto"/>
        <w:ind w:firstLine="720"/>
      </w:pPr>
      <w:r>
        <w:t>East Anglia.</w:t>
      </w:r>
    </w:p>
    <w:p w14:paraId="70C8B7A1" w14:textId="77777777" w:rsidR="00CD7830" w:rsidRDefault="00CD7830" w:rsidP="00CD7830">
      <w:pPr>
        <w:spacing w:line="276" w:lineRule="auto"/>
        <w:rPr>
          <w:i/>
        </w:rPr>
      </w:pPr>
      <w:r>
        <w:t xml:space="preserve">Office for National Statistics. (2016, May 3). </w:t>
      </w:r>
      <w:r w:rsidRPr="00FA3612">
        <w:rPr>
          <w:i/>
        </w:rPr>
        <w:t>Adult drinking habits in Great Britain: 2005 to 2016.</w:t>
      </w:r>
      <w:r>
        <w:rPr>
          <w:i/>
        </w:rPr>
        <w:t xml:space="preserve"> </w:t>
      </w:r>
    </w:p>
    <w:p w14:paraId="0900CDDA" w14:textId="04169116" w:rsidR="00CD7830" w:rsidRDefault="00CD7830" w:rsidP="00CD7830">
      <w:pPr>
        <w:spacing w:line="276" w:lineRule="auto"/>
        <w:ind w:left="720"/>
      </w:pPr>
      <w:r>
        <w:lastRenderedPageBreak/>
        <w:t>Retrieved from https://www.ons.gov.uk/peoplepopulationandcommunity/healthandsocialcare/ drugusealcoholandsmoking/bulletins/opinionsandlifestylesurveyadultdrinkinghabitsingreatbritain/2005to2016</w:t>
      </w:r>
    </w:p>
    <w:p w14:paraId="40F53F0E" w14:textId="77777777" w:rsidR="00CD7830" w:rsidRDefault="00CD7830" w:rsidP="00CD7830">
      <w:pPr>
        <w:spacing w:line="276" w:lineRule="auto"/>
      </w:pPr>
      <w:r>
        <w:t xml:space="preserve">Phelps, Ceri, </w:t>
      </w:r>
      <w:proofErr w:type="spellStart"/>
      <w:r>
        <w:t>Minou</w:t>
      </w:r>
      <w:proofErr w:type="spellEnd"/>
      <w:r>
        <w:t xml:space="preserve">, M., Baker, A., Hughes, C., French, H., . . . Hutchings, P. B. (2017). </w:t>
      </w:r>
      <w:r w:rsidRPr="00B87CDF">
        <w:t xml:space="preserve">Necessary but </w:t>
      </w:r>
    </w:p>
    <w:p w14:paraId="3AF47BBE" w14:textId="77777777" w:rsidR="00CD7830" w:rsidRDefault="00CD7830" w:rsidP="00CD7830">
      <w:pPr>
        <w:spacing w:line="276" w:lineRule="auto"/>
        <w:ind w:firstLine="720"/>
      </w:pPr>
      <w:r w:rsidRPr="00B87CDF">
        <w:t xml:space="preserve">not sufficient? Engaging young people in the development of an avatar‐based online </w:t>
      </w:r>
    </w:p>
    <w:p w14:paraId="7EE5DEA3" w14:textId="1B80E596" w:rsidR="00CD7830" w:rsidRDefault="00CD7830" w:rsidP="00CD7830">
      <w:pPr>
        <w:spacing w:line="276" w:lineRule="auto"/>
        <w:ind w:left="720"/>
      </w:pPr>
      <w:r w:rsidRPr="00B87CDF">
        <w:t>intervention designed to provide psychosocial support to young people affected by their own or a family member's cancer diagnosis</w:t>
      </w:r>
      <w:r>
        <w:t xml:space="preserve">. </w:t>
      </w:r>
      <w:r w:rsidRPr="00B87CDF">
        <w:rPr>
          <w:i/>
        </w:rPr>
        <w:t>Health Expectations</w:t>
      </w:r>
      <w:r>
        <w:rPr>
          <w:i/>
        </w:rPr>
        <w:t>,</w:t>
      </w:r>
      <w:r>
        <w:t xml:space="preserve"> </w:t>
      </w:r>
      <w:r>
        <w:rPr>
          <w:i/>
        </w:rPr>
        <w:t>20</w:t>
      </w:r>
      <w:r>
        <w:t>(3), 459-470.</w:t>
      </w:r>
    </w:p>
    <w:p w14:paraId="10D209C7" w14:textId="77777777" w:rsidR="00CD7830" w:rsidRDefault="00CD7830" w:rsidP="00CD7830">
      <w:pPr>
        <w:spacing w:line="276" w:lineRule="auto"/>
      </w:pPr>
      <w:r>
        <w:t xml:space="preserve">Tarrier, N., </w:t>
      </w:r>
      <w:proofErr w:type="spellStart"/>
      <w:r>
        <w:t>Liversidge</w:t>
      </w:r>
      <w:proofErr w:type="spellEnd"/>
      <w:r>
        <w:t xml:space="preserve">, T., &amp; Gregg, Lynsey. (2006). The acceptability and preference for the     </w:t>
      </w:r>
    </w:p>
    <w:p w14:paraId="539B0721" w14:textId="054A5CAD" w:rsidR="00CD7830" w:rsidRDefault="00CD7830" w:rsidP="00CD7830">
      <w:pPr>
        <w:spacing w:line="276" w:lineRule="auto"/>
        <w:ind w:firstLine="720"/>
      </w:pPr>
      <w:r>
        <w:t xml:space="preserve">  psychological treatment of PTSD. </w:t>
      </w:r>
      <w:r w:rsidRPr="002932A6">
        <w:rPr>
          <w:i/>
        </w:rPr>
        <w:t>Behaviour, research and therapy</w:t>
      </w:r>
      <w:r>
        <w:rPr>
          <w:i/>
        </w:rPr>
        <w:t xml:space="preserve">. 44, </w:t>
      </w:r>
      <w:r>
        <w:t>1643-1656.</w:t>
      </w:r>
    </w:p>
    <w:p w14:paraId="496C70C2" w14:textId="77777777" w:rsidR="00CD7830" w:rsidRDefault="00CD7830" w:rsidP="00CD7830">
      <w:pPr>
        <w:spacing w:line="276" w:lineRule="auto"/>
      </w:pPr>
      <w:proofErr w:type="spellStart"/>
      <w:r>
        <w:t>Ulleberf</w:t>
      </w:r>
      <w:proofErr w:type="spellEnd"/>
      <w:r>
        <w:t xml:space="preserve">, P. &amp; </w:t>
      </w:r>
      <w:proofErr w:type="spellStart"/>
      <w:r>
        <w:t>Rundmo</w:t>
      </w:r>
      <w:proofErr w:type="spellEnd"/>
      <w:r>
        <w:t>, T. (2003). Personality, attitudes and risk perception as predictors of risky</w:t>
      </w:r>
    </w:p>
    <w:p w14:paraId="7D6D56D3" w14:textId="64CDE238" w:rsidR="00CD7830" w:rsidRPr="006C6918" w:rsidRDefault="00CD7830" w:rsidP="00CD7830">
      <w:pPr>
        <w:spacing w:line="276" w:lineRule="auto"/>
        <w:ind w:firstLine="720"/>
      </w:pPr>
      <w:r>
        <w:t xml:space="preserve"> driving behaviour among young drivers. </w:t>
      </w:r>
      <w:r w:rsidRPr="006C6918">
        <w:rPr>
          <w:i/>
        </w:rPr>
        <w:t>Safety Science</w:t>
      </w:r>
      <w:r>
        <w:rPr>
          <w:i/>
        </w:rPr>
        <w:t xml:space="preserve">, 41, </w:t>
      </w:r>
      <w:r>
        <w:t>427-443.</w:t>
      </w:r>
    </w:p>
    <w:p w14:paraId="794928E9" w14:textId="77777777" w:rsidR="00CD7830" w:rsidRDefault="00CD7830" w:rsidP="00CD7830">
      <w:pPr>
        <w:spacing w:line="276" w:lineRule="auto"/>
      </w:pPr>
      <w:proofErr w:type="spellStart"/>
      <w:r>
        <w:t>Vartanian</w:t>
      </w:r>
      <w:proofErr w:type="spellEnd"/>
      <w:r>
        <w:t xml:space="preserve">, Lenny, R., Trewartha, T., &amp; </w:t>
      </w:r>
      <w:proofErr w:type="spellStart"/>
      <w:r>
        <w:t>Vanman</w:t>
      </w:r>
      <w:proofErr w:type="spellEnd"/>
      <w:r>
        <w:t xml:space="preserve">, E. J., (2016). Disgust predicts prejudice and </w:t>
      </w:r>
    </w:p>
    <w:p w14:paraId="66A8D4AF" w14:textId="602EAA53" w:rsidR="00CD7830" w:rsidRDefault="00CD7830" w:rsidP="00CD7830">
      <w:pPr>
        <w:spacing w:line="276" w:lineRule="auto"/>
        <w:ind w:left="720"/>
      </w:pPr>
      <w:r>
        <w:t xml:space="preserve">discrimination toward individuals with obesity. </w:t>
      </w:r>
      <w:r w:rsidRPr="00791427">
        <w:rPr>
          <w:i/>
        </w:rPr>
        <w:t>Journal of Applied Social Psychology</w:t>
      </w:r>
      <w:r>
        <w:rPr>
          <w:i/>
        </w:rPr>
        <w:t>, 46</w:t>
      </w:r>
      <w:r>
        <w:t>(6), 369-375.</w:t>
      </w:r>
    </w:p>
    <w:p w14:paraId="2CB7271A" w14:textId="77777777" w:rsidR="00CD7830" w:rsidRDefault="00CD7830" w:rsidP="00CD7830">
      <w:pPr>
        <w:spacing w:line="276" w:lineRule="auto"/>
      </w:pPr>
      <w:r>
        <w:t xml:space="preserve">Voigt, D. C., </w:t>
      </w:r>
      <w:proofErr w:type="spellStart"/>
      <w:r>
        <w:t>Dillaro</w:t>
      </w:r>
      <w:proofErr w:type="spellEnd"/>
      <w:r>
        <w:t xml:space="preserve">, J. P., Braddock, K. H., Anderson, J. W., </w:t>
      </w:r>
      <w:proofErr w:type="spellStart"/>
      <w:r>
        <w:t>Sopory</w:t>
      </w:r>
      <w:proofErr w:type="spellEnd"/>
      <w:r>
        <w:t>, P., &amp; Stephenson, M. T. (2009).</w:t>
      </w:r>
    </w:p>
    <w:p w14:paraId="75F43D79" w14:textId="0963D5D5" w:rsidR="00CD7830" w:rsidRPr="002932A6" w:rsidRDefault="00CD7830" w:rsidP="00CD7830">
      <w:pPr>
        <w:spacing w:line="276" w:lineRule="auto"/>
        <w:ind w:left="720" w:firstLine="45"/>
      </w:pPr>
      <w:r w:rsidRPr="002932A6">
        <w:t>Carver and White’s (1994) BIS/BAS scales and their relationship to risky health behaviours</w:t>
      </w:r>
      <w:r>
        <w:rPr>
          <w:i/>
        </w:rPr>
        <w:t xml:space="preserve">. </w:t>
      </w:r>
      <w:r w:rsidRPr="002932A6">
        <w:rPr>
          <w:i/>
        </w:rPr>
        <w:t>Personality and individual difference</w:t>
      </w:r>
      <w:r>
        <w:rPr>
          <w:i/>
        </w:rPr>
        <w:t xml:space="preserve">s. 47, </w:t>
      </w:r>
      <w:r>
        <w:t>89-93.</w:t>
      </w:r>
    </w:p>
    <w:p w14:paraId="199F790B" w14:textId="77777777" w:rsidR="00CD7830" w:rsidRDefault="00CD7830" w:rsidP="00CD7830">
      <w:pPr>
        <w:spacing w:line="276" w:lineRule="auto"/>
      </w:pPr>
      <w:r>
        <w:t>Welsh Government. (2015). Well-being of future generations (Wales) act 2015. United Kingdom: The</w:t>
      </w:r>
    </w:p>
    <w:p w14:paraId="35E74D7C" w14:textId="560F077F" w:rsidR="00CD7830" w:rsidRDefault="00CD7830" w:rsidP="00CD7830">
      <w:pPr>
        <w:spacing w:line="276" w:lineRule="auto"/>
        <w:ind w:firstLine="720"/>
      </w:pPr>
      <w:r>
        <w:t xml:space="preserve"> Office Stationary Limited.</w:t>
      </w:r>
    </w:p>
    <w:p w14:paraId="32444790" w14:textId="77777777" w:rsidR="00CD7830" w:rsidRDefault="00CD7830" w:rsidP="00CD7830">
      <w:pPr>
        <w:spacing w:line="276" w:lineRule="auto"/>
        <w:rPr>
          <w:i/>
        </w:rPr>
      </w:pPr>
      <w:r>
        <w:t xml:space="preserve">Williamson, H. (2016, October 12-14). </w:t>
      </w:r>
      <w:r w:rsidRPr="00FB13CA">
        <w:rPr>
          <w:i/>
        </w:rPr>
        <w:t>Supporting adolescents struggling with appearance altering</w:t>
      </w:r>
    </w:p>
    <w:p w14:paraId="059451B6" w14:textId="007A1D22" w:rsidR="00CD7830" w:rsidRPr="00FB13CA" w:rsidRDefault="00CD7830" w:rsidP="00CD7830">
      <w:pPr>
        <w:spacing w:line="276" w:lineRule="auto"/>
        <w:ind w:left="720" w:firstLine="45"/>
      </w:pPr>
      <w:r w:rsidRPr="00FB13CA">
        <w:rPr>
          <w:i/>
        </w:rPr>
        <w:t>conditions: the feasibility of using an online psychosocial intervention (YP Face IT) in primary care</w:t>
      </w:r>
      <w:r>
        <w:rPr>
          <w:i/>
        </w:rPr>
        <w:t xml:space="preserve">. </w:t>
      </w:r>
      <w:r>
        <w:t xml:space="preserve">Annual Primary Care Conference. University of the West of England, Royal College of General Practitioners. </w:t>
      </w:r>
    </w:p>
    <w:p w14:paraId="3E378463" w14:textId="77777777" w:rsidR="00CD7830" w:rsidRDefault="00CD7830" w:rsidP="00CD7830">
      <w:pPr>
        <w:spacing w:line="276" w:lineRule="auto"/>
        <w:rPr>
          <w:i/>
        </w:rPr>
      </w:pPr>
      <w:r>
        <w:t xml:space="preserve">Young, E. (2017, September 18). </w:t>
      </w:r>
      <w:r w:rsidRPr="00FB13CA">
        <w:rPr>
          <w:i/>
        </w:rPr>
        <w:t>Women know better than men what other women are thinking and</w:t>
      </w:r>
    </w:p>
    <w:p w14:paraId="260F676B" w14:textId="4994080F" w:rsidR="00CD7830" w:rsidRPr="00FB13CA" w:rsidRDefault="00CD7830" w:rsidP="00CD7830">
      <w:pPr>
        <w:spacing w:line="276" w:lineRule="auto"/>
        <w:ind w:left="720" w:firstLine="45"/>
      </w:pPr>
      <w:r w:rsidRPr="00FB13CA">
        <w:rPr>
          <w:i/>
        </w:rPr>
        <w:t>feeling</w:t>
      </w:r>
      <w:r>
        <w:rPr>
          <w:i/>
        </w:rPr>
        <w:t xml:space="preserve">. </w:t>
      </w:r>
      <w:r>
        <w:t xml:space="preserve">Research Digest: The British Psychological Society. Retrieved from </w:t>
      </w:r>
      <w:hyperlink r:id="rId9" w:history="1">
        <w:r w:rsidRPr="00C65D03">
          <w:rPr>
            <w:rStyle w:val="Hyperlink"/>
          </w:rPr>
          <w:t>https://digest.bps.org.uk/2017/09/18/women-know-better-thanmenwhat-other-women-are-thinking-and-feeling/</w:t>
        </w:r>
      </w:hyperlink>
    </w:p>
    <w:p w14:paraId="5F036633" w14:textId="77777777" w:rsidR="00483500" w:rsidRDefault="00483500" w:rsidP="00233A96"/>
    <w:p w14:paraId="20749BA7" w14:textId="77777777" w:rsidR="006C6918" w:rsidRDefault="006C6918" w:rsidP="00233A96"/>
    <w:sectPr w:rsidR="006C6918" w:rsidSect="00AF0858">
      <w:head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B1838" w14:textId="77777777" w:rsidR="00094EFF" w:rsidRDefault="00094EFF" w:rsidP="00CD7830">
      <w:pPr>
        <w:spacing w:after="0" w:line="240" w:lineRule="auto"/>
      </w:pPr>
      <w:r>
        <w:separator/>
      </w:r>
    </w:p>
  </w:endnote>
  <w:endnote w:type="continuationSeparator" w:id="0">
    <w:p w14:paraId="44B4B617" w14:textId="77777777" w:rsidR="00094EFF" w:rsidRDefault="00094EFF" w:rsidP="00CD7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E9600" w14:textId="77777777" w:rsidR="00094EFF" w:rsidRDefault="00094EFF" w:rsidP="00CD7830">
      <w:pPr>
        <w:spacing w:after="0" w:line="240" w:lineRule="auto"/>
      </w:pPr>
      <w:r>
        <w:separator/>
      </w:r>
    </w:p>
  </w:footnote>
  <w:footnote w:type="continuationSeparator" w:id="0">
    <w:p w14:paraId="415387CF" w14:textId="77777777" w:rsidR="00094EFF" w:rsidRDefault="00094EFF" w:rsidP="00CD7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56ADB" w14:textId="60412634" w:rsidR="00AF0858" w:rsidRDefault="00AF0858">
    <w:pPr>
      <w:pStyle w:val="Header"/>
    </w:pPr>
    <w:r>
      <w:t>Elisa Storch 1807543</w:t>
    </w:r>
  </w:p>
  <w:p w14:paraId="36043F3E" w14:textId="77777777" w:rsidR="00AF0858" w:rsidRDefault="00AF08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FEA"/>
    <w:rsid w:val="00030768"/>
    <w:rsid w:val="00094EFF"/>
    <w:rsid w:val="000C2BAE"/>
    <w:rsid w:val="001E5484"/>
    <w:rsid w:val="00226701"/>
    <w:rsid w:val="00233A96"/>
    <w:rsid w:val="002932A6"/>
    <w:rsid w:val="002C1C8E"/>
    <w:rsid w:val="002D5C7B"/>
    <w:rsid w:val="003C20FD"/>
    <w:rsid w:val="0043667A"/>
    <w:rsid w:val="00483500"/>
    <w:rsid w:val="005D03D3"/>
    <w:rsid w:val="00631628"/>
    <w:rsid w:val="006B3DCE"/>
    <w:rsid w:val="006C6918"/>
    <w:rsid w:val="0079030B"/>
    <w:rsid w:val="00791427"/>
    <w:rsid w:val="007A1004"/>
    <w:rsid w:val="0085134E"/>
    <w:rsid w:val="00895D20"/>
    <w:rsid w:val="008977C2"/>
    <w:rsid w:val="008D6E29"/>
    <w:rsid w:val="0090369E"/>
    <w:rsid w:val="009A38A9"/>
    <w:rsid w:val="009B2206"/>
    <w:rsid w:val="009E6952"/>
    <w:rsid w:val="00A05D6A"/>
    <w:rsid w:val="00A74F85"/>
    <w:rsid w:val="00A77702"/>
    <w:rsid w:val="00AE56EC"/>
    <w:rsid w:val="00AF0858"/>
    <w:rsid w:val="00B101E9"/>
    <w:rsid w:val="00B87CDF"/>
    <w:rsid w:val="00CD7830"/>
    <w:rsid w:val="00D01ABA"/>
    <w:rsid w:val="00E63C1B"/>
    <w:rsid w:val="00E832CC"/>
    <w:rsid w:val="00EC0FEA"/>
    <w:rsid w:val="00F246FB"/>
    <w:rsid w:val="00FA3612"/>
    <w:rsid w:val="00FB1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68A60"/>
  <w15:chartTrackingRefBased/>
  <w15:docId w15:val="{35120FA3-E064-4066-B2FF-03018742A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F08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A96"/>
    <w:rPr>
      <w:color w:val="0563C1" w:themeColor="hyperlink"/>
      <w:u w:val="single"/>
    </w:rPr>
  </w:style>
  <w:style w:type="character" w:styleId="UnresolvedMention">
    <w:name w:val="Unresolved Mention"/>
    <w:basedOn w:val="DefaultParagraphFont"/>
    <w:uiPriority w:val="99"/>
    <w:semiHidden/>
    <w:unhideWhenUsed/>
    <w:rsid w:val="00233A96"/>
    <w:rPr>
      <w:color w:val="605E5C"/>
      <w:shd w:val="clear" w:color="auto" w:fill="E1DFDD"/>
    </w:rPr>
  </w:style>
  <w:style w:type="character" w:customStyle="1" w:styleId="normaltextrun">
    <w:name w:val="normaltextrun"/>
    <w:basedOn w:val="DefaultParagraphFont"/>
    <w:rsid w:val="002D5C7B"/>
  </w:style>
  <w:style w:type="character" w:customStyle="1" w:styleId="eop">
    <w:name w:val="eop"/>
    <w:basedOn w:val="DefaultParagraphFont"/>
    <w:rsid w:val="002D5C7B"/>
  </w:style>
  <w:style w:type="paragraph" w:styleId="FootnoteText">
    <w:name w:val="footnote text"/>
    <w:basedOn w:val="Normal"/>
    <w:link w:val="FootnoteTextChar"/>
    <w:uiPriority w:val="99"/>
    <w:semiHidden/>
    <w:unhideWhenUsed/>
    <w:rsid w:val="00CD78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7830"/>
    <w:rPr>
      <w:sz w:val="20"/>
      <w:szCs w:val="20"/>
    </w:rPr>
  </w:style>
  <w:style w:type="character" w:styleId="FootnoteReference">
    <w:name w:val="footnote reference"/>
    <w:basedOn w:val="DefaultParagraphFont"/>
    <w:uiPriority w:val="99"/>
    <w:semiHidden/>
    <w:unhideWhenUsed/>
    <w:rsid w:val="00CD7830"/>
    <w:rPr>
      <w:vertAlign w:val="superscript"/>
    </w:rPr>
  </w:style>
  <w:style w:type="paragraph" w:styleId="Header">
    <w:name w:val="header"/>
    <w:basedOn w:val="Normal"/>
    <w:link w:val="HeaderChar"/>
    <w:uiPriority w:val="99"/>
    <w:unhideWhenUsed/>
    <w:rsid w:val="00AF0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858"/>
  </w:style>
  <w:style w:type="paragraph" w:styleId="Footer">
    <w:name w:val="footer"/>
    <w:basedOn w:val="Normal"/>
    <w:link w:val="FooterChar"/>
    <w:uiPriority w:val="99"/>
    <w:unhideWhenUsed/>
    <w:rsid w:val="00AF0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858"/>
  </w:style>
  <w:style w:type="character" w:customStyle="1" w:styleId="Heading1Char">
    <w:name w:val="Heading 1 Char"/>
    <w:basedOn w:val="DefaultParagraphFont"/>
    <w:link w:val="Heading1"/>
    <w:uiPriority w:val="9"/>
    <w:rsid w:val="00AF085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114210">
      <w:bodyDiv w:val="1"/>
      <w:marLeft w:val="0"/>
      <w:marRight w:val="0"/>
      <w:marTop w:val="0"/>
      <w:marBottom w:val="0"/>
      <w:divBdr>
        <w:top w:val="none" w:sz="0" w:space="0" w:color="auto"/>
        <w:left w:val="none" w:sz="0" w:space="0" w:color="auto"/>
        <w:bottom w:val="none" w:sz="0" w:space="0" w:color="auto"/>
        <w:right w:val="none" w:sz="0" w:space="0" w:color="auto"/>
      </w:divBdr>
    </w:div>
    <w:div w:id="191281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org.uk/podcastsand-videos/computerised-cognitivebehavioural-therapy" TargetMode="External"/><Relationship Id="rId3" Type="http://schemas.openxmlformats.org/officeDocument/2006/relationships/settings" Target="settings.xml"/><Relationship Id="rId7" Type="http://schemas.openxmlformats.org/officeDocument/2006/relationships/hyperlink" Target="http://www.tandfebooks.com/doi/view/10.4324/978020387842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C0352-116A-4565-B019-75E670724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6713</TotalTime>
  <Pages>4</Pages>
  <Words>1576</Words>
  <Characters>8988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dc:creator>
  <cp:keywords/>
  <dc:description/>
  <cp:lastModifiedBy>Elisa Storch</cp:lastModifiedBy>
  <cp:revision>12</cp:revision>
  <dcterms:created xsi:type="dcterms:W3CDTF">2018-10-20T08:49:00Z</dcterms:created>
  <dcterms:modified xsi:type="dcterms:W3CDTF">2018-11-09T22:47:00Z</dcterms:modified>
</cp:coreProperties>
</file>