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F98C0" w14:textId="77777777" w:rsidR="00CF2E78" w:rsidRDefault="00CF2E78">
      <w:pPr>
        <w:rPr>
          <w:u w:val="single"/>
        </w:rPr>
      </w:pPr>
    </w:p>
    <w:p w14:paraId="1E65BE45" w14:textId="77777777" w:rsidR="00CF2E78" w:rsidRDefault="00CF2E78">
      <w:pPr>
        <w:rPr>
          <w:u w:val="single"/>
        </w:rPr>
      </w:pPr>
    </w:p>
    <w:p w14:paraId="1CF0617A" w14:textId="77777777" w:rsidR="00CF2E78" w:rsidRDefault="00CF2E78">
      <w:pPr>
        <w:rPr>
          <w:u w:val="single"/>
        </w:rPr>
      </w:pPr>
    </w:p>
    <w:p w14:paraId="22A246C2" w14:textId="77777777" w:rsidR="00CF2E78" w:rsidRDefault="00CF2E78">
      <w:pPr>
        <w:rPr>
          <w:u w:val="single"/>
        </w:rPr>
      </w:pPr>
    </w:p>
    <w:p w14:paraId="6B222AB7" w14:textId="77777777" w:rsidR="00CF2E78" w:rsidRDefault="00CF2E78">
      <w:pPr>
        <w:rPr>
          <w:u w:val="single"/>
        </w:rPr>
      </w:pPr>
    </w:p>
    <w:p w14:paraId="25AD8195" w14:textId="77777777" w:rsidR="00CF2E78" w:rsidRDefault="00CF2E78">
      <w:pPr>
        <w:rPr>
          <w:u w:val="single"/>
        </w:rPr>
      </w:pPr>
    </w:p>
    <w:p w14:paraId="45261E0A" w14:textId="77777777" w:rsidR="00CF2E78" w:rsidRDefault="00CF2E78">
      <w:pPr>
        <w:rPr>
          <w:u w:val="single"/>
        </w:rPr>
      </w:pPr>
    </w:p>
    <w:p w14:paraId="5F4611A8" w14:textId="77777777" w:rsidR="00CF2E78" w:rsidRDefault="00CF2E78">
      <w:pPr>
        <w:rPr>
          <w:u w:val="single"/>
        </w:rPr>
      </w:pPr>
    </w:p>
    <w:p w14:paraId="56F98696" w14:textId="77777777" w:rsidR="00CF2E78" w:rsidRDefault="00CF2E78">
      <w:pPr>
        <w:rPr>
          <w:u w:val="single"/>
        </w:rPr>
      </w:pPr>
    </w:p>
    <w:p w14:paraId="3033F494" w14:textId="77777777" w:rsidR="00CF2E78" w:rsidRDefault="00CF2E78">
      <w:pPr>
        <w:rPr>
          <w:u w:val="single"/>
        </w:rPr>
      </w:pPr>
    </w:p>
    <w:p w14:paraId="18952682" w14:textId="77777777" w:rsidR="00CF2E78" w:rsidRDefault="00CF2E78">
      <w:pPr>
        <w:rPr>
          <w:u w:val="single"/>
        </w:rPr>
      </w:pPr>
    </w:p>
    <w:p w14:paraId="7FD58292" w14:textId="77777777" w:rsidR="00CF2E78" w:rsidRDefault="00CF2E78">
      <w:pPr>
        <w:rPr>
          <w:u w:val="single"/>
        </w:rPr>
      </w:pPr>
    </w:p>
    <w:p w14:paraId="1F2CE912" w14:textId="75DAF1C8" w:rsidR="00CF2E78" w:rsidRPr="003A04B9" w:rsidRDefault="00CF2E78" w:rsidP="00CF2E78">
      <w:pPr>
        <w:jc w:val="center"/>
        <w:rPr>
          <w:sz w:val="72"/>
          <w:szCs w:val="72"/>
          <w:u w:val="single"/>
        </w:rPr>
      </w:pPr>
      <w:r w:rsidRPr="003A04B9">
        <w:rPr>
          <w:sz w:val="72"/>
          <w:szCs w:val="72"/>
          <w:u w:val="single"/>
        </w:rPr>
        <w:t>Time Stomp Festival</w:t>
      </w:r>
    </w:p>
    <w:p w14:paraId="36AED4F9" w14:textId="6091EE24" w:rsidR="00CF2E78" w:rsidRPr="003A04B9" w:rsidRDefault="00CF2E78" w:rsidP="00CF2E78">
      <w:pPr>
        <w:jc w:val="center"/>
        <w:rPr>
          <w:sz w:val="32"/>
          <w:szCs w:val="32"/>
        </w:rPr>
      </w:pPr>
      <w:r w:rsidRPr="003A04B9">
        <w:rPr>
          <w:sz w:val="32"/>
          <w:szCs w:val="32"/>
        </w:rPr>
        <w:t>Legal Research BMLW 5019</w:t>
      </w:r>
    </w:p>
    <w:p w14:paraId="4C4D937E" w14:textId="6B7A8CF9" w:rsidR="00CF2E78" w:rsidRPr="003A04B9" w:rsidRDefault="00CF2E78" w:rsidP="00CF2E78">
      <w:pPr>
        <w:jc w:val="center"/>
        <w:rPr>
          <w:sz w:val="32"/>
          <w:szCs w:val="32"/>
        </w:rPr>
      </w:pPr>
      <w:r w:rsidRPr="003A04B9">
        <w:rPr>
          <w:sz w:val="32"/>
          <w:szCs w:val="32"/>
        </w:rPr>
        <w:t>Gabrial Harris 2305593</w:t>
      </w:r>
    </w:p>
    <w:p w14:paraId="1B675605" w14:textId="77777777" w:rsidR="00CF2E78" w:rsidRPr="003A04B9" w:rsidRDefault="00CF2E78" w:rsidP="00CF2E78">
      <w:pPr>
        <w:jc w:val="center"/>
        <w:rPr>
          <w:sz w:val="32"/>
          <w:szCs w:val="32"/>
          <w:u w:val="single"/>
        </w:rPr>
      </w:pPr>
    </w:p>
    <w:p w14:paraId="66236220" w14:textId="77777777" w:rsidR="00CF2E78" w:rsidRDefault="00CF2E78">
      <w:pPr>
        <w:rPr>
          <w:u w:val="single"/>
        </w:rPr>
      </w:pPr>
    </w:p>
    <w:p w14:paraId="7EFC4054" w14:textId="77777777" w:rsidR="00CF2E78" w:rsidRDefault="00CF2E78">
      <w:pPr>
        <w:rPr>
          <w:u w:val="single"/>
        </w:rPr>
      </w:pPr>
    </w:p>
    <w:p w14:paraId="6F3FA000" w14:textId="77777777" w:rsidR="00CF2E78" w:rsidRDefault="00CF2E78">
      <w:pPr>
        <w:rPr>
          <w:u w:val="single"/>
        </w:rPr>
      </w:pPr>
    </w:p>
    <w:p w14:paraId="0F01DB4B" w14:textId="77777777" w:rsidR="00CF2E78" w:rsidRDefault="00CF2E78">
      <w:pPr>
        <w:rPr>
          <w:u w:val="single"/>
        </w:rPr>
      </w:pPr>
    </w:p>
    <w:p w14:paraId="0D9BA280" w14:textId="77777777" w:rsidR="00CF2E78" w:rsidRDefault="00CF2E78">
      <w:pPr>
        <w:rPr>
          <w:u w:val="single"/>
        </w:rPr>
      </w:pPr>
    </w:p>
    <w:p w14:paraId="280CD40F" w14:textId="77777777" w:rsidR="00CF2E78" w:rsidRDefault="00CF2E78">
      <w:pPr>
        <w:rPr>
          <w:u w:val="single"/>
        </w:rPr>
      </w:pPr>
    </w:p>
    <w:p w14:paraId="41510F0B" w14:textId="77777777" w:rsidR="00CF2E78" w:rsidRDefault="00CF2E78">
      <w:pPr>
        <w:rPr>
          <w:u w:val="single"/>
        </w:rPr>
      </w:pPr>
    </w:p>
    <w:p w14:paraId="65062FD0" w14:textId="77777777" w:rsidR="00CF2E78" w:rsidRDefault="00CF2E78">
      <w:pPr>
        <w:rPr>
          <w:u w:val="single"/>
        </w:rPr>
      </w:pPr>
    </w:p>
    <w:p w14:paraId="79A1D3D7" w14:textId="77777777" w:rsidR="00CF2E78" w:rsidRDefault="00CF2E78">
      <w:pPr>
        <w:rPr>
          <w:u w:val="single"/>
        </w:rPr>
      </w:pPr>
    </w:p>
    <w:p w14:paraId="16F66816" w14:textId="77777777" w:rsidR="00CF2E78" w:rsidRDefault="00CF2E78">
      <w:pPr>
        <w:rPr>
          <w:u w:val="single"/>
        </w:rPr>
      </w:pPr>
    </w:p>
    <w:p w14:paraId="5C32DF4E" w14:textId="77777777" w:rsidR="00CF2E78" w:rsidRDefault="00CF2E78">
      <w:pPr>
        <w:rPr>
          <w:u w:val="single"/>
        </w:rPr>
      </w:pPr>
    </w:p>
    <w:p w14:paraId="6C865813" w14:textId="77777777" w:rsidR="00CF2E78" w:rsidRDefault="00CF2E78">
      <w:pPr>
        <w:rPr>
          <w:u w:val="single"/>
        </w:rPr>
      </w:pPr>
    </w:p>
    <w:p w14:paraId="5600300A" w14:textId="77777777" w:rsidR="00CF2E78" w:rsidRDefault="00CF2E78">
      <w:pPr>
        <w:rPr>
          <w:u w:val="single"/>
        </w:rPr>
      </w:pPr>
    </w:p>
    <w:p w14:paraId="0DA1D048" w14:textId="77777777" w:rsidR="00CF2E78" w:rsidRDefault="00CF2E78">
      <w:pPr>
        <w:rPr>
          <w:u w:val="single"/>
        </w:rPr>
      </w:pPr>
    </w:p>
    <w:p w14:paraId="2B9845FC" w14:textId="0F6B0AD6" w:rsidR="00CF2E78" w:rsidRPr="000369F4" w:rsidRDefault="00CF2E78">
      <w:pPr>
        <w:rPr>
          <w:sz w:val="44"/>
          <w:szCs w:val="44"/>
          <w:u w:val="single"/>
        </w:rPr>
      </w:pPr>
      <w:r w:rsidRPr="000369F4">
        <w:rPr>
          <w:sz w:val="44"/>
          <w:szCs w:val="44"/>
          <w:u w:val="single"/>
        </w:rPr>
        <w:t>Table of Contents</w:t>
      </w:r>
    </w:p>
    <w:p w14:paraId="1C386C96" w14:textId="3FAF8A04" w:rsidR="00CF2E78" w:rsidRPr="00CF2E78" w:rsidRDefault="00CF2E78" w:rsidP="00BB5C12">
      <w:r w:rsidRPr="00CF2E78">
        <w:t xml:space="preserve">Legal Research Plan </w:t>
      </w:r>
      <w:r w:rsidR="00BB5C12">
        <w:t xml:space="preserve">    </w:t>
      </w:r>
      <w:r w:rsidR="00EB62F7">
        <w:t xml:space="preserve">         </w:t>
      </w:r>
      <w:r w:rsidR="00BB5C12">
        <w:t>………………………………………………………………………</w:t>
      </w:r>
      <w:r w:rsidR="00EB62F7">
        <w:t>…      pp. 3</w:t>
      </w:r>
    </w:p>
    <w:p w14:paraId="74D3006B" w14:textId="08AB8DA3" w:rsidR="00CF2E78" w:rsidRPr="00EB62F7" w:rsidRDefault="00EB62F7" w:rsidP="00BB5C12">
      <w:r w:rsidRPr="00EB62F7">
        <w:t>Research and Findings</w:t>
      </w:r>
      <w:r>
        <w:t xml:space="preserve">         </w:t>
      </w:r>
      <w:r>
        <w:t>…………………………………………………………………………</w:t>
      </w:r>
      <w:r>
        <w:t xml:space="preserve">      pp</w:t>
      </w:r>
      <w:r w:rsidR="00D90FD7">
        <w:t>. 4 - 8</w:t>
      </w:r>
    </w:p>
    <w:p w14:paraId="2525B658" w14:textId="71666970" w:rsidR="00D90FD7" w:rsidRDefault="000369F4" w:rsidP="00BB5C12">
      <w:r>
        <w:t xml:space="preserve">Reform Suggestions              </w:t>
      </w:r>
      <w:r>
        <w:t>…………………………………………………………………………</w:t>
      </w:r>
      <w:r>
        <w:t xml:space="preserve">      pp. 9</w:t>
      </w:r>
    </w:p>
    <w:p w14:paraId="1A692B8B" w14:textId="07ABF7B4" w:rsidR="00CF2E78" w:rsidRPr="00BB5C12" w:rsidRDefault="00CF2E78" w:rsidP="00BB5C12">
      <w:pPr>
        <w:rPr>
          <w:u w:val="single"/>
        </w:rPr>
      </w:pPr>
      <w:r>
        <w:t>References</w:t>
      </w:r>
      <w:r w:rsidR="000369F4">
        <w:t xml:space="preserve">                                </w:t>
      </w:r>
      <w:r w:rsidR="000369F4">
        <w:t>…………………………………………………………………………</w:t>
      </w:r>
      <w:r w:rsidR="000369F4">
        <w:t xml:space="preserve">      pp. 10</w:t>
      </w:r>
    </w:p>
    <w:p w14:paraId="363DE0D6" w14:textId="77777777" w:rsidR="00CF2E78" w:rsidRDefault="00CF2E78">
      <w:pPr>
        <w:rPr>
          <w:u w:val="single"/>
        </w:rPr>
      </w:pPr>
    </w:p>
    <w:p w14:paraId="06F2CB58" w14:textId="77777777" w:rsidR="00CF2E78" w:rsidRDefault="00CF2E78">
      <w:pPr>
        <w:rPr>
          <w:u w:val="single"/>
        </w:rPr>
      </w:pPr>
    </w:p>
    <w:p w14:paraId="74B7C115" w14:textId="77777777" w:rsidR="00CF2E78" w:rsidRDefault="00CF2E78">
      <w:pPr>
        <w:rPr>
          <w:u w:val="single"/>
        </w:rPr>
      </w:pPr>
    </w:p>
    <w:p w14:paraId="223A77E7" w14:textId="77777777" w:rsidR="00CF2E78" w:rsidRDefault="00CF2E78">
      <w:pPr>
        <w:rPr>
          <w:u w:val="single"/>
        </w:rPr>
      </w:pPr>
    </w:p>
    <w:p w14:paraId="58C37A6F" w14:textId="77777777" w:rsidR="00CF2E78" w:rsidRDefault="00CF2E78">
      <w:pPr>
        <w:rPr>
          <w:u w:val="single"/>
        </w:rPr>
      </w:pPr>
    </w:p>
    <w:p w14:paraId="5EDA8620" w14:textId="77777777" w:rsidR="00CF2E78" w:rsidRDefault="00CF2E78">
      <w:pPr>
        <w:rPr>
          <w:u w:val="single"/>
        </w:rPr>
      </w:pPr>
    </w:p>
    <w:p w14:paraId="598F167E" w14:textId="77777777" w:rsidR="00CF2E78" w:rsidRDefault="00CF2E78">
      <w:pPr>
        <w:rPr>
          <w:u w:val="single"/>
        </w:rPr>
      </w:pPr>
    </w:p>
    <w:p w14:paraId="0D259804" w14:textId="77777777" w:rsidR="00CF2E78" w:rsidRDefault="00CF2E78">
      <w:pPr>
        <w:rPr>
          <w:u w:val="single"/>
        </w:rPr>
      </w:pPr>
    </w:p>
    <w:p w14:paraId="636B573E" w14:textId="77777777" w:rsidR="00CF2E78" w:rsidRDefault="00CF2E78">
      <w:pPr>
        <w:rPr>
          <w:u w:val="single"/>
        </w:rPr>
      </w:pPr>
    </w:p>
    <w:p w14:paraId="782A68F7" w14:textId="77777777" w:rsidR="00CF2E78" w:rsidRDefault="00CF2E78">
      <w:pPr>
        <w:rPr>
          <w:u w:val="single"/>
        </w:rPr>
      </w:pPr>
    </w:p>
    <w:p w14:paraId="266EBDC4" w14:textId="77777777" w:rsidR="00CF2E78" w:rsidRDefault="00CF2E78">
      <w:pPr>
        <w:rPr>
          <w:u w:val="single"/>
        </w:rPr>
      </w:pPr>
    </w:p>
    <w:p w14:paraId="2CF80CF5" w14:textId="77777777" w:rsidR="00CF2E78" w:rsidRDefault="00CF2E78">
      <w:pPr>
        <w:rPr>
          <w:u w:val="single"/>
        </w:rPr>
      </w:pPr>
    </w:p>
    <w:p w14:paraId="392F2E89" w14:textId="77777777" w:rsidR="00CF2E78" w:rsidRDefault="00CF2E78">
      <w:pPr>
        <w:rPr>
          <w:u w:val="single"/>
        </w:rPr>
      </w:pPr>
    </w:p>
    <w:p w14:paraId="74221614" w14:textId="77777777" w:rsidR="00CF2E78" w:rsidRDefault="00CF2E78">
      <w:pPr>
        <w:rPr>
          <w:u w:val="single"/>
        </w:rPr>
      </w:pPr>
    </w:p>
    <w:p w14:paraId="11C9E1EE" w14:textId="77777777" w:rsidR="00CF2E78" w:rsidRDefault="00CF2E78">
      <w:pPr>
        <w:rPr>
          <w:u w:val="single"/>
        </w:rPr>
      </w:pPr>
    </w:p>
    <w:p w14:paraId="0AADE0AF" w14:textId="77777777" w:rsidR="00CF2E78" w:rsidRDefault="00CF2E78">
      <w:pPr>
        <w:rPr>
          <w:u w:val="single"/>
        </w:rPr>
      </w:pPr>
    </w:p>
    <w:p w14:paraId="1F40292A" w14:textId="77777777" w:rsidR="00CF2E78" w:rsidRDefault="00CF2E78">
      <w:pPr>
        <w:rPr>
          <w:u w:val="single"/>
        </w:rPr>
      </w:pPr>
    </w:p>
    <w:p w14:paraId="2F59F9A7" w14:textId="77777777" w:rsidR="00CF2E78" w:rsidRDefault="00CF2E78">
      <w:pPr>
        <w:rPr>
          <w:u w:val="single"/>
        </w:rPr>
      </w:pPr>
    </w:p>
    <w:p w14:paraId="6AA6716F" w14:textId="77777777" w:rsidR="00D90FD7" w:rsidRDefault="00D90FD7">
      <w:pPr>
        <w:rPr>
          <w:u w:val="single"/>
        </w:rPr>
      </w:pPr>
    </w:p>
    <w:p w14:paraId="758B7134" w14:textId="77777777" w:rsidR="00CF2E78" w:rsidRDefault="00CF2E78">
      <w:pPr>
        <w:rPr>
          <w:u w:val="single"/>
        </w:rPr>
      </w:pPr>
    </w:p>
    <w:p w14:paraId="0FB7EFCA" w14:textId="77777777" w:rsidR="00CF2E78" w:rsidRDefault="00CF2E78">
      <w:pPr>
        <w:rPr>
          <w:u w:val="single"/>
        </w:rPr>
      </w:pPr>
    </w:p>
    <w:p w14:paraId="5EF37FEB" w14:textId="77777777" w:rsidR="00CF2E78" w:rsidRDefault="00CF2E78">
      <w:pPr>
        <w:rPr>
          <w:u w:val="single"/>
        </w:rPr>
      </w:pPr>
    </w:p>
    <w:p w14:paraId="2357AAAA" w14:textId="77777777" w:rsidR="000369F4" w:rsidRDefault="000369F4" w:rsidP="0046061D">
      <w:pPr>
        <w:rPr>
          <w:u w:val="single"/>
        </w:rPr>
      </w:pPr>
    </w:p>
    <w:p w14:paraId="78AB140C" w14:textId="77777777" w:rsidR="000369F4" w:rsidRDefault="000369F4" w:rsidP="0046061D">
      <w:pPr>
        <w:rPr>
          <w:u w:val="single"/>
        </w:rPr>
      </w:pPr>
    </w:p>
    <w:p w14:paraId="3AAC8DDC" w14:textId="6BD9F34C" w:rsidR="00DC63C3" w:rsidRPr="0046061D" w:rsidRDefault="00DC63C3" w:rsidP="0046061D">
      <w:pPr>
        <w:rPr>
          <w:sz w:val="44"/>
          <w:szCs w:val="44"/>
          <w:u w:val="single"/>
        </w:rPr>
      </w:pPr>
      <w:r w:rsidRPr="0046061D">
        <w:rPr>
          <w:sz w:val="44"/>
          <w:szCs w:val="44"/>
          <w:u w:val="single"/>
        </w:rPr>
        <w:lastRenderedPageBreak/>
        <w:t xml:space="preserve">Legal research plan </w:t>
      </w:r>
    </w:p>
    <w:p w14:paraId="24DB6052" w14:textId="77777777" w:rsidR="00A63BF1" w:rsidRDefault="00EF3093">
      <w:r>
        <w:t>Barry Bottleman is seeking legal advice regarding if he would be personally liable for any injuries sustained by the injuries sustained by Sarah, Jack, Mary and Janice.</w:t>
      </w:r>
      <w:r w:rsidR="001F0855">
        <w:t xml:space="preserve"> Sarah had become paralyzed after being trampled by the crowd, also losing her arm </w:t>
      </w:r>
      <w:r w:rsidR="00347AB2">
        <w:t>due to amputation and subsequently, her career</w:t>
      </w:r>
      <w:r w:rsidR="0064464A">
        <w:t xml:space="preserve"> as well as sustaining a burn to the cheek</w:t>
      </w:r>
      <w:r w:rsidR="00347AB2">
        <w:t>.</w:t>
      </w:r>
      <w:r w:rsidR="0064464A">
        <w:t xml:space="preserve"> Jack was similarly trampled however only had superficial injuries. Mary, Janice and Bob were all</w:t>
      </w:r>
      <w:r w:rsidR="005C3F87">
        <w:t xml:space="preserve"> physically unharmed, however received psychiatric injuries being generalised psychiatric disorder, clinical depression, as well as alcoholism</w:t>
      </w:r>
      <w:r w:rsidR="006B73D3">
        <w:t xml:space="preserve"> and psychosis respectively.</w:t>
      </w:r>
      <w:r w:rsidR="0064464A">
        <w:t xml:space="preserve"> </w:t>
      </w:r>
    </w:p>
    <w:p w14:paraId="0CF3422E" w14:textId="428FE1EF" w:rsidR="00EF3093" w:rsidRDefault="00EF3093">
      <w:r>
        <w:t>This</w:t>
      </w:r>
      <w:r w:rsidR="006B73D3">
        <w:t xml:space="preserve"> situation</w:t>
      </w:r>
      <w:r>
        <w:t xml:space="preserve"> would imply that Barry may be liable under tort, which in this case may include negligence and employer’s liability alongside elements such as personal injury, </w:t>
      </w:r>
      <w:r w:rsidR="00921C39">
        <w:t xml:space="preserve">contributory negligence and psychiatric injury. </w:t>
      </w:r>
      <w:r w:rsidR="006B3C1F">
        <w:t xml:space="preserve">Legal issues surrounding the outcomes of this advice as well as opportunities for reform </w:t>
      </w:r>
      <w:r w:rsidR="00452C1C">
        <w:t xml:space="preserve">in the areas of law that are pertinent to this case must also be mentioned. </w:t>
      </w:r>
      <w:r w:rsidR="008E66A6">
        <w:t>In giving advice to Barry</w:t>
      </w:r>
      <w:r w:rsidR="006B73D3">
        <w:t xml:space="preserve"> and conducting research</w:t>
      </w:r>
      <w:r w:rsidR="008E66A6">
        <w:t>, the best course of action will be to divide each possible claimant from each other and analyse their situations individually</w:t>
      </w:r>
      <w:r w:rsidR="001F0855">
        <w:t>, advising on each element of their injuries, what statute or common law governs them, and if Barry would be liable for said injuries.</w:t>
      </w:r>
      <w:r w:rsidR="00A63BF1">
        <w:t xml:space="preserve"> Grouping legal issues with those that have similar qualities will also likely be beneficial to my research.</w:t>
      </w:r>
    </w:p>
    <w:p w14:paraId="5648D13D" w14:textId="4265F11D" w:rsidR="00A63BF1" w:rsidRDefault="00A63BF1">
      <w:r>
        <w:t xml:space="preserve">Within my research, must use reliable sources that are as free of bias as possible, while being factual and high in validity. </w:t>
      </w:r>
      <w:r w:rsidR="001802C2">
        <w:t xml:space="preserve">This will likely be done through using resources for finding factual legal information such as JSTOR and lexis plus, which provide detailed copies and summaries of legislation, legal doctrine and case law allowing the user to find legal journals with opinion pieces scrutinising the law. Hansard is also an important source in scrutinising the law as it allows its readers to quote or paraphrase directly from speech in the House of Commons or the House of Lords </w:t>
      </w:r>
      <w:r w:rsidR="00E9628B">
        <w:t xml:space="preserve">made while scrutinising the law directly. Finally, legislation itself, including common law will be the most important source, as it is what all law is derived from, as well as being entirely factual, given it is still considered good law, and has not been repealed, amended or replaced. </w:t>
      </w:r>
      <w:r w:rsidR="00A71AD9">
        <w:t>An</w:t>
      </w:r>
      <w:r w:rsidR="004F0596">
        <w:t xml:space="preserve"> act that will be particularly useful to my research will be the Employers liability act 1969</w:t>
      </w:r>
      <w:r w:rsidR="00A71AD9">
        <w:t xml:space="preserve">. In the same vein, there are many cases which have established case law that will be pivotal to my research, such as </w:t>
      </w:r>
      <w:r w:rsidR="002D1E97">
        <w:t xml:space="preserve">Caparo industries PLC v Dickman 1990, </w:t>
      </w:r>
      <w:r w:rsidR="00A5791F">
        <w:t xml:space="preserve">Topp v London country bus LTD 1993, and Alcock v Chief constable of South Yorkshire police 1991. </w:t>
      </w:r>
    </w:p>
    <w:p w14:paraId="50E7487D" w14:textId="1B052F57" w:rsidR="00C7285E" w:rsidRDefault="00A5791F">
      <w:r>
        <w:t xml:space="preserve">Within my research, there are </w:t>
      </w:r>
      <w:proofErr w:type="gramStart"/>
      <w:r>
        <w:t>a number of</w:t>
      </w:r>
      <w:proofErr w:type="gramEnd"/>
      <w:r>
        <w:t xml:space="preserve"> methodological approaches to be considered. These are: The doctrinal law methodology, in which law is scrutinized and analysed in isolation, away from outside context such as </w:t>
      </w:r>
      <w:r w:rsidR="000A057A">
        <w:t>socioeconomics</w:t>
      </w:r>
      <w:r>
        <w:t xml:space="preserve"> and instead by its intent, through researching documents such as Hansard, parliamentary transcripts and interviews with the writers of said legislation. </w:t>
      </w:r>
      <w:r w:rsidR="000A057A">
        <w:t>There is also the comparative law methodology, in which researchers will analyse law by comparing it to other similar legislation</w:t>
      </w:r>
      <w:r w:rsidR="002000D5">
        <w:t xml:space="preserve"> and policy</w:t>
      </w:r>
      <w:r w:rsidR="0023359B">
        <w:t>, both domestic and foreign</w:t>
      </w:r>
      <w:r w:rsidR="002000D5">
        <w:t>. The socio-legal methodology is another worth consideration</w:t>
      </w:r>
      <w:r w:rsidR="00301CAC">
        <w:t xml:space="preserve">. It allows the researcher to consider societal effects and impacts of the law, as well as the impacts of any proposed reforms. </w:t>
      </w:r>
      <w:r w:rsidR="00FA0A41">
        <w:t xml:space="preserve">Finally, are critical and race theories, which can be applied to law </w:t>
      </w:r>
      <w:proofErr w:type="gramStart"/>
      <w:r w:rsidR="00FA0A41">
        <w:t>in order to</w:t>
      </w:r>
      <w:proofErr w:type="gramEnd"/>
      <w:r w:rsidR="00FA0A41">
        <w:t xml:space="preserve"> analyse their impacts on minority groups, as well as the effects of systematic inequalities on the law. For the purposes of this research, the doctrinal law methodology will be best, as </w:t>
      </w:r>
      <w:r w:rsidR="00495742">
        <w:t>there are no details given about any legal or social circumstances affecting either the events at hand or the people involved, meaning all information provided would fit directly into the doctrinal law methodology.</w:t>
      </w:r>
    </w:p>
    <w:p w14:paraId="60D50BF4" w14:textId="77777777" w:rsidR="0046061D" w:rsidRDefault="0046061D"/>
    <w:p w14:paraId="02B5F500" w14:textId="77777777" w:rsidR="0046061D" w:rsidRPr="0046061D" w:rsidRDefault="0046061D">
      <w:pPr>
        <w:rPr>
          <w:sz w:val="44"/>
          <w:szCs w:val="44"/>
          <w:u w:val="single"/>
        </w:rPr>
      </w:pPr>
      <w:r w:rsidRPr="0046061D">
        <w:rPr>
          <w:sz w:val="44"/>
          <w:szCs w:val="44"/>
          <w:u w:val="single"/>
        </w:rPr>
        <w:lastRenderedPageBreak/>
        <w:t>Research and Findings</w:t>
      </w:r>
    </w:p>
    <w:p w14:paraId="116FF55E" w14:textId="508C65D3" w:rsidR="00E541CC" w:rsidRDefault="005C2EED">
      <w:r>
        <w:t xml:space="preserve">The Time Stomp Festival taking place in Leeds has recently concluded, however, during the event, an accident had occurred leading the injury of two individuals, and the possible psychiatric injury of another three. One of the affected individuals has </w:t>
      </w:r>
      <w:r w:rsidR="00190F71">
        <w:t>extensive injuries, leading to paralysis, while the other injured party has seemingly superficial bruising and cuts. This accident and the extent of the injury experienced by the attendees of the festival has lead Barry Bottle Man, the organiser of the Time Stomp Festival to seek legal advi</w:t>
      </w:r>
      <w:r w:rsidR="00E541CC">
        <w:t>c</w:t>
      </w:r>
      <w:r w:rsidR="00190F71">
        <w:t xml:space="preserve">e as to his liability </w:t>
      </w:r>
      <w:r w:rsidR="00E541CC">
        <w:t xml:space="preserve">for the accident </w:t>
      </w:r>
      <w:proofErr w:type="gramStart"/>
      <w:r w:rsidR="00E541CC">
        <w:t>in regard to</w:t>
      </w:r>
      <w:proofErr w:type="gramEnd"/>
      <w:r w:rsidR="00E541CC">
        <w:t xml:space="preserve"> the five individuals who claim to have been affected. This report will discuss the fundamental concepts of tort, specifically personal injury and negligence while providing findings from research on said topics. It will also discuss the possibility of Barry Bottle Ma</w:t>
      </w:r>
      <w:r w:rsidR="00115EAF">
        <w:t>n’s liability</w:t>
      </w:r>
      <w:r w:rsidR="00E541CC">
        <w:t xml:space="preserve"> for the injuries sustained by the festival attendees</w:t>
      </w:r>
      <w:r w:rsidR="00115EAF">
        <w:t xml:space="preserve"> and the extent thereof</w:t>
      </w:r>
      <w:r w:rsidR="00E541CC">
        <w:t xml:space="preserve">. </w:t>
      </w:r>
    </w:p>
    <w:p w14:paraId="23C4E254" w14:textId="0C0FCE71" w:rsidR="00C2497F" w:rsidRDefault="00E541CC" w:rsidP="00E541CC">
      <w:r>
        <w:t>It must first be considered if a duty of care was owed by Barry Bottle Man to the five attendees</w:t>
      </w:r>
      <w:r w:rsidR="002033FA">
        <w:t>. The duty of care is the most fundamental concept in tort law</w:t>
      </w:r>
      <w:r w:rsidR="00AA31F1">
        <w:t xml:space="preserve">. Imposing a duty of care upon a person would explicitly state that one party </w:t>
      </w:r>
      <w:r w:rsidR="007448AD">
        <w:t xml:space="preserve">owes attention to another as to not cause harm through their acts or omissions. This principal was first established in Donoghue v Stevenson (1939), in which the presiding judge, Lord Atkin, decided that those who engage in an act must owe those who </w:t>
      </w:r>
      <w:r w:rsidR="00115EAF">
        <w:t>may be affected by the act must take mind to avoid any harm coming to those affected as a result of the act</w:t>
      </w:r>
      <w:r w:rsidR="008C283E">
        <w:t xml:space="preserve"> however, there is no single test for duty of care. The courts maintain discretion as to how a particular case should be handled and what criteria should be met to impose a duty of care</w:t>
      </w:r>
      <w:r w:rsidR="00115EAF">
        <w:t>. Lord Atkin</w:t>
      </w:r>
      <w:r w:rsidR="000C05C5">
        <w:t>’s decision was informed by biblical scripture, specifically verses referencing the Christian doctrine of “love thy neighbour”, leading this method of imposing a duty of care to be referred to as “the neighbour principle”.</w:t>
      </w:r>
      <w:r w:rsidR="007A521E">
        <w:t xml:space="preserve"> In the context of law, a “neighbour” was clarified by Lord Atkin to be anyone that ought to have been thought about when considering an act.</w:t>
      </w:r>
      <w:r w:rsidR="000C05C5">
        <w:t xml:space="preserve"> The neighbour principle required two specific criteria be met to impose of duty of care upon someone. </w:t>
      </w:r>
    </w:p>
    <w:p w14:paraId="749BA220" w14:textId="14FA170D" w:rsidR="00E541CC" w:rsidRDefault="000C05C5" w:rsidP="00E541CC">
      <w:r>
        <w:t xml:space="preserve">The first criteria for duty of care as decided by Lord Atkin </w:t>
      </w:r>
      <w:r w:rsidR="007A521E">
        <w:t xml:space="preserve">is that there must be reasonable foreseeability that a negative consequence may arise from the act. </w:t>
      </w:r>
      <w:r w:rsidR="00C2497F">
        <w:t>This can concept is demonstrated by Smith v Littlewoods Organisation</w:t>
      </w:r>
      <w:r w:rsidR="009306F1">
        <w:t xml:space="preserve"> Ltd (1987)</w:t>
      </w:r>
      <w:r w:rsidR="00C2497F">
        <w:t>, in which the owner of a cinema, who intended to renovate and develop the property, had their property burned down by vandals. The court decided that the owner of the cinema was not liable for any damage caused to the adjoining properties, as</w:t>
      </w:r>
      <w:r w:rsidR="002B155F">
        <w:t xml:space="preserve"> there was no indication that the building was inherently susceptible to fires</w:t>
      </w:r>
      <w:r w:rsidR="00E817D7">
        <w:t xml:space="preserve"> as well as the building not being open to the public</w:t>
      </w:r>
      <w:r w:rsidR="002B155F">
        <w:t xml:space="preserve">, meaning it was not reasonably foreseeable that someone would </w:t>
      </w:r>
      <w:r w:rsidR="00E817D7">
        <w:t xml:space="preserve">unlawfully </w:t>
      </w:r>
      <w:r w:rsidR="002B155F">
        <w:t xml:space="preserve">enter the building </w:t>
      </w:r>
      <w:proofErr w:type="gramStart"/>
      <w:r w:rsidR="002B155F">
        <w:t>in order to</w:t>
      </w:r>
      <w:proofErr w:type="gramEnd"/>
      <w:r w:rsidR="002B155F">
        <w:t xml:space="preserve"> set fire to it. </w:t>
      </w:r>
      <w:r w:rsidR="00387A2B">
        <w:t xml:space="preserve">In the case of Barry Bottle Man, it is likely that technical faults or risk of injury surrounding inherently dangerous </w:t>
      </w:r>
      <w:r w:rsidR="00A641C6">
        <w:t xml:space="preserve">devices near a </w:t>
      </w:r>
      <w:r w:rsidR="00394667">
        <w:t>large crowd would be considered as reasonably foreseeable. While Palsgraf v Long Island Rail</w:t>
      </w:r>
      <w:r w:rsidR="004B2799">
        <w:t>road</w:t>
      </w:r>
      <w:r w:rsidR="00394667">
        <w:t xml:space="preserve"> (1928) is an American case, meaning it does not affect the law of England and Wales, it does mirror the case of Barry Bottle Man well in its application of reasonable foreseeability in the use of fireworks. In Palsgraf, it was decided that the damage caused was not foreseeable as the injuries sustained by the claimant were not directly caused by the explosion of the fireworks, but a chain of events caused by, but ultimately far removed enough from the explosion as to not have been reasonably foreseeable. If the injury had been caused directly by the fireworks, it would be likely that it would have been decided to be reasonably foreseeable</w:t>
      </w:r>
      <w:r w:rsidR="00FA63A5">
        <w:t xml:space="preserve">. </w:t>
      </w:r>
    </w:p>
    <w:p w14:paraId="4B180651" w14:textId="4B78B3C7" w:rsidR="00E817D7" w:rsidRDefault="00190046" w:rsidP="00190046">
      <w:r>
        <w:t xml:space="preserve">The next criteria that </w:t>
      </w:r>
      <w:proofErr w:type="gramStart"/>
      <w:r>
        <w:t>was</w:t>
      </w:r>
      <w:proofErr w:type="gramEnd"/>
      <w:r>
        <w:t xml:space="preserve"> specified by Lord Atkin in the imposition of a duty of care is proximity. Proximity, in this context relates to the proximity of relationship of the two or more parties </w:t>
      </w:r>
      <w:r>
        <w:lastRenderedPageBreak/>
        <w:t>involved in an incident</w:t>
      </w:r>
      <w:r w:rsidR="00CF5654">
        <w:t xml:space="preserve"> as opposed to their physical proximity alone</w:t>
      </w:r>
      <w:r w:rsidR="004B16E2">
        <w:t>, which in his judgement is referred to in the form of the “neighbour”, and his definition of such</w:t>
      </w:r>
      <w:r>
        <w:t xml:space="preserve">. </w:t>
      </w:r>
      <w:r w:rsidR="006D470A">
        <w:t xml:space="preserve">This can be seen applied in Alcock v Chief Constable of South Yorkshire Police (1991). In this case, it was decided that those in the </w:t>
      </w:r>
      <w:proofErr w:type="gramStart"/>
      <w:r w:rsidR="006D470A">
        <w:t>general public</w:t>
      </w:r>
      <w:proofErr w:type="gramEnd"/>
      <w:r w:rsidR="006D470A">
        <w:t xml:space="preserve"> who had witnessed or experienced the aftermath of the Hillsborough disaster </w:t>
      </w:r>
      <w:r w:rsidR="00387A2B">
        <w:t xml:space="preserve">were not proximate enough in relationship to the defendant as they had not been directly affected by the defendant’s act. This lack of proximity shows that only those who are directly involved in an incident have sufficiently proximate relationship to the other party. </w:t>
      </w:r>
      <w:r w:rsidR="00CF5654">
        <w:t xml:space="preserve">Another such case showing the doctrine of proximity within duty of care is Chadwick v British Railways Board (1967). This case concerns a window cleaner, Chadwick, who had been injured by psychiatric shock </w:t>
      </w:r>
      <w:r w:rsidR="008B1855">
        <w:t xml:space="preserve">after rescuing victims of a train crash. While Chadwick was not physically proximate to the railway board, he was proximate in relationship, as the railway board was responsible for the train that had </w:t>
      </w:r>
      <w:r w:rsidR="00605FE9">
        <w:t>crashed and</w:t>
      </w:r>
      <w:r w:rsidR="008B1855">
        <w:t xml:space="preserve"> thus was responsible for the injuries sustained by Chadwick due to his </w:t>
      </w:r>
      <w:r w:rsidR="00EC0A0D">
        <w:t xml:space="preserve">attempts to </w:t>
      </w:r>
      <w:r w:rsidR="00605FE9">
        <w:t xml:space="preserve">prevent harm from the railway board’s negligent act. Barry Bottle Man likely has proximity to the </w:t>
      </w:r>
      <w:r w:rsidR="008C283E">
        <w:t>five</w:t>
      </w:r>
      <w:r w:rsidR="00605FE9">
        <w:t xml:space="preserve"> claimants in this case, as two had been directly affected by the harmful consequences of his possibly negligent act, being Jack and Sarah, while </w:t>
      </w:r>
      <w:r w:rsidR="00A81444">
        <w:t>two other victims of psychiatric injury, Mary and Bob had been rescuers in the situation. In the cases of these four parties, Barry likely has a proximate relationship to them</w:t>
      </w:r>
      <w:r w:rsidR="008C283E">
        <w:t xml:space="preserve"> as was seen in Chadwick</w:t>
      </w:r>
      <w:r w:rsidR="00A81444">
        <w:t>. Janice, the final injured person may also likely have a proximate relationship to Barry, being an attendee at his event. This is</w:t>
      </w:r>
      <w:r w:rsidR="008C283E">
        <w:t xml:space="preserve"> however not exclusive to Janice but applies to all five of the injured parties. </w:t>
      </w:r>
    </w:p>
    <w:p w14:paraId="6806CFA0" w14:textId="6ECDAB21" w:rsidR="00A86957" w:rsidRDefault="008C283E" w:rsidP="00190046">
      <w:r>
        <w:t>While the neighbour principle set out in Donoghue was a monumental achievement withing the law of England and Wales, it, over time, had begun to show weaknesse</w:t>
      </w:r>
      <w:r w:rsidR="004D4DE2">
        <w:t xml:space="preserve">s due to its lack of forgiveness and nuance, leading to some rulings that could be seen as unjust. </w:t>
      </w:r>
      <w:r w:rsidR="004B16E2">
        <w:t xml:space="preserve">This would lead to the </w:t>
      </w:r>
      <w:r w:rsidR="002F7E3C">
        <w:t xml:space="preserve">development of the Caparo test in Caparo Industries PLC v Dickman (1990). The judgement in Caparo would be a landmark within the law of tort in England and Wales not only due to its explicit statement of the proximity and reasonable foreseeability requirements, which were previously only implied by the statements made by Lord Atkin, but also due to the implementation of a third criteria, which requires that it would be fair just and reasonable to impose a duty of care. </w:t>
      </w:r>
      <w:r w:rsidR="00FC49D6">
        <w:t xml:space="preserve">In cases such as Marc Rich and Co v Bishop Rock Marine Co Ltd (1995), no duty was imposed due to the court’s agreement that it would be unjust to do so. In this specific case, imposing a duty of care would have fundamentally shifted the burden of insurance, unfairly requiring that couriers, such as ship owners </w:t>
      </w:r>
      <w:proofErr w:type="gramStart"/>
      <w:r w:rsidR="00FC49D6">
        <w:t>insure</w:t>
      </w:r>
      <w:proofErr w:type="gramEnd"/>
      <w:r w:rsidR="00FC49D6">
        <w:t xml:space="preserve"> the products they carry without reimbursement or benefit, also making them open to liability for accidents during shipping they normally would not be liable for. </w:t>
      </w:r>
      <w:r w:rsidR="00D74A0E">
        <w:t>The court would likely find it to be just and reasonable to impose a duty on Barry for the injuries sustained, as he was the organiser of the event at which they had been injured. Imposing a duty would not create any complications or contradictions wit</w:t>
      </w:r>
      <w:r w:rsidR="00DA1422">
        <w:t xml:space="preserve">hin the law, while also avoiding placing an unreasonable burden on Barry, given his position of power and influence to have avoided the injury. </w:t>
      </w:r>
    </w:p>
    <w:p w14:paraId="1D25570E" w14:textId="5714342A" w:rsidR="00610DEA" w:rsidRDefault="005F4C1F" w:rsidP="00190046">
      <w:r>
        <w:t>The next element to be analysed when considering liability in Tort cases is breach of d</w:t>
      </w:r>
      <w:r w:rsidR="00433278">
        <w:t xml:space="preserve">uty. The case which is most often considered to be the authority on breach of duty is Blyth v Birmingham Waterworks co (1856), in which Blyth sued due to a failure in the water system that had caused flooding due to a burst fireplug. It was decided by the court that there was no evidence that the burst had been caused by any fault but instead was caused by an extraordinary frost. This </w:t>
      </w:r>
      <w:r w:rsidR="00EC1A7E">
        <w:t>led</w:t>
      </w:r>
      <w:r w:rsidR="00433278">
        <w:t xml:space="preserve"> to no evidence being submitted to the jury</w:t>
      </w:r>
      <w:r w:rsidR="00EC1A7E">
        <w:t xml:space="preserve"> on the grounds that there was nothing a reasonable person could have done to prevent the losses and damage caused by the frost. The jury thus found Birmingham Waterworks to not be liable for the damage. This case demonstrates that the test on which a breach of duty is determined is that of a comparison to the expected actions of </w:t>
      </w:r>
      <w:r w:rsidR="00EC1A7E">
        <w:lastRenderedPageBreak/>
        <w:t xml:space="preserve">the “reasonable person” and is therefore an objective test. </w:t>
      </w:r>
      <w:r w:rsidR="0044251E">
        <w:t xml:space="preserve">The reasonable person is generally considered to be someone entirely average, and who gives reasonable care and attention to cause no harm in their actions as is specified by Vaughan v Menlove (1837) which is the originating case of the concept of the reasonable person. </w:t>
      </w:r>
      <w:r w:rsidR="00610DEA">
        <w:t>Dunnage v Randall (201</w:t>
      </w:r>
      <w:r w:rsidR="001B0F18">
        <w:t>6</w:t>
      </w:r>
      <w:r w:rsidR="00610DEA">
        <w:t>) clarifies that the personal attributes of a person are generally not to be considered</w:t>
      </w:r>
      <w:r w:rsidR="0065379F">
        <w:t xml:space="preserve">. </w:t>
      </w:r>
    </w:p>
    <w:p w14:paraId="5C25B04F" w14:textId="0671DB3C" w:rsidR="005F4C1F" w:rsidRDefault="0044251E" w:rsidP="00190046">
      <w:r>
        <w:t>While it is true that the reasonable person is an objective standard, it may sometimes be modified with subjective factors</w:t>
      </w:r>
      <w:r w:rsidR="00610DEA">
        <w:t xml:space="preserve"> in specific cases</w:t>
      </w:r>
      <w:r>
        <w:t xml:space="preserve"> </w:t>
      </w:r>
      <w:proofErr w:type="gramStart"/>
      <w:r>
        <w:t>in order to</w:t>
      </w:r>
      <w:proofErr w:type="gramEnd"/>
      <w:r>
        <w:t xml:space="preserve"> make it more fair to the individual accused of negligence, or to increase the standard of care a person of power or significant knowledge may owe.</w:t>
      </w:r>
      <w:r w:rsidR="00143928">
        <w:t xml:space="preserve"> There are many factors that may be applied to increase or decrease the standard of care that one may owe. The first of these factors is age. The age of a person may decrease the standard of care they are reasonably expected to give due to their </w:t>
      </w:r>
      <w:r w:rsidR="00725321">
        <w:t>immaturity which is seen demonstrated in cases such as Orchard v Lee (2009) and Mullin v Richards (1998). The professional knowledge of a person may also be taken into account in cases where specialist skills, qualifications or knowledge would generally be required to carry out an action, or that action would only generally be carried out by someone with such qualification, knowledge or skills</w:t>
      </w:r>
      <w:r w:rsidR="00C754A3">
        <w:t>, which is demonstrated in cases such as Savage v South Essex Partnership NHS Foundation Trust (200</w:t>
      </w:r>
      <w:r w:rsidR="00B37E3B">
        <w:t>7</w:t>
      </w:r>
      <w:r w:rsidR="00C754A3">
        <w:t>) or Gregg v Scott (200</w:t>
      </w:r>
      <w:r w:rsidR="00A36E29">
        <w:t>5</w:t>
      </w:r>
      <w:r w:rsidR="00C754A3">
        <w:t>).</w:t>
      </w:r>
      <w:r w:rsidR="00610DEA">
        <w:t xml:space="preserve"> Specifically in cases where medical professionals are involved, there is </w:t>
      </w:r>
      <w:r w:rsidR="007208B3">
        <w:t>a caveat which may allow the defendant to avoid liability. This caveat was first made law in the case of Bolam v Friern Barnett Hospital Management Committee (1957), allowing</w:t>
      </w:r>
      <w:r w:rsidR="0065379F">
        <w:t xml:space="preserve"> acts that have an inherent risk of harm </w:t>
      </w:r>
      <w:proofErr w:type="gramStart"/>
      <w:r w:rsidR="0065379F">
        <w:t>as long as</w:t>
      </w:r>
      <w:proofErr w:type="gramEnd"/>
      <w:r w:rsidR="0065379F">
        <w:t xml:space="preserve"> it </w:t>
      </w:r>
      <w:proofErr w:type="gramStart"/>
      <w:r w:rsidR="0065379F">
        <w:t>is considered to be</w:t>
      </w:r>
      <w:proofErr w:type="gramEnd"/>
      <w:r w:rsidR="0065379F">
        <w:t xml:space="preserve"> widely accepted practice. Cases such as Bolitho v City and Hackney Health Authority (19</w:t>
      </w:r>
      <w:r w:rsidR="00DF0E3C">
        <w:t>9</w:t>
      </w:r>
      <w:r w:rsidR="0065379F">
        <w:t xml:space="preserve">7) </w:t>
      </w:r>
      <w:r w:rsidR="00BE7270">
        <w:t>expand upon the “Bolam test” by requiring that the belief be reasonably held and the professional in question’s judgement must follow a logical and consistent basis.</w:t>
      </w:r>
      <w:r w:rsidR="007208B3">
        <w:t xml:space="preserve"> </w:t>
      </w:r>
      <w:r w:rsidR="00C754A3">
        <w:t xml:space="preserve"> The magnitude of a risk and its foreseeability may play a role in determining the standard of care that one owes. An event that is very rare, is minor and trifling in its consequences, or both may be granted a lower standard of care, which is well demonstrated in Bolton v Stone (1951). </w:t>
      </w:r>
      <w:r w:rsidR="00355AE9">
        <w:t>The vulnerability of a claimant, both in themselves and to a specific outcome presented in the case can be considered when deciding a standard of care. This can be seen in cases such as Haley v London Electricity Board</w:t>
      </w:r>
      <w:r w:rsidR="007F4F15">
        <w:t xml:space="preserve"> (1965)</w:t>
      </w:r>
      <w:r w:rsidR="00355AE9">
        <w:t xml:space="preserve">, which concerned a claimant who was both themselves a vulnerable person, as well as being particularly susceptible to the type of injury caused the defendants actions. </w:t>
      </w:r>
      <w:r w:rsidR="00610DEA">
        <w:t xml:space="preserve">The cost of taking precautions to prevent injury to the claimant or those in a similar position is generally considered when deciding the appropriate standard of care expected. </w:t>
      </w:r>
      <w:r w:rsidR="00531F5B">
        <w:t xml:space="preserve">Finally, the cost and inconvenience of taking precautions is also considered when </w:t>
      </w:r>
      <w:r w:rsidR="00EE578F">
        <w:t xml:space="preserve">deciding a standard of care. </w:t>
      </w:r>
      <w:r w:rsidR="005174CE">
        <w:t>This can be seen demonstrated by the case of Paris v Stepney Borough Council (19</w:t>
      </w:r>
      <w:r w:rsidR="006914D8">
        <w:t>49</w:t>
      </w:r>
      <w:r w:rsidR="005174CE">
        <w:t xml:space="preserve">). </w:t>
      </w:r>
    </w:p>
    <w:p w14:paraId="06D1978C" w14:textId="6478F2B7" w:rsidR="005174CE" w:rsidRDefault="005174CE" w:rsidP="00190046">
      <w:r>
        <w:t>In the case of Barry, it is unlikely that any special factors will be applied to the claimants that would increase the standard of care that they are owed, as all seemingly are above the age of 18, and do not have any medical conditions or personal circumstances that would make them uniquely susceptible to this type of injury. However, Barry may owe a higher standard of care due to the use of pyrotechnics</w:t>
      </w:r>
      <w:r w:rsidR="00D11338">
        <w:t xml:space="preserve">, which require specialist knowledge to deploy safely. </w:t>
      </w:r>
      <w:proofErr w:type="gramStart"/>
      <w:r w:rsidR="00D11338">
        <w:t>In the event that</w:t>
      </w:r>
      <w:proofErr w:type="gramEnd"/>
      <w:r w:rsidR="00D11338">
        <w:t xml:space="preserve"> Barry had employed a pyrotechnics specialist this standard of care may be up for debate. What would not be up for debate however </w:t>
      </w:r>
      <w:r w:rsidR="008A39C3">
        <w:t xml:space="preserve">are the precautions taken by Barry. The precautions taken by Barry to protect the attendees of the Time Stomp Festival would have to be inspected, as the precautions that could be taken to protect attendees would likely be small in comparison to the cost of implementing pyrotechnics or the possible cost of personal injury claims being brought. Regardless of </w:t>
      </w:r>
      <w:proofErr w:type="gramStart"/>
      <w:r w:rsidR="008A39C3">
        <w:t>it</w:t>
      </w:r>
      <w:proofErr w:type="gramEnd"/>
      <w:r w:rsidR="008A39C3">
        <w:t xml:space="preserve"> Barry’s standard of care has been increased by specific factors, it is likely that he, as the organiser of the event had breached his duty of care to the attendees. This </w:t>
      </w:r>
      <w:r w:rsidR="008A39C3">
        <w:lastRenderedPageBreak/>
        <w:t xml:space="preserve">is </w:t>
      </w:r>
      <w:proofErr w:type="gramStart"/>
      <w:r w:rsidR="008A39C3">
        <w:t>due to the fact that</w:t>
      </w:r>
      <w:proofErr w:type="gramEnd"/>
      <w:r w:rsidR="008A39C3">
        <w:t xml:space="preserve"> additional checks could have been made to ensure the safety of the pyrotechnics, </w:t>
      </w:r>
      <w:r w:rsidR="00FE3699">
        <w:t xml:space="preserve">as well as reports by experts in the field, therefore meaning he had taken less caution than that of a reasonable person who had been in the same situation. </w:t>
      </w:r>
    </w:p>
    <w:p w14:paraId="0DB9035F" w14:textId="04428D84" w:rsidR="00771BF3" w:rsidRDefault="009831E9" w:rsidP="00190046">
      <w:r>
        <w:t xml:space="preserve">Causation is </w:t>
      </w:r>
      <w:r w:rsidR="00EB1F39">
        <w:t xml:space="preserve">the natural next step in the process of determining liability in tort law. </w:t>
      </w:r>
      <w:r w:rsidR="005E44F0">
        <w:t xml:space="preserve">Barnett v Chelsea &amp; Kensington Hospital Management </w:t>
      </w:r>
      <w:r w:rsidR="002F05CC">
        <w:t>Committee (196</w:t>
      </w:r>
      <w:r w:rsidR="003E60FB">
        <w:t>8</w:t>
      </w:r>
      <w:r w:rsidR="002F05CC">
        <w:t xml:space="preserve">) is a great of example of the general process </w:t>
      </w:r>
      <w:r w:rsidR="00233B4D">
        <w:t xml:space="preserve">and intent behind deciding causation. In this case Barnett was </w:t>
      </w:r>
      <w:r w:rsidR="0081676A">
        <w:t>killed by arsenic poisoning, however a duty doctor had negligently refused to check or test him. Despite the negligent act by the doctor, it was held that the doctor was not liable, as his negligence was</w:t>
      </w:r>
      <w:r w:rsidR="00C70D5A">
        <w:t xml:space="preserve"> most likely</w:t>
      </w:r>
      <w:r w:rsidR="0081676A">
        <w:t xml:space="preserve"> not the cause of death, nor reduced any chances of survival</w:t>
      </w:r>
      <w:r w:rsidR="00C70D5A">
        <w:t>, as Barnett would have died regardless of treatment due to the poisoning.</w:t>
      </w:r>
      <w:r w:rsidR="00A94AFF">
        <w:t xml:space="preserve"> This shows us </w:t>
      </w:r>
      <w:r w:rsidR="00EC07EB">
        <w:t>that causation is used to ensure th</w:t>
      </w:r>
      <w:r w:rsidR="008026AA">
        <w:t xml:space="preserve">at in cases where loss or injury is </w:t>
      </w:r>
      <w:r w:rsidR="00695170">
        <w:t xml:space="preserve">unavoidable, or where the </w:t>
      </w:r>
      <w:r w:rsidR="00AD26A8">
        <w:t>most significant cause is not the defendant, that they will not be held unfairly liable. The case of Gregg v Scott (2005) is not only a good demonstration of medical negligence and the standard of care expected of medical professionals, but also</w:t>
      </w:r>
      <w:r w:rsidR="001B36EC">
        <w:t xml:space="preserve"> demonstrates that causation within tort is based on the balance of probabilities, allowing those which may have caused </w:t>
      </w:r>
      <w:r w:rsidR="00DD5A13">
        <w:t>loss or injury but are likely not to be the main or direct cause can avoid liability entirely or in part.</w:t>
      </w:r>
      <w:r w:rsidR="002B7279">
        <w:t xml:space="preserve"> The test implemented by the courts to decide </w:t>
      </w:r>
      <w:r w:rsidR="00923F91">
        <w:t xml:space="preserve">causation is split into two parts: factual causation and legal causation. Both must be satisfied to prove causation in tort. </w:t>
      </w:r>
    </w:p>
    <w:p w14:paraId="6B7E660D" w14:textId="4EF68751" w:rsidR="008C283E" w:rsidRDefault="00923F91" w:rsidP="00190046">
      <w:r>
        <w:t xml:space="preserve">Factual causation is the first test that is considered in causation </w:t>
      </w:r>
      <w:r w:rsidR="00E114EF">
        <w:t>is that of factual causation.</w:t>
      </w:r>
      <w:r w:rsidR="00CC0CDB">
        <w:t xml:space="preserve"> This is often </w:t>
      </w:r>
      <w:r w:rsidR="0049103A">
        <w:t>referred to as the “but for” test.</w:t>
      </w:r>
      <w:r w:rsidR="00E114EF">
        <w:t xml:space="preserve"> </w:t>
      </w:r>
      <w:r w:rsidR="00AB483A">
        <w:t xml:space="preserve">Barnett v </w:t>
      </w:r>
      <w:r w:rsidR="00CC0CDB">
        <w:t xml:space="preserve">Chelsea and Kensington Hospital Management </w:t>
      </w:r>
      <w:r w:rsidR="00CB776E">
        <w:t>C</w:t>
      </w:r>
      <w:r w:rsidR="00CC0CDB">
        <w:t>ommittee</w:t>
      </w:r>
      <w:r w:rsidR="00EF0DC8">
        <w:t xml:space="preserve"> (1968)</w:t>
      </w:r>
      <w:r w:rsidR="00CC0CDB">
        <w:t xml:space="preserve"> serves to demonstrate this concept</w:t>
      </w:r>
      <w:r w:rsidR="00CB4AF3">
        <w:t xml:space="preserve"> of fact</w:t>
      </w:r>
      <w:r w:rsidR="00095FA7">
        <w:t>ual causation, as were it “but for” the actions of the doctor, Barnett would have died regardless, therefore, the doctor was not the factual cause of the death</w:t>
      </w:r>
      <w:r w:rsidR="00CC0CDB">
        <w:t>.</w:t>
      </w:r>
      <w:r w:rsidR="00800F45">
        <w:t xml:space="preserve"> </w:t>
      </w:r>
      <w:r w:rsidR="009204C0">
        <w:t>In cases where multiple partie</w:t>
      </w:r>
      <w:r w:rsidR="00005E63">
        <w:t>s</w:t>
      </w:r>
      <w:r w:rsidR="00A55C78">
        <w:t xml:space="preserve"> or factors may be responsible for the harm,</w:t>
      </w:r>
      <w:r w:rsidR="0083695A">
        <w:t xml:space="preserve"> </w:t>
      </w:r>
      <w:r w:rsidR="00A55C78">
        <w:t xml:space="preserve">the </w:t>
      </w:r>
      <w:r w:rsidR="00A64373">
        <w:t>causes may be divided and analysed</w:t>
      </w:r>
      <w:r w:rsidR="00886F93">
        <w:t xml:space="preserve">. This process </w:t>
      </w:r>
      <w:r w:rsidR="006469B8">
        <w:t>is often referred to as material contribution. This can be seen in Bonington Castings v Wardlaw (1956)</w:t>
      </w:r>
      <w:r w:rsidR="00627620">
        <w:t xml:space="preserve">, in which the extent to which dust had caused Injury was analysed, with the amounts of dust </w:t>
      </w:r>
      <w:r w:rsidR="007408FB">
        <w:t xml:space="preserve">before the threshold at which injury would be caused being considered as not materially contributory. </w:t>
      </w:r>
      <w:r w:rsidR="009D7920">
        <w:t>When applied to the case of Barry, it is possible that he</w:t>
      </w:r>
      <w:r w:rsidR="003D1A9F">
        <w:t>, or his organisation</w:t>
      </w:r>
      <w:r w:rsidR="009D7920">
        <w:t xml:space="preserve"> would be found to be the </w:t>
      </w:r>
      <w:r w:rsidR="00362DF9">
        <w:t>legal cause</w:t>
      </w:r>
      <w:r w:rsidR="003D1A9F">
        <w:t xml:space="preserve"> of the injuries to </w:t>
      </w:r>
      <w:r w:rsidR="008C417A">
        <w:t>Bob, Mary,</w:t>
      </w:r>
      <w:r w:rsidR="00DA25CD">
        <w:t xml:space="preserve"> </w:t>
      </w:r>
      <w:r w:rsidR="00155BF0">
        <w:t xml:space="preserve">Sarah and Jack and Janice. </w:t>
      </w:r>
      <w:r w:rsidR="003D1A9F">
        <w:t xml:space="preserve">This is </w:t>
      </w:r>
      <w:proofErr w:type="gramStart"/>
      <w:r w:rsidR="003D1A9F">
        <w:t xml:space="preserve">due to </w:t>
      </w:r>
      <w:r w:rsidR="00155BF0">
        <w:t xml:space="preserve">the </w:t>
      </w:r>
      <w:r w:rsidR="00301604">
        <w:t>fact that</w:t>
      </w:r>
      <w:proofErr w:type="gramEnd"/>
      <w:r w:rsidR="00301604">
        <w:t xml:space="preserve"> the chain of events leading to each of their injuries had been spurred by the fireworks malfunctions. </w:t>
      </w:r>
      <w:r w:rsidR="0069572A">
        <w:t xml:space="preserve">It could be considered that the </w:t>
      </w:r>
      <w:r w:rsidR="00FE1F8C">
        <w:t>damage caused by the stampede of the crowd is a break in the chain of causation, however this is unlikely, due to both being spurred</w:t>
      </w:r>
      <w:r w:rsidR="00650BC6">
        <w:t xml:space="preserve"> in a foreseeable manner</w:t>
      </w:r>
      <w:r w:rsidR="00FE1F8C">
        <w:t xml:space="preserve"> by the same incident. </w:t>
      </w:r>
    </w:p>
    <w:p w14:paraId="11F8C223" w14:textId="50410482" w:rsidR="00650BC6" w:rsidRDefault="00650BC6" w:rsidP="00190046">
      <w:r>
        <w:t xml:space="preserve">Legal causation is the other half of the test for causation in Tort law. </w:t>
      </w:r>
      <w:r w:rsidR="007C2F67">
        <w:t xml:space="preserve">The test for </w:t>
      </w:r>
      <w:r w:rsidR="0021659E">
        <w:t>legal causation is one based on foreseeability</w:t>
      </w:r>
      <w:r w:rsidR="00544FFD">
        <w:t>, often referred to as remoteness of damage</w:t>
      </w:r>
      <w:r w:rsidR="0021659E">
        <w:t xml:space="preserve">. The authority for </w:t>
      </w:r>
      <w:r w:rsidR="00A805FF">
        <w:t>remoteness of damage</w:t>
      </w:r>
      <w:r w:rsidR="0021659E">
        <w:t xml:space="preserve"> is Overseas Tankship (UK) Ltd v Morts Dock </w:t>
      </w:r>
      <w:r w:rsidR="001103EA">
        <w:t xml:space="preserve">&amp; Engineering Co (The “Wagon Mound”) (1961), which states that </w:t>
      </w:r>
      <w:r w:rsidR="00897632">
        <w:t xml:space="preserve">not only must the damage be foreseeable, but the type of damage must also be foreseeable. </w:t>
      </w:r>
      <w:r w:rsidR="00EB49B6">
        <w:t xml:space="preserve">This was a direct overturning of the ruling in Re </w:t>
      </w:r>
      <w:proofErr w:type="spellStart"/>
      <w:r w:rsidR="00EB49B6">
        <w:t>Polemis</w:t>
      </w:r>
      <w:proofErr w:type="spellEnd"/>
      <w:r w:rsidR="00EB49B6">
        <w:t xml:space="preserve"> and Furness Withy &amp; Co (1921)</w:t>
      </w:r>
      <w:r w:rsidR="006019C8">
        <w:t xml:space="preserve">. When applied to Barry, </w:t>
      </w:r>
      <w:proofErr w:type="gramStart"/>
      <w:r w:rsidR="00F64733">
        <w:t>It</w:t>
      </w:r>
      <w:proofErr w:type="gramEnd"/>
      <w:r w:rsidR="00F64733">
        <w:t xml:space="preserve"> is likely that </w:t>
      </w:r>
      <w:proofErr w:type="gramStart"/>
      <w:r w:rsidR="00F64733">
        <w:t>all of</w:t>
      </w:r>
      <w:proofErr w:type="gramEnd"/>
      <w:r w:rsidR="00F64733">
        <w:t xml:space="preserve"> the types of injury sustained by each of the claimants is likely foreseeable</w:t>
      </w:r>
      <w:r w:rsidR="000044E2">
        <w:t xml:space="preserve">. It is foreseeable that direct contact with fireworks would cause </w:t>
      </w:r>
      <w:r w:rsidR="001E75CE">
        <w:t xml:space="preserve">burns as were sustained by Sarah, additionally, it is </w:t>
      </w:r>
      <w:r w:rsidR="0021571D">
        <w:t>foreseeable that the blunt force tr</w:t>
      </w:r>
      <w:r w:rsidR="006D3B36">
        <w:t>a</w:t>
      </w:r>
      <w:r w:rsidR="0021571D">
        <w:t xml:space="preserve">uma that would be induced </w:t>
      </w:r>
      <w:r w:rsidR="006D3B36">
        <w:t xml:space="preserve">from </w:t>
      </w:r>
      <w:r w:rsidR="00D02F29">
        <w:t xml:space="preserve">the trampling sustained by Jack and Sarah. Bob, Mary and Janice may also </w:t>
      </w:r>
      <w:r w:rsidR="00D56867">
        <w:t xml:space="preserve">be seen as having sustained reasonably foreseeable injuries </w:t>
      </w:r>
      <w:r w:rsidR="00D84F83">
        <w:t xml:space="preserve">as a result of having witnessed </w:t>
      </w:r>
      <w:r w:rsidR="00807F00">
        <w:t xml:space="preserve">the Injuries sustained by Jack and Sarah, </w:t>
      </w:r>
      <w:r w:rsidR="00C76A88">
        <w:t xml:space="preserve">specifically </w:t>
      </w:r>
      <w:r w:rsidR="00DA6D29">
        <w:t>those sustained by Sarah due to their severity</w:t>
      </w:r>
      <w:r w:rsidR="008C1CCB">
        <w:t xml:space="preserve">, however there are specific provisions for claimants who are claiming on the basis of </w:t>
      </w:r>
      <w:r w:rsidR="00E80FD7">
        <w:t>psychiatric</w:t>
      </w:r>
      <w:r w:rsidR="008C1CCB">
        <w:t xml:space="preserve"> injury due to its complexity</w:t>
      </w:r>
      <w:r w:rsidR="00E80FD7">
        <w:t xml:space="preserve"> which </w:t>
      </w:r>
      <w:r w:rsidR="00E80FD7">
        <w:lastRenderedPageBreak/>
        <w:t xml:space="preserve">may disqualify them if they do not meet the prerequisite requirements of a claimant </w:t>
      </w:r>
      <w:r w:rsidR="002D4B7E">
        <w:t xml:space="preserve">for psychiatric injury. </w:t>
      </w:r>
    </w:p>
    <w:p w14:paraId="133E54AB" w14:textId="732B7E4E" w:rsidR="008D5501" w:rsidRDefault="001269DB" w:rsidP="00753811">
      <w:r>
        <w:t xml:space="preserve">The final elements that must be considered in this </w:t>
      </w:r>
      <w:proofErr w:type="gramStart"/>
      <w:r>
        <w:t>particular case</w:t>
      </w:r>
      <w:proofErr w:type="gramEnd"/>
      <w:r>
        <w:t xml:space="preserve"> is that of psychiatric injury and secondary victims.</w:t>
      </w:r>
      <w:r w:rsidR="00766A98">
        <w:t xml:space="preserve"> Secondary victims are those who do not actively participate in or actively present at the site of a negligent act and are not its direct target</w:t>
      </w:r>
      <w:r w:rsidR="000B6F85">
        <w:t>, but are affected by it regardless, such as in cases where a loved one is injured or killed</w:t>
      </w:r>
      <w:r w:rsidR="00766A98">
        <w:t xml:space="preserve">. </w:t>
      </w:r>
      <w:r w:rsidR="000D09E8">
        <w:t>This authority on this concept is Alcock v Chief Constable of South Yorkshire</w:t>
      </w:r>
      <w:r w:rsidR="00AE2FAD">
        <w:t xml:space="preserve"> Police (1991)</w:t>
      </w:r>
      <w:r w:rsidR="00753811">
        <w:t xml:space="preserve">. This case lays out a test to establish the criteria by which </w:t>
      </w:r>
      <w:r w:rsidR="00A961A7">
        <w:t xml:space="preserve">it will be decided if a claimant is a </w:t>
      </w:r>
      <w:r w:rsidR="003949A1">
        <w:t>legitimate secondary victim</w:t>
      </w:r>
      <w:r w:rsidR="00A961A7">
        <w:t xml:space="preserve">. </w:t>
      </w:r>
      <w:r w:rsidR="00C96A39">
        <w:t xml:space="preserve">The first stage of this test requires that </w:t>
      </w:r>
      <w:r w:rsidR="000B6F85">
        <w:t xml:space="preserve">a secondary victim </w:t>
      </w:r>
      <w:r w:rsidR="0074481B">
        <w:t>has a close, personal relationship of “love and affection” with the primary victim</w:t>
      </w:r>
      <w:r w:rsidR="0024498B">
        <w:t xml:space="preserve">. None of the claimants in the case of Alcock had this relationship to the </w:t>
      </w:r>
      <w:r w:rsidR="00AA466E">
        <w:t>harmed individuals and thus failed a</w:t>
      </w:r>
      <w:r w:rsidR="00306D57">
        <w:t>s</w:t>
      </w:r>
      <w:r w:rsidR="00AA466E">
        <w:t xml:space="preserve"> secondary victims. </w:t>
      </w:r>
      <w:r w:rsidR="00805EAD">
        <w:t>Mary and Janice would both satisfy the requirements of a</w:t>
      </w:r>
      <w:r w:rsidR="000F497C">
        <w:t xml:space="preserve"> person with a </w:t>
      </w:r>
      <w:r w:rsidR="004A085A">
        <w:t xml:space="preserve">close personal bond with the Injured person or persons, due to their maternal relationships to </w:t>
      </w:r>
      <w:r w:rsidR="00621BFF">
        <w:t xml:space="preserve">Jack and Sarah respectively. Bob, however, may be more difficult </w:t>
      </w:r>
      <w:r w:rsidR="00DA00C1">
        <w:t>to</w:t>
      </w:r>
      <w:r w:rsidR="00B52808">
        <w:t xml:space="preserve"> assess, as he has no personal ties to </w:t>
      </w:r>
      <w:r w:rsidR="007D6049">
        <w:t>Jack and Sarah although the ruling in Chadwick v British Railways Board may provide a basis upon which</w:t>
      </w:r>
      <w:r w:rsidR="00143954">
        <w:t xml:space="preserve"> the court</w:t>
      </w:r>
      <w:r w:rsidR="006A72C1">
        <w:t xml:space="preserve"> decide</w:t>
      </w:r>
      <w:r w:rsidR="007D6049">
        <w:t xml:space="preserve"> </w:t>
      </w:r>
      <w:r w:rsidR="00BC36C2">
        <w:t>Bob</w:t>
      </w:r>
      <w:r w:rsidR="006A72C1">
        <w:t xml:space="preserve"> should</w:t>
      </w:r>
      <w:r w:rsidR="00BC36C2">
        <w:t xml:space="preserve"> be treated as a primary victim, entirely avoiding the </w:t>
      </w:r>
      <w:r w:rsidR="00EA1ED6">
        <w:t>test required of secondary victims</w:t>
      </w:r>
      <w:r w:rsidR="006A72C1">
        <w:t>. This is due to his intervention</w:t>
      </w:r>
      <w:r w:rsidR="00F716EB">
        <w:t xml:space="preserve"> by carrying Sarah and attempting to rescue her from further harm making Bob a rescuer</w:t>
      </w:r>
      <w:r w:rsidR="002306CB">
        <w:t xml:space="preserve">; a class of people that can be </w:t>
      </w:r>
      <w:r w:rsidR="00FE6896">
        <w:t>considered to be</w:t>
      </w:r>
      <w:r w:rsidR="00143954">
        <w:t xml:space="preserve"> </w:t>
      </w:r>
      <w:r w:rsidR="00EC0FAE">
        <w:t>primary victims, just as Chadwick was in</w:t>
      </w:r>
      <w:r w:rsidR="005A7586">
        <w:t xml:space="preserve"> the</w:t>
      </w:r>
      <w:r w:rsidR="00EC0FAE">
        <w:t xml:space="preserve"> aforementioned case. </w:t>
      </w:r>
    </w:p>
    <w:p w14:paraId="47CD1511" w14:textId="7A59CAA1" w:rsidR="00AB7DA7" w:rsidRDefault="00AB7DA7" w:rsidP="00753811">
      <w:r>
        <w:t xml:space="preserve">The next </w:t>
      </w:r>
      <w:r w:rsidR="002839A0">
        <w:t xml:space="preserve">test to establish psychiatric injury </w:t>
      </w:r>
      <w:r w:rsidR="004D557F">
        <w:t xml:space="preserve">requires that the </w:t>
      </w:r>
      <w:r w:rsidR="0056606D">
        <w:t xml:space="preserve">victim be close in proximity </w:t>
      </w:r>
      <w:r w:rsidR="003D6929">
        <w:t xml:space="preserve">to the incident in time or in space. </w:t>
      </w:r>
      <w:r w:rsidR="00266617">
        <w:t>This can be seen in the case of Mcloughlin v O’brian (1982)</w:t>
      </w:r>
      <w:r w:rsidR="00997273">
        <w:t xml:space="preserve">, in which the </w:t>
      </w:r>
      <w:r w:rsidR="00ED29D9">
        <w:t xml:space="preserve">claimant had </w:t>
      </w:r>
      <w:r w:rsidR="00A35F29">
        <w:t xml:space="preserve">witnessed the immediate aftermath of injury to their </w:t>
      </w:r>
      <w:r w:rsidR="0008643B">
        <w:t xml:space="preserve">family. The court had ruled that this was sufficiently proximate. </w:t>
      </w:r>
      <w:r w:rsidR="008D7460">
        <w:t xml:space="preserve">Mary, Janice and Bob all likely have </w:t>
      </w:r>
      <w:r w:rsidR="00A14E48">
        <w:t xml:space="preserve">sufficient proximity to </w:t>
      </w:r>
      <w:r w:rsidR="003F3C1A">
        <w:t xml:space="preserve">both the incident that caused injury and the injuries themselves sustained by Jack and </w:t>
      </w:r>
      <w:r w:rsidR="003D7804">
        <w:t xml:space="preserve">Sarah. </w:t>
      </w:r>
      <w:r w:rsidR="00196755">
        <w:t>This is due to their witnessing of the injuries sustained</w:t>
      </w:r>
      <w:r w:rsidR="008F6EC8">
        <w:t>, especially those sustained by Sarah due to their severity.</w:t>
      </w:r>
      <w:r w:rsidR="008D1BCC">
        <w:t xml:space="preserve"> This would likely mean that Janice, Mary and Bob would </w:t>
      </w:r>
      <w:r w:rsidR="00132C9D">
        <w:t xml:space="preserve">pass this element of the test. </w:t>
      </w:r>
    </w:p>
    <w:p w14:paraId="0C0B265B" w14:textId="657193CE" w:rsidR="00132C9D" w:rsidRDefault="004D14EB" w:rsidP="00753811">
      <w:r>
        <w:t>The final element of th</w:t>
      </w:r>
      <w:r w:rsidR="000F44F7">
        <w:t xml:space="preserve">e test to determine </w:t>
      </w:r>
      <w:r w:rsidR="00134B00">
        <w:t xml:space="preserve">the validity of </w:t>
      </w:r>
      <w:r w:rsidR="00E412F4">
        <w:t xml:space="preserve">a secondary victim </w:t>
      </w:r>
      <w:r w:rsidR="004B2054">
        <w:t xml:space="preserve">requires that they </w:t>
      </w:r>
      <w:r w:rsidR="00591F50">
        <w:t xml:space="preserve">suffer psychiatric harm or shock, specifically a recognised medical condition. </w:t>
      </w:r>
      <w:r w:rsidR="00507F21">
        <w:t xml:space="preserve">This requirement can be seen in </w:t>
      </w:r>
      <w:r w:rsidR="007B603F">
        <w:t xml:space="preserve">Wells and Another </w:t>
      </w:r>
      <w:proofErr w:type="gramStart"/>
      <w:r w:rsidR="007B603F">
        <w:t>v</w:t>
      </w:r>
      <w:proofErr w:type="gramEnd"/>
      <w:r w:rsidR="007B603F">
        <w:t xml:space="preserve"> University Hospital Southampton NHS Foundation Trust (2015)</w:t>
      </w:r>
      <w:r w:rsidR="00C64607">
        <w:t xml:space="preserve">, as the claimant could not establish that they had been affected </w:t>
      </w:r>
      <w:r w:rsidR="00734EE9">
        <w:t xml:space="preserve">by </w:t>
      </w:r>
      <w:r w:rsidR="006564E4">
        <w:t xml:space="preserve">a recognised psychiatric illness and thus had failed as a claimant. </w:t>
      </w:r>
      <w:r w:rsidR="00B63726">
        <w:t xml:space="preserve">Bob, Mary </w:t>
      </w:r>
      <w:r w:rsidR="003A04B9">
        <w:t>and</w:t>
      </w:r>
      <w:r w:rsidR="00B63726">
        <w:t xml:space="preserve"> Janice would all likely meet the requirements of a medically recognised condition</w:t>
      </w:r>
      <w:r w:rsidR="00A1633B">
        <w:t>, being</w:t>
      </w:r>
      <w:r w:rsidR="007B6BD3">
        <w:t xml:space="preserve"> affected by psychosis,</w:t>
      </w:r>
      <w:r w:rsidR="00802935">
        <w:t xml:space="preserve"> general anxiety and</w:t>
      </w:r>
      <w:r w:rsidR="007B6BD3">
        <w:t xml:space="preserve"> clinical depression</w:t>
      </w:r>
      <w:r w:rsidR="00802935">
        <w:t xml:space="preserve"> </w:t>
      </w:r>
      <w:r w:rsidR="007B6BD3">
        <w:t xml:space="preserve">respectively. </w:t>
      </w:r>
      <w:r w:rsidR="002C1DAB">
        <w:t xml:space="preserve">Alcock also contains additional requirements within the test derived from its </w:t>
      </w:r>
      <w:r w:rsidR="00DC682D">
        <w:t xml:space="preserve">judgement, however these are no longer considered as current law after they were removed by Paul v Royal Wolverhampton </w:t>
      </w:r>
      <w:r w:rsidR="00B5328E">
        <w:t xml:space="preserve">NHS Trust (2022). </w:t>
      </w:r>
    </w:p>
    <w:p w14:paraId="64ADC606" w14:textId="413BE240" w:rsidR="00C503C3" w:rsidRDefault="00C503C3" w:rsidP="00753811">
      <w:r>
        <w:t xml:space="preserve">In conclusion, it is likely </w:t>
      </w:r>
      <w:r w:rsidR="00F00D33">
        <w:t xml:space="preserve">from previous precedents set that Barry would likely be liable for the injury caused to </w:t>
      </w:r>
      <w:r w:rsidR="007820A6">
        <w:t>Jack, Sarah, Mary, Janice and Bob</w:t>
      </w:r>
      <w:r w:rsidR="00167F26">
        <w:t>.</w:t>
      </w:r>
      <w:r w:rsidR="006130EE">
        <w:t xml:space="preserve"> Jack and Sarah, as primary victims will likely pass of the tests required of them due to the injuries</w:t>
      </w:r>
      <w:r w:rsidR="000540F9">
        <w:t xml:space="preserve"> they have sustained, the </w:t>
      </w:r>
      <w:proofErr w:type="gramStart"/>
      <w:r w:rsidR="000540F9">
        <w:t>manner in which</w:t>
      </w:r>
      <w:proofErr w:type="gramEnd"/>
      <w:r w:rsidR="000540F9">
        <w:t xml:space="preserve"> they were sustained, where the</w:t>
      </w:r>
      <w:r w:rsidR="0074588F">
        <w:t>y</w:t>
      </w:r>
      <w:r w:rsidR="000540F9">
        <w:t xml:space="preserve"> were sustained and </w:t>
      </w:r>
      <w:r w:rsidR="0074588F">
        <w:t>when they were sustained</w:t>
      </w:r>
      <w:r w:rsidR="000540F9">
        <w:t xml:space="preserve">. </w:t>
      </w:r>
      <w:r w:rsidR="003F47D8">
        <w:t>Bob, Mary and Janice would likely be more difficult to prove liability for due to their status as secondary victims due to psychiatric harm, however all three of these claimants meet the current legal standard to be successful</w:t>
      </w:r>
      <w:r w:rsidR="00C3607C">
        <w:t xml:space="preserve">. </w:t>
      </w:r>
    </w:p>
    <w:p w14:paraId="764E15EB" w14:textId="77777777" w:rsidR="003A04B9" w:rsidRDefault="003A04B9" w:rsidP="00753811"/>
    <w:p w14:paraId="562AA1F6" w14:textId="4C48E2DD" w:rsidR="003A04B9" w:rsidRPr="003A04B9" w:rsidRDefault="003A04B9" w:rsidP="00753811">
      <w:pPr>
        <w:rPr>
          <w:sz w:val="44"/>
          <w:szCs w:val="44"/>
          <w:u w:val="single"/>
        </w:rPr>
      </w:pPr>
      <w:r w:rsidRPr="003A04B9">
        <w:rPr>
          <w:sz w:val="44"/>
          <w:szCs w:val="44"/>
          <w:u w:val="single"/>
        </w:rPr>
        <w:lastRenderedPageBreak/>
        <w:t>Reform Suggestions</w:t>
      </w:r>
    </w:p>
    <w:p w14:paraId="21B3784D" w14:textId="2CABCED6" w:rsidR="0063078E" w:rsidRDefault="009D6C3F" w:rsidP="00753811">
      <w:r>
        <w:t>The previous advice</w:t>
      </w:r>
      <w:r w:rsidR="00BA2405">
        <w:t xml:space="preserve"> and research</w:t>
      </w:r>
      <w:r>
        <w:t xml:space="preserve"> on the </w:t>
      </w:r>
      <w:r w:rsidR="004F0764">
        <w:t>possible liability arising from the Time Stomp Festival incident</w:t>
      </w:r>
      <w:r>
        <w:t xml:space="preserve"> within this report</w:t>
      </w:r>
      <w:r w:rsidR="009024CC">
        <w:t xml:space="preserve"> </w:t>
      </w:r>
      <w:r w:rsidR="00BA2405">
        <w:t xml:space="preserve">bring to light some significant issues within tort law in England and Wales that create blind spots in law or the possibility of unjust rulings </w:t>
      </w:r>
    </w:p>
    <w:p w14:paraId="7BB102E3" w14:textId="77777777" w:rsidR="00BF293C" w:rsidRDefault="003300FD" w:rsidP="00753811">
      <w:r>
        <w:t>The</w:t>
      </w:r>
      <w:r w:rsidR="001F0136">
        <w:t xml:space="preserve"> f</w:t>
      </w:r>
      <w:r w:rsidR="00774166">
        <w:t>irst of these possible areas of reform that become evident</w:t>
      </w:r>
      <w:r>
        <w:t xml:space="preserve"> </w:t>
      </w:r>
      <w:r w:rsidR="001F0136">
        <w:t xml:space="preserve">are the recently mentioned reforms </w:t>
      </w:r>
      <w:r w:rsidR="00774166">
        <w:t xml:space="preserve">to secondary victims based in the ruling in Paul v Wolverhampton </w:t>
      </w:r>
      <w:r w:rsidR="00AE0D9D">
        <w:t xml:space="preserve">NHS Trust. </w:t>
      </w:r>
      <w:r w:rsidR="00247F17">
        <w:t xml:space="preserve">While the ruling in Paul did </w:t>
      </w:r>
      <w:r w:rsidR="007F5C89">
        <w:t>remove two of the criteria that were required under Alcock to allow a claim by a secondary victim</w:t>
      </w:r>
      <w:r w:rsidR="00F3377C">
        <w:t>, widening th</w:t>
      </w:r>
      <w:r w:rsidR="000F7DB6">
        <w:t xml:space="preserve">e scope of secondary victims to allow for a wider range of circumstances and people </w:t>
      </w:r>
      <w:r w:rsidR="00E13A52">
        <w:t xml:space="preserve">to bring successful claims, however, </w:t>
      </w:r>
      <w:r w:rsidR="00D36662">
        <w:t xml:space="preserve">it had also clarified that </w:t>
      </w:r>
      <w:r w:rsidR="00904C91">
        <w:t xml:space="preserve">doctors and medical professionals are immune from liability for the psychiatric injury caused to secondary victims due to their negligent </w:t>
      </w:r>
      <w:r w:rsidR="0040515E">
        <w:t xml:space="preserve">action’s effects on a loved one. This in theory means that </w:t>
      </w:r>
      <w:proofErr w:type="gramStart"/>
      <w:r w:rsidR="0040515E">
        <w:t>in the event that</w:t>
      </w:r>
      <w:proofErr w:type="gramEnd"/>
      <w:r w:rsidR="0040515E">
        <w:t xml:space="preserve"> medical negligence is </w:t>
      </w:r>
      <w:r w:rsidR="00EE2375">
        <w:t xml:space="preserve">so severe that it causes death that is particularly distressing to the loved ones of the </w:t>
      </w:r>
      <w:r w:rsidR="004604B3">
        <w:t xml:space="preserve">victim, those who are affected by </w:t>
      </w:r>
      <w:r w:rsidR="003C5FC6">
        <w:t>witnessing this death are</w:t>
      </w:r>
      <w:r w:rsidR="00BA329A">
        <w:t xml:space="preserve"> unable to claim for their own distress or injury, </w:t>
      </w:r>
      <w:proofErr w:type="gramStart"/>
      <w:r w:rsidR="00BA329A">
        <w:t>however</w:t>
      </w:r>
      <w:proofErr w:type="gramEnd"/>
      <w:r w:rsidR="00BA329A">
        <w:t xml:space="preserve"> may bring a single claim </w:t>
      </w:r>
      <w:r w:rsidR="00B13F23">
        <w:t xml:space="preserve">on behalf of the deceased. This effectively devalues the experience of those that are expected to care for and carry the </w:t>
      </w:r>
      <w:r w:rsidR="00644805">
        <w:t>burden of witnessing someone’s declining health due to negligent treatment. Thi</w:t>
      </w:r>
      <w:r w:rsidR="00EE04B2">
        <w:t xml:space="preserve">s exception would not apply in any other situation, making it a clear </w:t>
      </w:r>
      <w:r w:rsidR="00F437B5">
        <w:t xml:space="preserve">example of </w:t>
      </w:r>
      <w:r w:rsidR="00D15507">
        <w:t xml:space="preserve">favouritism. This exception also creates issues in the </w:t>
      </w:r>
      <w:r w:rsidR="007444F7">
        <w:t xml:space="preserve">ability of one to launch a claim on the behalf of the deceased, as it is unlikely that those close to the victim </w:t>
      </w:r>
      <w:proofErr w:type="gramStart"/>
      <w:r w:rsidR="007444F7">
        <w:t xml:space="preserve">are </w:t>
      </w:r>
      <w:r w:rsidR="00394497">
        <w:t>able to</w:t>
      </w:r>
      <w:proofErr w:type="gramEnd"/>
      <w:r w:rsidR="00394497">
        <w:t xml:space="preserve"> provide full details about the treatment of the victim and their personal experiences that may contribute to liability. This, while not directly, allows </w:t>
      </w:r>
      <w:r w:rsidR="007208ED">
        <w:t>medical professionals to avoid liability in many cases.</w:t>
      </w:r>
      <w:r w:rsidR="00CA7C0A">
        <w:t xml:space="preserve"> A simple </w:t>
      </w:r>
      <w:r w:rsidR="00924977">
        <w:t>method of preventing the unfair treatment of those that have had to lose a loved one to medical negligence as opposed to those in similar positions due to any other type of negligence would be to simply remove the protections for medical professionals under Paul v Wolverhampton.</w:t>
      </w:r>
    </w:p>
    <w:p w14:paraId="19D420AD" w14:textId="1601E162" w:rsidR="003300FD" w:rsidRDefault="005F56E6" w:rsidP="00753811">
      <w:r>
        <w:t xml:space="preserve">Equally, </w:t>
      </w:r>
      <w:r w:rsidR="002D0B65">
        <w:t>t</w:t>
      </w:r>
      <w:r>
        <w:t xml:space="preserve">he “fair, just and reasonable” </w:t>
      </w:r>
      <w:r w:rsidR="001D05BE">
        <w:t>requirement under Caparo must be reformed. This due to the deeply unfair treatment of those who are victims of mass negligence, such as what is shown in Alcock. While many of the claimants in that case were recognised by the court to be valid and could have succeeded in their claims</w:t>
      </w:r>
      <w:r w:rsidR="000E3AFF">
        <w:t xml:space="preserve"> and despite the actions of police meeting the other requirements of liability in tort, were ultimately freed from liability by the courts under the “fair, just and reasonable” clause.</w:t>
      </w:r>
      <w:r w:rsidR="002D0B65">
        <w:t xml:space="preserve"> While this does provide public services such as the police </w:t>
      </w:r>
      <w:r w:rsidR="00807BB7">
        <w:t xml:space="preserve">with </w:t>
      </w:r>
      <w:r w:rsidR="002C7A04">
        <w:t xml:space="preserve">extra leniency in cases where human error may lead to negligence, it also leaves the public in a position where they may not be able to claim for injuries they </w:t>
      </w:r>
      <w:r w:rsidR="002C364F">
        <w:t xml:space="preserve">incurred unfairly at the hands of public services. This was done mainly due to the number of claimants that would be eligible to </w:t>
      </w:r>
      <w:r w:rsidR="00532E23">
        <w:t xml:space="preserve">sue after the Hillsborough disaster, as it was seen to be too large of a group both for the courts to deal with in a timely manner, but also </w:t>
      </w:r>
      <w:r w:rsidR="00E526FB">
        <w:t xml:space="preserve">for the police to adequately pay for. </w:t>
      </w:r>
      <w:r w:rsidR="00390899">
        <w:t xml:space="preserve">This clause has also </w:t>
      </w:r>
      <w:r w:rsidR="00E245B7">
        <w:t>led</w:t>
      </w:r>
      <w:r w:rsidR="00390899">
        <w:t xml:space="preserve"> to other strange rulings such as that in </w:t>
      </w:r>
      <w:r w:rsidR="00FB5359">
        <w:t xml:space="preserve">Smith v Littlewoods, which </w:t>
      </w:r>
      <w:r w:rsidR="00204F84">
        <w:t>freed property owners from any duty to</w:t>
      </w:r>
      <w:r w:rsidR="00BB2BB3">
        <w:t xml:space="preserve"> adjoining property owners to</w:t>
      </w:r>
      <w:r w:rsidR="00204F84">
        <w:t xml:space="preserve"> prevent crime on their properti</w:t>
      </w:r>
      <w:r w:rsidR="00BB2BB3">
        <w:t xml:space="preserve">es, which ultimately allows </w:t>
      </w:r>
      <w:r w:rsidR="000B6FE2">
        <w:t>for properties to fall into disrepair without consequence</w:t>
      </w:r>
      <w:r w:rsidR="00E245B7">
        <w:t xml:space="preserve">. It also </w:t>
      </w:r>
      <w:r w:rsidR="001736BB">
        <w:t>is incongruent with the ruling in Paris v Stepney Borough Council</w:t>
      </w:r>
      <w:r w:rsidR="00DD403C">
        <w:t xml:space="preserve"> on the costs and convenience of </w:t>
      </w:r>
      <w:r w:rsidR="005B71D6">
        <w:t xml:space="preserve">taking precautions. The solution to this problem would be to create a single, transparent test for this clause, as currently the process by which it is decided is entirely up to the discretion of the </w:t>
      </w:r>
      <w:r w:rsidR="006E73FA">
        <w:t xml:space="preserve">courts and is opaque in nature. </w:t>
      </w:r>
    </w:p>
    <w:p w14:paraId="29153C7E" w14:textId="77777777" w:rsidR="00EA7ACB" w:rsidRDefault="00EA7ACB" w:rsidP="00753811"/>
    <w:p w14:paraId="1E92F964" w14:textId="4360174E" w:rsidR="00BB5C12" w:rsidRPr="00BB5C12" w:rsidRDefault="00BB5C12" w:rsidP="00753811">
      <w:pPr>
        <w:rPr>
          <w:sz w:val="44"/>
          <w:szCs w:val="44"/>
          <w:u w:val="single"/>
        </w:rPr>
      </w:pPr>
      <w:r w:rsidRPr="00BB5C12">
        <w:rPr>
          <w:sz w:val="44"/>
          <w:szCs w:val="44"/>
          <w:u w:val="single"/>
        </w:rPr>
        <w:lastRenderedPageBreak/>
        <w:t>References</w:t>
      </w:r>
    </w:p>
    <w:p w14:paraId="292F8A2B" w14:textId="654837D6" w:rsidR="00517FE0" w:rsidRDefault="00517FE0" w:rsidP="00753811">
      <w:r>
        <w:t xml:space="preserve">‘Alcock v Chief Constable of South Yorkshire Police’ (1991) All ER, 4, pp. 907 </w:t>
      </w:r>
    </w:p>
    <w:p w14:paraId="0A0A56D5" w14:textId="28A0D9A3" w:rsidR="00EF0DC8" w:rsidRDefault="00EF0DC8" w:rsidP="00753811">
      <w:r>
        <w:t>‘</w:t>
      </w:r>
      <w:r>
        <w:t>Barnett v Chelsea and Kensington Hospital Management Committee</w:t>
      </w:r>
      <w:r>
        <w:t>’</w:t>
      </w:r>
      <w:r>
        <w:t xml:space="preserve"> (1968)</w:t>
      </w:r>
      <w:r w:rsidR="003E60FB">
        <w:t xml:space="preserve"> WLR, 2, pp. 422</w:t>
      </w:r>
    </w:p>
    <w:p w14:paraId="2DFBC84A" w14:textId="7D4FDEA5" w:rsidR="00153E4C" w:rsidRDefault="00153E4C" w:rsidP="00753811">
      <w:r>
        <w:t>‘Blyth v Birmingham Waterworks Co’ (1856) JP, 20, pp. 247</w:t>
      </w:r>
    </w:p>
    <w:p w14:paraId="5C478642" w14:textId="63BE302F" w:rsidR="00065631" w:rsidRDefault="00065631" w:rsidP="00753811">
      <w:r>
        <w:t>‘Bolam v Friern Barnett Hospital Management Committee’ (1957)</w:t>
      </w:r>
      <w:r w:rsidR="00952FA1">
        <w:t xml:space="preserve"> WLR, 1, pp. 583</w:t>
      </w:r>
    </w:p>
    <w:p w14:paraId="4517C302" w14:textId="11C13CC2" w:rsidR="00952FA1" w:rsidRDefault="00DF0E3C" w:rsidP="00753811">
      <w:r>
        <w:t>‘</w:t>
      </w:r>
      <w:r w:rsidR="00952FA1">
        <w:t>Bolitho v City and Hackney Health Authority</w:t>
      </w:r>
      <w:r>
        <w:t>’</w:t>
      </w:r>
      <w:r w:rsidR="00952FA1">
        <w:t xml:space="preserve"> (19</w:t>
      </w:r>
      <w:r>
        <w:t>97</w:t>
      </w:r>
      <w:r w:rsidR="00952FA1">
        <w:t>)</w:t>
      </w:r>
      <w:r>
        <w:t xml:space="preserve"> WLR, 3, pp. 1151</w:t>
      </w:r>
    </w:p>
    <w:p w14:paraId="4482D77F" w14:textId="01A4F3C4" w:rsidR="00B37F1E" w:rsidRDefault="00B37F1E" w:rsidP="00753811">
      <w:r>
        <w:t>‘</w:t>
      </w:r>
      <w:r>
        <w:t>Bolton v Stone</w:t>
      </w:r>
      <w:r>
        <w:t>’</w:t>
      </w:r>
      <w:r>
        <w:t xml:space="preserve"> (1951)</w:t>
      </w:r>
      <w:r>
        <w:t xml:space="preserve"> All ER, 1, pp. 1078</w:t>
      </w:r>
    </w:p>
    <w:p w14:paraId="416E4895" w14:textId="31B50633" w:rsidR="00C21A88" w:rsidRDefault="00C21A88" w:rsidP="00753811">
      <w:r>
        <w:t>‘Bonnington Castings Ltd v Wardlaw’ (1956) WLR, 2, pp. 707</w:t>
      </w:r>
    </w:p>
    <w:p w14:paraId="6B186042" w14:textId="514B3FB1" w:rsidR="00357EE9" w:rsidRDefault="00357EE9" w:rsidP="00753811">
      <w:r>
        <w:t>‘Chadwick v British Railways Board’ (1967) WLR, 1, pp. 912</w:t>
      </w:r>
    </w:p>
    <w:p w14:paraId="346E1CA1" w14:textId="61B2DB22" w:rsidR="00153E4C" w:rsidRDefault="00153E4C" w:rsidP="00753811">
      <w:r>
        <w:t>‘Caparo Industries Plc v Dickman’ (1990) WLR, 2, pp. 358</w:t>
      </w:r>
    </w:p>
    <w:p w14:paraId="5D6B4EF5" w14:textId="64ABAD98" w:rsidR="00EA7ACB" w:rsidRDefault="0008068A" w:rsidP="00753811">
      <w:r>
        <w:t>‘</w:t>
      </w:r>
      <w:r w:rsidR="00185EDC">
        <w:t>Donoghue v Stevenson</w:t>
      </w:r>
      <w:r>
        <w:t>’</w:t>
      </w:r>
      <w:r w:rsidR="00185EDC">
        <w:t xml:space="preserve"> </w:t>
      </w:r>
      <w:r>
        <w:t>(</w:t>
      </w:r>
      <w:r w:rsidR="00316473">
        <w:t>1932</w:t>
      </w:r>
      <w:r>
        <w:t>)</w:t>
      </w:r>
      <w:r w:rsidR="008A4568">
        <w:t xml:space="preserve"> All ER</w:t>
      </w:r>
      <w:r w:rsidR="005629A5">
        <w:t xml:space="preserve"> Rep 1</w:t>
      </w:r>
    </w:p>
    <w:p w14:paraId="4C734229" w14:textId="5ED5EF1A" w:rsidR="00836338" w:rsidRDefault="00836338" w:rsidP="00753811">
      <w:r>
        <w:t xml:space="preserve">‘Dunnage v Randall’ (2016) </w:t>
      </w:r>
      <w:r w:rsidR="00790DA8">
        <w:t xml:space="preserve">EWCA </w:t>
      </w:r>
      <w:proofErr w:type="spellStart"/>
      <w:r w:rsidR="00790DA8">
        <w:t>Civ</w:t>
      </w:r>
      <w:proofErr w:type="spellEnd"/>
      <w:r w:rsidR="00790DA8">
        <w:t>, 673</w:t>
      </w:r>
      <w:r w:rsidR="00CF766F">
        <w:t xml:space="preserve">. Available at: </w:t>
      </w:r>
      <w:hyperlink r:id="rId7" w:history="1">
        <w:r w:rsidR="00CF766F" w:rsidRPr="0026551C">
          <w:rPr>
            <w:rStyle w:val="Hyperlink"/>
          </w:rPr>
          <w:t>https://librarysearch.uwtsd.ac.uk/view/action/uresolver.do?operation=resolveService&amp;package_service_id=11744499120002421&amp;institutionId=2421&amp;customerId=2415&amp;VE=true</w:t>
        </w:r>
      </w:hyperlink>
      <w:r w:rsidR="00CF766F">
        <w:t xml:space="preserve"> </w:t>
      </w:r>
    </w:p>
    <w:p w14:paraId="75033ED7" w14:textId="237600A1" w:rsidR="00A36E29" w:rsidRDefault="00A36E29" w:rsidP="00753811">
      <w:r>
        <w:t>‘Gregg v Scott</w:t>
      </w:r>
      <w:r w:rsidR="00834318">
        <w:t xml:space="preserve">’ (2005) UKHL 2. Available at: </w:t>
      </w:r>
      <w:hyperlink r:id="rId8" w:history="1">
        <w:r w:rsidR="00834318" w:rsidRPr="0026551C">
          <w:rPr>
            <w:rStyle w:val="Hyperlink"/>
          </w:rPr>
          <w:t>https://librarysearch.uwtsd.ac.uk/view/action/uresolver.do?operation=resolveService&amp;package_service_id=11744499120002421&amp;institutionId=2421&amp;customerId=2415&amp;VE=true</w:t>
        </w:r>
      </w:hyperlink>
    </w:p>
    <w:p w14:paraId="3B3DD873" w14:textId="1A940563" w:rsidR="000317DD" w:rsidRDefault="000317DD" w:rsidP="00753811">
      <w:r>
        <w:t>‘Haley v London Electricity Board</w:t>
      </w:r>
      <w:r w:rsidR="007F4F15">
        <w:t>’</w:t>
      </w:r>
      <w:r>
        <w:t xml:space="preserve"> (</w:t>
      </w:r>
      <w:r w:rsidR="007F4F15">
        <w:t>1965) AC 778</w:t>
      </w:r>
    </w:p>
    <w:p w14:paraId="541C4E29" w14:textId="366E2994" w:rsidR="00B83993" w:rsidRDefault="00B83993" w:rsidP="00753811">
      <w:r>
        <w:t>‘Marc Rich &amp; Co AG v Bishop Rock Marine Co Ltd’ (1995) WLR, 3, pp. 227</w:t>
      </w:r>
    </w:p>
    <w:p w14:paraId="397347F3" w14:textId="5E40DCD3" w:rsidR="0038195A" w:rsidRDefault="0038195A" w:rsidP="00753811">
      <w:r>
        <w:t>‘Mc</w:t>
      </w:r>
      <w:r w:rsidR="00F0143B">
        <w:t xml:space="preserve">Loughlin v O’Brian’ (1983) WLR, 2, </w:t>
      </w:r>
      <w:r w:rsidR="00142E3A">
        <w:t>pp. 982</w:t>
      </w:r>
    </w:p>
    <w:p w14:paraId="4889FFE3" w14:textId="684B722F" w:rsidR="00456B15" w:rsidRDefault="00456B15" w:rsidP="00753811">
      <w:r>
        <w:t>‘Mullin v Richards’ (1998) All ER, 1, pp. 920</w:t>
      </w:r>
    </w:p>
    <w:p w14:paraId="344213A3" w14:textId="65F81600" w:rsidR="00456B15" w:rsidRDefault="00456B15" w:rsidP="00753811">
      <w:r>
        <w:t xml:space="preserve">‘Orchard v Lee’ (2009) EWCA </w:t>
      </w:r>
      <w:proofErr w:type="spellStart"/>
      <w:r>
        <w:t>Civ</w:t>
      </w:r>
      <w:proofErr w:type="spellEnd"/>
      <w:r>
        <w:t xml:space="preserve">, 295. Available at: </w:t>
      </w:r>
      <w:hyperlink r:id="rId9" w:history="1">
        <w:r w:rsidRPr="0026551C">
          <w:rPr>
            <w:rStyle w:val="Hyperlink"/>
          </w:rPr>
          <w:t>https://librarysearch.uwtsd.ac.uk/view/action/uresolver.do?operation=resolveService&amp;package_service_id=11744499120002421&amp;institutionId=2421&amp;customerId=2415&amp;VE=true</w:t>
        </w:r>
      </w:hyperlink>
    </w:p>
    <w:p w14:paraId="3854B5D3" w14:textId="5286D5FC" w:rsidR="005E6EE8" w:rsidRDefault="005E6EE8" w:rsidP="00753811">
      <w:r>
        <w:t>‘</w:t>
      </w:r>
      <w:r>
        <w:t>Overseas Tankship (UK) Ltd v Morts Dock &amp; Engineering Co</w:t>
      </w:r>
      <w:r>
        <w:t>’</w:t>
      </w:r>
      <w:r>
        <w:t xml:space="preserve"> (The “Wagon Mound”) (1961)</w:t>
      </w:r>
      <w:r w:rsidR="004842AF">
        <w:t xml:space="preserve"> WLR, 2, pp. 126</w:t>
      </w:r>
    </w:p>
    <w:p w14:paraId="689D9722" w14:textId="537B32B2" w:rsidR="00391F4C" w:rsidRDefault="00391F4C" w:rsidP="00753811">
      <w:r>
        <w:t>‘</w:t>
      </w:r>
      <w:proofErr w:type="spellStart"/>
      <w:r>
        <w:t>Palsgraf</w:t>
      </w:r>
      <w:proofErr w:type="spellEnd"/>
      <w:r>
        <w:t xml:space="preserve"> v Long Island Railroad Co’ (1928) NY, 248, pp. 339</w:t>
      </w:r>
    </w:p>
    <w:p w14:paraId="0D5CCE78" w14:textId="43A9AD8E" w:rsidR="00703BFA" w:rsidRDefault="00703BFA" w:rsidP="00753811">
      <w:r>
        <w:t>‘Paris v Stepney Borough Council’ (19</w:t>
      </w:r>
      <w:r w:rsidR="006914D8">
        <w:t>49</w:t>
      </w:r>
      <w:r>
        <w:t xml:space="preserve">) </w:t>
      </w:r>
      <w:r w:rsidR="006914D8">
        <w:t>All ER, 2, pp. 843</w:t>
      </w:r>
    </w:p>
    <w:p w14:paraId="54E60697" w14:textId="067E2397" w:rsidR="002638B6" w:rsidRDefault="002638B6" w:rsidP="00753811">
      <w:r>
        <w:t>‘</w:t>
      </w:r>
      <w:proofErr w:type="spellStart"/>
      <w:r>
        <w:t>Polemis</w:t>
      </w:r>
      <w:proofErr w:type="spellEnd"/>
      <w:r>
        <w:t xml:space="preserve"> and Furness Withy &amp; Co, Re’ (1921)</w:t>
      </w:r>
      <w:r w:rsidR="0063562F">
        <w:t xml:space="preserve"> </w:t>
      </w:r>
      <w:proofErr w:type="spellStart"/>
      <w:r w:rsidR="0063562F">
        <w:t>Ll</w:t>
      </w:r>
      <w:proofErr w:type="spellEnd"/>
      <w:r w:rsidR="0063562F">
        <w:t xml:space="preserve"> L Rep, 6, pp. 223</w:t>
      </w:r>
    </w:p>
    <w:p w14:paraId="1BBAE31A" w14:textId="6956F63B" w:rsidR="00ED7FB2" w:rsidRDefault="00ED7FB2" w:rsidP="00753811">
      <w:r>
        <w:t xml:space="preserve">‘Paul </w:t>
      </w:r>
      <w:r w:rsidR="003461CC">
        <w:t xml:space="preserve">and Another v Royal Wolverhampton NHS Trust and other cases’ </w:t>
      </w:r>
      <w:r w:rsidR="00BB5C12">
        <w:t xml:space="preserve">(2022) EWCA </w:t>
      </w:r>
      <w:proofErr w:type="spellStart"/>
      <w:r w:rsidR="00BB5C12">
        <w:t>Civ</w:t>
      </w:r>
      <w:proofErr w:type="spellEnd"/>
      <w:r w:rsidR="00BB5C12">
        <w:t xml:space="preserve"> 12. Available at: </w:t>
      </w:r>
      <w:hyperlink r:id="rId10" w:history="1">
        <w:r w:rsidR="00BB5C12" w:rsidRPr="0026551C">
          <w:rPr>
            <w:rStyle w:val="Hyperlink"/>
          </w:rPr>
          <w:t>https://librarysearch.uwtsd.ac.uk/view/action/uresolver.do?operation=resolveService&amp;package_service_id=11744499120002421&amp;institutionId=2421&amp;customerId=2415&amp;VE=true</w:t>
        </w:r>
      </w:hyperlink>
    </w:p>
    <w:p w14:paraId="6D806460" w14:textId="533B4C9F" w:rsidR="00DE51C4" w:rsidRDefault="00DE51C4" w:rsidP="00753811">
      <w:r>
        <w:lastRenderedPageBreak/>
        <w:t>‘Savage v South Essex Partnership NHS Foundation Trust’ (200</w:t>
      </w:r>
      <w:r w:rsidR="00B37E3B">
        <w:t xml:space="preserve">7) EWCA </w:t>
      </w:r>
      <w:proofErr w:type="spellStart"/>
      <w:r w:rsidR="00B37E3B">
        <w:t>Civ</w:t>
      </w:r>
      <w:proofErr w:type="spellEnd"/>
      <w:r w:rsidR="00B37E3B">
        <w:t xml:space="preserve"> 1375</w:t>
      </w:r>
      <w:r w:rsidR="00161C91">
        <w:t xml:space="preserve">. Available at: </w:t>
      </w:r>
      <w:hyperlink r:id="rId11" w:history="1">
        <w:r w:rsidR="00161C91" w:rsidRPr="0026551C">
          <w:rPr>
            <w:rStyle w:val="Hyperlink"/>
          </w:rPr>
          <w:t>https://librarysearch.uwtsd.ac.uk/view/action/uresolver.do?operation=resolveService&amp;package_service_id=11744499120002421&amp;institutionId=2421&amp;customerId=2415&amp;VE=true</w:t>
        </w:r>
      </w:hyperlink>
    </w:p>
    <w:p w14:paraId="6E67A04E" w14:textId="53185C66" w:rsidR="00517FE0" w:rsidRDefault="00B955BA" w:rsidP="00753811">
      <w:r>
        <w:t>‘</w:t>
      </w:r>
      <w:r w:rsidR="009306F1">
        <w:t>Smith v Littlewoods Organisation Ltd</w:t>
      </w:r>
      <w:r>
        <w:t>’</w:t>
      </w:r>
      <w:r w:rsidR="009306F1">
        <w:t xml:space="preserve"> (</w:t>
      </w:r>
      <w:r>
        <w:t xml:space="preserve">1987) All ER, 1, </w:t>
      </w:r>
      <w:r w:rsidR="00B94E6A">
        <w:t xml:space="preserve">pp. </w:t>
      </w:r>
      <w:r>
        <w:t>710</w:t>
      </w:r>
    </w:p>
    <w:p w14:paraId="31B2D65B" w14:textId="1BB9F769" w:rsidR="003458D7" w:rsidRDefault="00F67EA2" w:rsidP="00753811">
      <w:r>
        <w:t>‘</w:t>
      </w:r>
      <w:r w:rsidR="00787956">
        <w:t>Vaughan v Menlove</w:t>
      </w:r>
      <w:r>
        <w:t>’</w:t>
      </w:r>
      <w:r w:rsidR="00787956">
        <w:t xml:space="preserve"> (1837) </w:t>
      </w:r>
      <w:r>
        <w:t>ER, 132, pp. 490</w:t>
      </w:r>
    </w:p>
    <w:p w14:paraId="67CA239F" w14:textId="22E23E95" w:rsidR="00B36DE8" w:rsidRDefault="002738F6" w:rsidP="00753811">
      <w:r>
        <w:t>‘</w:t>
      </w:r>
      <w:r w:rsidR="00B36DE8">
        <w:t>Wells and Another v University Hospital Southampton NHS Foundation Trust</w:t>
      </w:r>
      <w:r>
        <w:t>’</w:t>
      </w:r>
      <w:r w:rsidR="00B36DE8">
        <w:t xml:space="preserve"> (2015</w:t>
      </w:r>
      <w:r>
        <w:t xml:space="preserve">) EWHC 2376 (QB). Available at: </w:t>
      </w:r>
      <w:hyperlink r:id="rId12" w:history="1">
        <w:r w:rsidRPr="0026551C">
          <w:rPr>
            <w:rStyle w:val="Hyperlink"/>
          </w:rPr>
          <w:t>https://librarysearch.uwtsd.ac.uk/view/action/uresolver.do?operation=resolveService&amp;package_service_id=11744499120002421&amp;institutionId=2421&amp;customerId=2415&amp;VE=true</w:t>
        </w:r>
      </w:hyperlink>
    </w:p>
    <w:p w14:paraId="27D2C217" w14:textId="7726C270" w:rsidR="00790DA8" w:rsidRPr="00E541CC" w:rsidRDefault="00790DA8" w:rsidP="00753811"/>
    <w:sectPr w:rsidR="00790DA8" w:rsidRPr="00E541C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AB6A3" w14:textId="77777777" w:rsidR="003A04B9" w:rsidRDefault="003A04B9" w:rsidP="003A04B9">
      <w:pPr>
        <w:spacing w:after="0" w:line="240" w:lineRule="auto"/>
      </w:pPr>
      <w:r>
        <w:separator/>
      </w:r>
    </w:p>
  </w:endnote>
  <w:endnote w:type="continuationSeparator" w:id="0">
    <w:p w14:paraId="7417888A" w14:textId="77777777" w:rsidR="003A04B9" w:rsidRDefault="003A04B9" w:rsidP="003A04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0652471"/>
      <w:docPartObj>
        <w:docPartGallery w:val="Page Numbers (Bottom of Page)"/>
        <w:docPartUnique/>
      </w:docPartObj>
    </w:sdtPr>
    <w:sdtEndPr>
      <w:rPr>
        <w:noProof/>
      </w:rPr>
    </w:sdtEndPr>
    <w:sdtContent>
      <w:p w14:paraId="2AD2D1D4" w14:textId="1CFA3957" w:rsidR="003A04B9" w:rsidRDefault="003A04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CE36C2" w14:textId="77777777" w:rsidR="003A04B9" w:rsidRDefault="003A0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CDBFE" w14:textId="77777777" w:rsidR="003A04B9" w:rsidRDefault="003A04B9" w:rsidP="003A04B9">
      <w:pPr>
        <w:spacing w:after="0" w:line="240" w:lineRule="auto"/>
      </w:pPr>
      <w:r>
        <w:separator/>
      </w:r>
    </w:p>
  </w:footnote>
  <w:footnote w:type="continuationSeparator" w:id="0">
    <w:p w14:paraId="6E17C6C9" w14:textId="77777777" w:rsidR="003A04B9" w:rsidRDefault="003A04B9" w:rsidP="003A04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F60F6"/>
    <w:multiLevelType w:val="hybridMultilevel"/>
    <w:tmpl w:val="11C61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B3429D"/>
    <w:multiLevelType w:val="hybridMultilevel"/>
    <w:tmpl w:val="07A6B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9647144">
    <w:abstractNumId w:val="1"/>
  </w:num>
  <w:num w:numId="2" w16cid:durableId="1836871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3C3"/>
    <w:rsid w:val="000044E2"/>
    <w:rsid w:val="00005E63"/>
    <w:rsid w:val="000317DD"/>
    <w:rsid w:val="000369F4"/>
    <w:rsid w:val="000540F9"/>
    <w:rsid w:val="00054B93"/>
    <w:rsid w:val="00065631"/>
    <w:rsid w:val="0008068A"/>
    <w:rsid w:val="00082674"/>
    <w:rsid w:val="0008643B"/>
    <w:rsid w:val="00095FA7"/>
    <w:rsid w:val="000A057A"/>
    <w:rsid w:val="000A42A2"/>
    <w:rsid w:val="000B6F85"/>
    <w:rsid w:val="000B6FE2"/>
    <w:rsid w:val="000C05C5"/>
    <w:rsid w:val="000D09E8"/>
    <w:rsid w:val="000D79DC"/>
    <w:rsid w:val="000E3AFF"/>
    <w:rsid w:val="000F44F7"/>
    <w:rsid w:val="000F497C"/>
    <w:rsid w:val="000F7DB6"/>
    <w:rsid w:val="001103EA"/>
    <w:rsid w:val="00115EAF"/>
    <w:rsid w:val="001269DB"/>
    <w:rsid w:val="00132C9D"/>
    <w:rsid w:val="00134B00"/>
    <w:rsid w:val="00142E3A"/>
    <w:rsid w:val="00143928"/>
    <w:rsid w:val="00143954"/>
    <w:rsid w:val="00147DF9"/>
    <w:rsid w:val="00152839"/>
    <w:rsid w:val="00153E4C"/>
    <w:rsid w:val="00155BF0"/>
    <w:rsid w:val="00161C91"/>
    <w:rsid w:val="00164BA7"/>
    <w:rsid w:val="00167F26"/>
    <w:rsid w:val="001736BB"/>
    <w:rsid w:val="001802C2"/>
    <w:rsid w:val="00184F86"/>
    <w:rsid w:val="00185EDC"/>
    <w:rsid w:val="00190046"/>
    <w:rsid w:val="00190F71"/>
    <w:rsid w:val="00192D3D"/>
    <w:rsid w:val="00196755"/>
    <w:rsid w:val="001B0F18"/>
    <w:rsid w:val="001B36EC"/>
    <w:rsid w:val="001D05BE"/>
    <w:rsid w:val="001E75CE"/>
    <w:rsid w:val="001F0136"/>
    <w:rsid w:val="001F0855"/>
    <w:rsid w:val="002000D5"/>
    <w:rsid w:val="002033FA"/>
    <w:rsid w:val="00204F84"/>
    <w:rsid w:val="0021571D"/>
    <w:rsid w:val="0021659E"/>
    <w:rsid w:val="002272BF"/>
    <w:rsid w:val="002306CB"/>
    <w:rsid w:val="0023359B"/>
    <w:rsid w:val="00233B4D"/>
    <w:rsid w:val="00241B86"/>
    <w:rsid w:val="0024498B"/>
    <w:rsid w:val="00247F17"/>
    <w:rsid w:val="002638B6"/>
    <w:rsid w:val="00266617"/>
    <w:rsid w:val="002738F6"/>
    <w:rsid w:val="002839A0"/>
    <w:rsid w:val="002B155F"/>
    <w:rsid w:val="002B7279"/>
    <w:rsid w:val="002C1DAB"/>
    <w:rsid w:val="002C364F"/>
    <w:rsid w:val="002C625D"/>
    <w:rsid w:val="002C7A04"/>
    <w:rsid w:val="002D0B65"/>
    <w:rsid w:val="002D1E97"/>
    <w:rsid w:val="002D4B7E"/>
    <w:rsid w:val="002F05CC"/>
    <w:rsid w:val="002F7E3C"/>
    <w:rsid w:val="00301604"/>
    <w:rsid w:val="00301CAC"/>
    <w:rsid w:val="00306D57"/>
    <w:rsid w:val="00316473"/>
    <w:rsid w:val="00321E85"/>
    <w:rsid w:val="003300FD"/>
    <w:rsid w:val="003458D7"/>
    <w:rsid w:val="003461CC"/>
    <w:rsid w:val="00347AB2"/>
    <w:rsid w:val="00355AE9"/>
    <w:rsid w:val="00357EE9"/>
    <w:rsid w:val="003627AF"/>
    <w:rsid w:val="00362DF9"/>
    <w:rsid w:val="003658BD"/>
    <w:rsid w:val="0038195A"/>
    <w:rsid w:val="003841AB"/>
    <w:rsid w:val="00387A2B"/>
    <w:rsid w:val="00390899"/>
    <w:rsid w:val="00391F4C"/>
    <w:rsid w:val="00394497"/>
    <w:rsid w:val="00394667"/>
    <w:rsid w:val="003949A1"/>
    <w:rsid w:val="003A04B9"/>
    <w:rsid w:val="003A2CB5"/>
    <w:rsid w:val="003C37CA"/>
    <w:rsid w:val="003C5FC6"/>
    <w:rsid w:val="003D1A9F"/>
    <w:rsid w:val="003D6929"/>
    <w:rsid w:val="003D7804"/>
    <w:rsid w:val="003E60FB"/>
    <w:rsid w:val="003F3C1A"/>
    <w:rsid w:val="003F47D8"/>
    <w:rsid w:val="0040515E"/>
    <w:rsid w:val="00433278"/>
    <w:rsid w:val="0044251E"/>
    <w:rsid w:val="00452C1C"/>
    <w:rsid w:val="00456B15"/>
    <w:rsid w:val="004604B3"/>
    <w:rsid w:val="0046061D"/>
    <w:rsid w:val="004715C4"/>
    <w:rsid w:val="00473AA7"/>
    <w:rsid w:val="004842AF"/>
    <w:rsid w:val="0049103A"/>
    <w:rsid w:val="00495742"/>
    <w:rsid w:val="004A085A"/>
    <w:rsid w:val="004A149F"/>
    <w:rsid w:val="004A35FF"/>
    <w:rsid w:val="004A5426"/>
    <w:rsid w:val="004B031E"/>
    <w:rsid w:val="004B16E2"/>
    <w:rsid w:val="004B2054"/>
    <w:rsid w:val="004B2799"/>
    <w:rsid w:val="004D14EB"/>
    <w:rsid w:val="004D4DE2"/>
    <w:rsid w:val="004D557F"/>
    <w:rsid w:val="004F0596"/>
    <w:rsid w:val="004F0764"/>
    <w:rsid w:val="00507F21"/>
    <w:rsid w:val="005174CE"/>
    <w:rsid w:val="00517FE0"/>
    <w:rsid w:val="0052466F"/>
    <w:rsid w:val="00531F5B"/>
    <w:rsid w:val="00532E23"/>
    <w:rsid w:val="0053452E"/>
    <w:rsid w:val="00540494"/>
    <w:rsid w:val="0054094C"/>
    <w:rsid w:val="00544FFD"/>
    <w:rsid w:val="005460F3"/>
    <w:rsid w:val="00557AEC"/>
    <w:rsid w:val="005629A5"/>
    <w:rsid w:val="0056606D"/>
    <w:rsid w:val="00591F50"/>
    <w:rsid w:val="005961B3"/>
    <w:rsid w:val="005A7586"/>
    <w:rsid w:val="005B71D6"/>
    <w:rsid w:val="005C2EED"/>
    <w:rsid w:val="005C3F87"/>
    <w:rsid w:val="005E44F0"/>
    <w:rsid w:val="005E6EE8"/>
    <w:rsid w:val="005F4C1F"/>
    <w:rsid w:val="005F56E6"/>
    <w:rsid w:val="006019C8"/>
    <w:rsid w:val="00605FE9"/>
    <w:rsid w:val="00610DEA"/>
    <w:rsid w:val="006130EE"/>
    <w:rsid w:val="00621BFF"/>
    <w:rsid w:val="00627620"/>
    <w:rsid w:val="0063078E"/>
    <w:rsid w:val="0063562F"/>
    <w:rsid w:val="0064464A"/>
    <w:rsid w:val="00644805"/>
    <w:rsid w:val="006469B8"/>
    <w:rsid w:val="00650BC6"/>
    <w:rsid w:val="0065379F"/>
    <w:rsid w:val="006564E4"/>
    <w:rsid w:val="006914D8"/>
    <w:rsid w:val="00695170"/>
    <w:rsid w:val="0069572A"/>
    <w:rsid w:val="006A72C1"/>
    <w:rsid w:val="006B3C1F"/>
    <w:rsid w:val="006B73D3"/>
    <w:rsid w:val="006D104A"/>
    <w:rsid w:val="006D3B36"/>
    <w:rsid w:val="006D4435"/>
    <w:rsid w:val="006D470A"/>
    <w:rsid w:val="006E73FA"/>
    <w:rsid w:val="00703BFA"/>
    <w:rsid w:val="007208B3"/>
    <w:rsid w:val="007208ED"/>
    <w:rsid w:val="00723670"/>
    <w:rsid w:val="00725321"/>
    <w:rsid w:val="00733149"/>
    <w:rsid w:val="00734EE9"/>
    <w:rsid w:val="007408FB"/>
    <w:rsid w:val="007444F7"/>
    <w:rsid w:val="0074481B"/>
    <w:rsid w:val="007448AD"/>
    <w:rsid w:val="0074588F"/>
    <w:rsid w:val="00753811"/>
    <w:rsid w:val="00766A98"/>
    <w:rsid w:val="00766B04"/>
    <w:rsid w:val="00771BF3"/>
    <w:rsid w:val="00774166"/>
    <w:rsid w:val="007820A6"/>
    <w:rsid w:val="00787956"/>
    <w:rsid w:val="00790DA8"/>
    <w:rsid w:val="007A521E"/>
    <w:rsid w:val="007B603F"/>
    <w:rsid w:val="007B6BD3"/>
    <w:rsid w:val="007C2F67"/>
    <w:rsid w:val="007D6049"/>
    <w:rsid w:val="007F4F15"/>
    <w:rsid w:val="007F5C89"/>
    <w:rsid w:val="00800F45"/>
    <w:rsid w:val="008026AA"/>
    <w:rsid w:val="00802935"/>
    <w:rsid w:val="00805EAD"/>
    <w:rsid w:val="00807BB7"/>
    <w:rsid w:val="00807F00"/>
    <w:rsid w:val="0081676A"/>
    <w:rsid w:val="00834318"/>
    <w:rsid w:val="00835D08"/>
    <w:rsid w:val="00836338"/>
    <w:rsid w:val="0083695A"/>
    <w:rsid w:val="00886F93"/>
    <w:rsid w:val="00894EE5"/>
    <w:rsid w:val="00897632"/>
    <w:rsid w:val="008A39C3"/>
    <w:rsid w:val="008A4568"/>
    <w:rsid w:val="008A76CF"/>
    <w:rsid w:val="008B0D68"/>
    <w:rsid w:val="008B1855"/>
    <w:rsid w:val="008C1CCB"/>
    <w:rsid w:val="008C2813"/>
    <w:rsid w:val="008C283E"/>
    <w:rsid w:val="008C417A"/>
    <w:rsid w:val="008D1BCC"/>
    <w:rsid w:val="008D5501"/>
    <w:rsid w:val="008D7460"/>
    <w:rsid w:val="008E66A6"/>
    <w:rsid w:val="008F46B5"/>
    <w:rsid w:val="008F6EC8"/>
    <w:rsid w:val="009024CC"/>
    <w:rsid w:val="00904C91"/>
    <w:rsid w:val="009204C0"/>
    <w:rsid w:val="00921C39"/>
    <w:rsid w:val="00923F91"/>
    <w:rsid w:val="00924977"/>
    <w:rsid w:val="009306F1"/>
    <w:rsid w:val="00952FA1"/>
    <w:rsid w:val="00962ACC"/>
    <w:rsid w:val="009831E9"/>
    <w:rsid w:val="009944E3"/>
    <w:rsid w:val="00997273"/>
    <w:rsid w:val="009A2E49"/>
    <w:rsid w:val="009D6C3F"/>
    <w:rsid w:val="009D7920"/>
    <w:rsid w:val="009F45FA"/>
    <w:rsid w:val="00A14E48"/>
    <w:rsid w:val="00A1633B"/>
    <w:rsid w:val="00A35F29"/>
    <w:rsid w:val="00A36E29"/>
    <w:rsid w:val="00A47B84"/>
    <w:rsid w:val="00A50A58"/>
    <w:rsid w:val="00A55C78"/>
    <w:rsid w:val="00A5791F"/>
    <w:rsid w:val="00A63BF1"/>
    <w:rsid w:val="00A641C6"/>
    <w:rsid w:val="00A64373"/>
    <w:rsid w:val="00A659B5"/>
    <w:rsid w:val="00A71AD9"/>
    <w:rsid w:val="00A805FF"/>
    <w:rsid w:val="00A81444"/>
    <w:rsid w:val="00A86957"/>
    <w:rsid w:val="00A94AFF"/>
    <w:rsid w:val="00A961A7"/>
    <w:rsid w:val="00AA31F1"/>
    <w:rsid w:val="00AA466E"/>
    <w:rsid w:val="00AB483A"/>
    <w:rsid w:val="00AB7DA7"/>
    <w:rsid w:val="00AC031F"/>
    <w:rsid w:val="00AD26A8"/>
    <w:rsid w:val="00AE0D9D"/>
    <w:rsid w:val="00AE2FAD"/>
    <w:rsid w:val="00B03A78"/>
    <w:rsid w:val="00B13F23"/>
    <w:rsid w:val="00B36DE8"/>
    <w:rsid w:val="00B37E3B"/>
    <w:rsid w:val="00B37F1E"/>
    <w:rsid w:val="00B52808"/>
    <w:rsid w:val="00B5328E"/>
    <w:rsid w:val="00B63726"/>
    <w:rsid w:val="00B83993"/>
    <w:rsid w:val="00B94E6A"/>
    <w:rsid w:val="00B955BA"/>
    <w:rsid w:val="00BA2405"/>
    <w:rsid w:val="00BA329A"/>
    <w:rsid w:val="00BB2BB3"/>
    <w:rsid w:val="00BB3560"/>
    <w:rsid w:val="00BB5C12"/>
    <w:rsid w:val="00BC08D8"/>
    <w:rsid w:val="00BC1949"/>
    <w:rsid w:val="00BC36C2"/>
    <w:rsid w:val="00BE7270"/>
    <w:rsid w:val="00BF293C"/>
    <w:rsid w:val="00C21232"/>
    <w:rsid w:val="00C21A88"/>
    <w:rsid w:val="00C2497F"/>
    <w:rsid w:val="00C3607C"/>
    <w:rsid w:val="00C503C3"/>
    <w:rsid w:val="00C64607"/>
    <w:rsid w:val="00C70D5A"/>
    <w:rsid w:val="00C7285E"/>
    <w:rsid w:val="00C754A3"/>
    <w:rsid w:val="00C76A88"/>
    <w:rsid w:val="00C85290"/>
    <w:rsid w:val="00C96A39"/>
    <w:rsid w:val="00CA288B"/>
    <w:rsid w:val="00CA7C0A"/>
    <w:rsid w:val="00CB4AF3"/>
    <w:rsid w:val="00CB776E"/>
    <w:rsid w:val="00CC0CDB"/>
    <w:rsid w:val="00CD2106"/>
    <w:rsid w:val="00CD34F5"/>
    <w:rsid w:val="00CD4594"/>
    <w:rsid w:val="00CE538C"/>
    <w:rsid w:val="00CE794D"/>
    <w:rsid w:val="00CF2555"/>
    <w:rsid w:val="00CF2E78"/>
    <w:rsid w:val="00CF5654"/>
    <w:rsid w:val="00CF766F"/>
    <w:rsid w:val="00D02F29"/>
    <w:rsid w:val="00D11338"/>
    <w:rsid w:val="00D15507"/>
    <w:rsid w:val="00D36662"/>
    <w:rsid w:val="00D53E6A"/>
    <w:rsid w:val="00D56867"/>
    <w:rsid w:val="00D65500"/>
    <w:rsid w:val="00D74A0E"/>
    <w:rsid w:val="00D822F6"/>
    <w:rsid w:val="00D84F83"/>
    <w:rsid w:val="00D90FD7"/>
    <w:rsid w:val="00DA00C1"/>
    <w:rsid w:val="00DA1282"/>
    <w:rsid w:val="00DA1422"/>
    <w:rsid w:val="00DA25CD"/>
    <w:rsid w:val="00DA6D29"/>
    <w:rsid w:val="00DC63C3"/>
    <w:rsid w:val="00DC682D"/>
    <w:rsid w:val="00DD3AAD"/>
    <w:rsid w:val="00DD403C"/>
    <w:rsid w:val="00DD5A13"/>
    <w:rsid w:val="00DE51C4"/>
    <w:rsid w:val="00DF0E3C"/>
    <w:rsid w:val="00E114EF"/>
    <w:rsid w:val="00E1369D"/>
    <w:rsid w:val="00E13A52"/>
    <w:rsid w:val="00E245B7"/>
    <w:rsid w:val="00E412F4"/>
    <w:rsid w:val="00E526FB"/>
    <w:rsid w:val="00E533AC"/>
    <w:rsid w:val="00E541CC"/>
    <w:rsid w:val="00E632D3"/>
    <w:rsid w:val="00E80FD7"/>
    <w:rsid w:val="00E817D7"/>
    <w:rsid w:val="00E9628B"/>
    <w:rsid w:val="00EA1ED6"/>
    <w:rsid w:val="00EA7ACB"/>
    <w:rsid w:val="00EB1F39"/>
    <w:rsid w:val="00EB49B6"/>
    <w:rsid w:val="00EB62F7"/>
    <w:rsid w:val="00EC07EB"/>
    <w:rsid w:val="00EC0A0D"/>
    <w:rsid w:val="00EC0FAE"/>
    <w:rsid w:val="00EC1A7E"/>
    <w:rsid w:val="00ED29D9"/>
    <w:rsid w:val="00ED7FB2"/>
    <w:rsid w:val="00EE04B2"/>
    <w:rsid w:val="00EE2375"/>
    <w:rsid w:val="00EE2EFD"/>
    <w:rsid w:val="00EE43E2"/>
    <w:rsid w:val="00EE578F"/>
    <w:rsid w:val="00EF0DC8"/>
    <w:rsid w:val="00EF3093"/>
    <w:rsid w:val="00F00D33"/>
    <w:rsid w:val="00F0143B"/>
    <w:rsid w:val="00F05484"/>
    <w:rsid w:val="00F3377C"/>
    <w:rsid w:val="00F437B5"/>
    <w:rsid w:val="00F575A3"/>
    <w:rsid w:val="00F62440"/>
    <w:rsid w:val="00F63AD7"/>
    <w:rsid w:val="00F64733"/>
    <w:rsid w:val="00F67EA2"/>
    <w:rsid w:val="00F716EB"/>
    <w:rsid w:val="00F73BD6"/>
    <w:rsid w:val="00F839C9"/>
    <w:rsid w:val="00FA0A41"/>
    <w:rsid w:val="00FA63A5"/>
    <w:rsid w:val="00FB5359"/>
    <w:rsid w:val="00FC49D6"/>
    <w:rsid w:val="00FD4F8E"/>
    <w:rsid w:val="00FD7A7A"/>
    <w:rsid w:val="00FE1F8C"/>
    <w:rsid w:val="00FE3699"/>
    <w:rsid w:val="00FE6896"/>
    <w:rsid w:val="00FE7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662F2"/>
  <w15:chartTrackingRefBased/>
  <w15:docId w15:val="{D151A557-7978-4CF9-AAC3-14132A17D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3C3"/>
    <w:rPr>
      <w:rFonts w:eastAsiaTheme="majorEastAsia" w:cstheme="majorBidi"/>
      <w:color w:val="272727" w:themeColor="text1" w:themeTint="D8"/>
    </w:rPr>
  </w:style>
  <w:style w:type="paragraph" w:styleId="Title">
    <w:name w:val="Title"/>
    <w:basedOn w:val="Normal"/>
    <w:next w:val="Normal"/>
    <w:link w:val="TitleChar"/>
    <w:uiPriority w:val="10"/>
    <w:qFormat/>
    <w:rsid w:val="00DC6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3C3"/>
    <w:pPr>
      <w:spacing w:before="160"/>
      <w:jc w:val="center"/>
    </w:pPr>
    <w:rPr>
      <w:i/>
      <w:iCs/>
      <w:color w:val="404040" w:themeColor="text1" w:themeTint="BF"/>
    </w:rPr>
  </w:style>
  <w:style w:type="character" w:customStyle="1" w:styleId="QuoteChar">
    <w:name w:val="Quote Char"/>
    <w:basedOn w:val="DefaultParagraphFont"/>
    <w:link w:val="Quote"/>
    <w:uiPriority w:val="29"/>
    <w:rsid w:val="00DC63C3"/>
    <w:rPr>
      <w:i/>
      <w:iCs/>
      <w:color w:val="404040" w:themeColor="text1" w:themeTint="BF"/>
    </w:rPr>
  </w:style>
  <w:style w:type="paragraph" w:styleId="ListParagraph">
    <w:name w:val="List Paragraph"/>
    <w:basedOn w:val="Normal"/>
    <w:uiPriority w:val="34"/>
    <w:qFormat/>
    <w:rsid w:val="00DC63C3"/>
    <w:pPr>
      <w:ind w:left="720"/>
      <w:contextualSpacing/>
    </w:pPr>
  </w:style>
  <w:style w:type="character" w:styleId="IntenseEmphasis">
    <w:name w:val="Intense Emphasis"/>
    <w:basedOn w:val="DefaultParagraphFont"/>
    <w:uiPriority w:val="21"/>
    <w:qFormat/>
    <w:rsid w:val="00DC63C3"/>
    <w:rPr>
      <w:i/>
      <w:iCs/>
      <w:color w:val="0F4761" w:themeColor="accent1" w:themeShade="BF"/>
    </w:rPr>
  </w:style>
  <w:style w:type="paragraph" w:styleId="IntenseQuote">
    <w:name w:val="Intense Quote"/>
    <w:basedOn w:val="Normal"/>
    <w:next w:val="Normal"/>
    <w:link w:val="IntenseQuoteChar"/>
    <w:uiPriority w:val="30"/>
    <w:qFormat/>
    <w:rsid w:val="00DC6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3C3"/>
    <w:rPr>
      <w:i/>
      <w:iCs/>
      <w:color w:val="0F4761" w:themeColor="accent1" w:themeShade="BF"/>
    </w:rPr>
  </w:style>
  <w:style w:type="character" w:styleId="IntenseReference">
    <w:name w:val="Intense Reference"/>
    <w:basedOn w:val="DefaultParagraphFont"/>
    <w:uiPriority w:val="32"/>
    <w:qFormat/>
    <w:rsid w:val="00DC63C3"/>
    <w:rPr>
      <w:b/>
      <w:bCs/>
      <w:smallCaps/>
      <w:color w:val="0F4761" w:themeColor="accent1" w:themeShade="BF"/>
      <w:spacing w:val="5"/>
    </w:rPr>
  </w:style>
  <w:style w:type="character" w:styleId="Hyperlink">
    <w:name w:val="Hyperlink"/>
    <w:basedOn w:val="DefaultParagraphFont"/>
    <w:uiPriority w:val="99"/>
    <w:unhideWhenUsed/>
    <w:rsid w:val="00BC08D8"/>
    <w:rPr>
      <w:color w:val="467886" w:themeColor="hyperlink"/>
      <w:u w:val="single"/>
    </w:rPr>
  </w:style>
  <w:style w:type="character" w:styleId="UnresolvedMention">
    <w:name w:val="Unresolved Mention"/>
    <w:basedOn w:val="DefaultParagraphFont"/>
    <w:uiPriority w:val="99"/>
    <w:semiHidden/>
    <w:unhideWhenUsed/>
    <w:rsid w:val="00BC08D8"/>
    <w:rPr>
      <w:color w:val="605E5C"/>
      <w:shd w:val="clear" w:color="auto" w:fill="E1DFDD"/>
    </w:rPr>
  </w:style>
  <w:style w:type="paragraph" w:styleId="Header">
    <w:name w:val="header"/>
    <w:basedOn w:val="Normal"/>
    <w:link w:val="HeaderChar"/>
    <w:uiPriority w:val="99"/>
    <w:unhideWhenUsed/>
    <w:rsid w:val="003A04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4B9"/>
  </w:style>
  <w:style w:type="paragraph" w:styleId="Footer">
    <w:name w:val="footer"/>
    <w:basedOn w:val="Normal"/>
    <w:link w:val="FooterChar"/>
    <w:uiPriority w:val="99"/>
    <w:unhideWhenUsed/>
    <w:rsid w:val="003A04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4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view/action/uresolver.do?operation=resolveService&amp;package_service_id=11744499120002421&amp;institutionId=2421&amp;customerId=2415&amp;VE=tru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librarysearch.uwtsd.ac.uk/view/action/uresolver.do?operation=resolveService&amp;package_service_id=11744499120002421&amp;institutionId=2421&amp;customerId=2415&amp;VE=true" TargetMode="External"/><Relationship Id="rId12" Type="http://schemas.openxmlformats.org/officeDocument/2006/relationships/hyperlink" Target="https://librarysearch.uwtsd.ac.uk/view/action/uresolver.do?operation=resolveService&amp;package_service_id=11744499120002421&amp;institutionId=2421&amp;customerId=2415&amp;VE=tr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view/action/uresolver.do?operation=resolveService&amp;package_service_id=11744499120002421&amp;institutionId=2421&amp;customerId=2415&amp;VE=tru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ibrarysearch.uwtsd.ac.uk/view/action/uresolver.do?operation=resolveService&amp;package_service_id=11744499120002421&amp;institutionId=2421&amp;customerId=2415&amp;VE=true" TargetMode="External"/><Relationship Id="rId4" Type="http://schemas.openxmlformats.org/officeDocument/2006/relationships/webSettings" Target="webSettings.xml"/><Relationship Id="rId9" Type="http://schemas.openxmlformats.org/officeDocument/2006/relationships/hyperlink" Target="https://librarysearch.uwtsd.ac.uk/view/action/uresolver.do?operation=resolveService&amp;package_service_id=11744499120002421&amp;institutionId=2421&amp;customerId=2415&amp;VE=tru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4863</Words>
  <Characters>27721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2</cp:revision>
  <dcterms:created xsi:type="dcterms:W3CDTF">2025-05-02T19:28:00Z</dcterms:created>
  <dcterms:modified xsi:type="dcterms:W3CDTF">2025-05-02T19:28:00Z</dcterms:modified>
</cp:coreProperties>
</file>