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79462" w14:textId="5568C1E5" w:rsidR="00D40D96" w:rsidRDefault="001E73DE" w:rsidP="00420DCE">
      <w:pPr>
        <w:rPr>
          <w:b/>
          <w:bCs/>
          <w:lang w:val="en-US"/>
        </w:rPr>
      </w:pPr>
      <w:r w:rsidRPr="009A7B98">
        <w:rPr>
          <w:b/>
          <w:bCs/>
          <w:lang w:val="en-US"/>
        </w:rPr>
        <w:t>Transcription exercise</w:t>
      </w:r>
      <w:r w:rsidR="00A3002F" w:rsidRPr="009A7B98">
        <w:rPr>
          <w:b/>
          <w:bCs/>
          <w:lang w:val="en-US"/>
        </w:rPr>
        <w:t xml:space="preserve">: </w:t>
      </w:r>
      <w:r w:rsidRPr="009A7B98">
        <w:rPr>
          <w:b/>
          <w:bCs/>
          <w:lang w:val="en-US"/>
        </w:rPr>
        <w:t xml:space="preserve">Harriet Powers </w:t>
      </w:r>
      <w:r w:rsidR="00D21712" w:rsidRPr="009A7B98">
        <w:rPr>
          <w:b/>
          <w:bCs/>
          <w:lang w:val="en-US"/>
        </w:rPr>
        <w:t xml:space="preserve">Pictorial </w:t>
      </w:r>
      <w:r w:rsidRPr="009A7B98">
        <w:rPr>
          <w:b/>
          <w:bCs/>
          <w:lang w:val="en-US"/>
        </w:rPr>
        <w:t>Quilt</w:t>
      </w:r>
      <w:r w:rsidR="00801EBC" w:rsidRPr="009A7B98">
        <w:rPr>
          <w:b/>
          <w:bCs/>
          <w:lang w:val="en-US"/>
        </w:rPr>
        <w:t>.</w:t>
      </w:r>
    </w:p>
    <w:p w14:paraId="2EE3646E" w14:textId="64909B90" w:rsidR="009A7B98" w:rsidRDefault="009A7B98" w:rsidP="00420DCE">
      <w:pPr>
        <w:rPr>
          <w:b/>
          <w:bCs/>
          <w:lang w:val="en-US"/>
        </w:rPr>
      </w:pPr>
    </w:p>
    <w:p w14:paraId="1AACC7B8" w14:textId="0EDFADFB" w:rsidR="009A7B98" w:rsidRPr="009A7B98" w:rsidRDefault="009A7B98" w:rsidP="00420DCE">
      <w:pPr>
        <w:rPr>
          <w:b/>
          <w:bCs/>
          <w:lang w:val="en-US"/>
        </w:rPr>
      </w:pPr>
      <w:r>
        <w:rPr>
          <w:noProof/>
        </w:rPr>
        <w:drawing>
          <wp:inline distT="0" distB="0" distL="0" distR="0" wp14:anchorId="4EFA6468" wp14:editId="6CF790CB">
            <wp:extent cx="5731510" cy="3880485"/>
            <wp:effectExtent l="0" t="0" r="2540" b="5715"/>
            <wp:docPr id="9" name="Picture 9" descr="A picture containing text, bedclothes,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edclothes, fabric&#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80485"/>
                    </a:xfrm>
                    <a:prstGeom prst="rect">
                      <a:avLst/>
                    </a:prstGeom>
                    <a:noFill/>
                    <a:ln>
                      <a:noFill/>
                    </a:ln>
                  </pic:spPr>
                </pic:pic>
              </a:graphicData>
            </a:graphic>
          </wp:inline>
        </w:drawing>
      </w:r>
    </w:p>
    <w:p w14:paraId="2E66D82A" w14:textId="77777777" w:rsidR="009A7B98" w:rsidRDefault="009A7B98" w:rsidP="00420DCE">
      <w:pPr>
        <w:rPr>
          <w:lang w:val="en-US"/>
        </w:rPr>
      </w:pPr>
    </w:p>
    <w:p w14:paraId="03F4003D" w14:textId="707AB461" w:rsidR="002B736D" w:rsidRDefault="001424C6" w:rsidP="00420DCE">
      <w:pPr>
        <w:rPr>
          <w:lang w:val="en-US"/>
        </w:rPr>
      </w:pPr>
      <w:r>
        <w:rPr>
          <w:lang w:val="en-US"/>
        </w:rPr>
        <w:t xml:space="preserve">Although it may seem contrary to choose a quilt as a text to transcribe, </w:t>
      </w:r>
      <w:r w:rsidRPr="001424C6">
        <w:rPr>
          <w:lang w:val="en-US"/>
        </w:rPr>
        <w:t xml:space="preserve">Elena Mª </w:t>
      </w:r>
      <w:proofErr w:type="spellStart"/>
      <w:r w:rsidRPr="001424C6">
        <w:rPr>
          <w:lang w:val="en-US"/>
        </w:rPr>
        <w:t>Calviño</w:t>
      </w:r>
      <w:proofErr w:type="spellEnd"/>
      <w:r w:rsidRPr="001424C6">
        <w:rPr>
          <w:lang w:val="en-US"/>
        </w:rPr>
        <w:t xml:space="preserve"> </w:t>
      </w:r>
      <w:proofErr w:type="spellStart"/>
      <w:r w:rsidRPr="001424C6">
        <w:rPr>
          <w:lang w:val="en-US"/>
        </w:rPr>
        <w:t>Riveira</w:t>
      </w:r>
      <w:proofErr w:type="spellEnd"/>
      <w:r w:rsidRPr="001424C6">
        <w:rPr>
          <w:lang w:val="en-US"/>
        </w:rPr>
        <w:t xml:space="preserve"> </w:t>
      </w:r>
      <w:r>
        <w:rPr>
          <w:lang w:val="en-US"/>
        </w:rPr>
        <w:t xml:space="preserve">describes the interpretation of quilts as texts, and as justification cites Alice Walker’s claim that women expressed their creativity through their immediate domestic means, looking ‘low’ instead of ‘high’, and in so doing created quilts and gardens. </w:t>
      </w:r>
      <w:r>
        <w:rPr>
          <w:rStyle w:val="FootnoteReference"/>
          <w:lang w:val="en-US"/>
        </w:rPr>
        <w:footnoteReference w:id="1"/>
      </w:r>
      <w:r>
        <w:rPr>
          <w:lang w:val="en-US"/>
        </w:rPr>
        <w:t xml:space="preserve"> Women of the 19</w:t>
      </w:r>
      <w:r w:rsidRPr="001424C6">
        <w:rPr>
          <w:vertAlign w:val="superscript"/>
          <w:lang w:val="en-US"/>
        </w:rPr>
        <w:t>th</w:t>
      </w:r>
      <w:r>
        <w:rPr>
          <w:lang w:val="en-US"/>
        </w:rPr>
        <w:t xml:space="preserve"> century, especially African American women like </w:t>
      </w:r>
      <w:proofErr w:type="spellStart"/>
      <w:r>
        <w:rPr>
          <w:lang w:val="en-US"/>
        </w:rPr>
        <w:t>Harrriet</w:t>
      </w:r>
      <w:proofErr w:type="spellEnd"/>
      <w:r>
        <w:rPr>
          <w:lang w:val="en-US"/>
        </w:rPr>
        <w:t xml:space="preserve"> Powers who had been enslaved, were even more literally likely to have felt that their eyes needed to be looking </w:t>
      </w:r>
      <w:r w:rsidR="002A6346">
        <w:rPr>
          <w:lang w:val="en-US"/>
        </w:rPr>
        <w:t>‘</w:t>
      </w:r>
      <w:r>
        <w:rPr>
          <w:lang w:val="en-US"/>
        </w:rPr>
        <w:t>down</w:t>
      </w:r>
      <w:r w:rsidR="002A6346">
        <w:rPr>
          <w:lang w:val="en-US"/>
        </w:rPr>
        <w:t xml:space="preserve">’. </w:t>
      </w:r>
    </w:p>
    <w:p w14:paraId="192636B4" w14:textId="77777777" w:rsidR="00C840E1" w:rsidRDefault="002B736D" w:rsidP="00420DCE">
      <w:pPr>
        <w:rPr>
          <w:lang w:val="en-US"/>
        </w:rPr>
      </w:pPr>
      <w:r>
        <w:rPr>
          <w:lang w:val="en-US"/>
        </w:rPr>
        <w:t xml:space="preserve">It is tempting to assume that Harriet Powers was illiterate, and that this would give further </w:t>
      </w:r>
      <w:proofErr w:type="spellStart"/>
      <w:r>
        <w:rPr>
          <w:lang w:val="en-US"/>
        </w:rPr>
        <w:t>justficatin</w:t>
      </w:r>
      <w:proofErr w:type="spellEnd"/>
      <w:r>
        <w:rPr>
          <w:lang w:val="en-US"/>
        </w:rPr>
        <w:t xml:space="preserve"> to a transcription </w:t>
      </w:r>
      <w:r w:rsidR="00C840E1">
        <w:rPr>
          <w:lang w:val="en-US"/>
        </w:rPr>
        <w:t>of</w:t>
      </w:r>
      <w:r>
        <w:rPr>
          <w:lang w:val="en-US"/>
        </w:rPr>
        <w:t xml:space="preserve"> her </w:t>
      </w:r>
      <w:r w:rsidR="00C840E1">
        <w:rPr>
          <w:lang w:val="en-US"/>
        </w:rPr>
        <w:t xml:space="preserve">visual </w:t>
      </w:r>
      <w:r>
        <w:rPr>
          <w:lang w:val="en-US"/>
        </w:rPr>
        <w:t>work</w:t>
      </w:r>
      <w:r w:rsidR="00C840E1">
        <w:rPr>
          <w:lang w:val="en-US"/>
        </w:rPr>
        <w:t xml:space="preserve"> into </w:t>
      </w:r>
      <w:proofErr w:type="spellStart"/>
      <w:r w:rsidR="00C840E1">
        <w:rPr>
          <w:lang w:val="en-US"/>
        </w:rPr>
        <w:t>a</w:t>
      </w:r>
      <w:proofErr w:type="spellEnd"/>
      <w:r w:rsidR="00C840E1">
        <w:rPr>
          <w:lang w:val="en-US"/>
        </w:rPr>
        <w:t xml:space="preserve"> written form. But Powers was </w:t>
      </w:r>
      <w:proofErr w:type="gramStart"/>
      <w:r w:rsidR="00C840E1">
        <w:rPr>
          <w:lang w:val="en-US"/>
        </w:rPr>
        <w:t>literate</w:t>
      </w:r>
      <w:proofErr w:type="gramEnd"/>
      <w:r w:rsidR="00C840E1">
        <w:rPr>
          <w:lang w:val="en-US"/>
        </w:rPr>
        <w:t xml:space="preserve"> and her choice was to work in </w:t>
      </w:r>
      <w:proofErr w:type="spellStart"/>
      <w:r w:rsidR="00C840E1">
        <w:rPr>
          <w:lang w:val="en-US"/>
        </w:rPr>
        <w:t>a</w:t>
      </w:r>
      <w:proofErr w:type="spellEnd"/>
      <w:r w:rsidR="00C840E1">
        <w:rPr>
          <w:lang w:val="en-US"/>
        </w:rPr>
        <w:t xml:space="preserve"> visual form. It was </w:t>
      </w:r>
      <w:proofErr w:type="spellStart"/>
      <w:r w:rsidR="00C840E1">
        <w:rPr>
          <w:lang w:val="en-US"/>
        </w:rPr>
        <w:t>a</w:t>
      </w:r>
      <w:proofErr w:type="spellEnd"/>
      <w:r w:rsidR="00C840E1">
        <w:rPr>
          <w:lang w:val="en-US"/>
        </w:rPr>
        <w:t xml:space="preserve"> form that was part of a longstanding tradition, and possibly did not need the </w:t>
      </w:r>
      <w:proofErr w:type="spellStart"/>
      <w:r w:rsidR="00C840E1">
        <w:rPr>
          <w:lang w:val="en-US"/>
        </w:rPr>
        <w:t>cudos</w:t>
      </w:r>
      <w:proofErr w:type="spellEnd"/>
      <w:r w:rsidR="00C840E1">
        <w:rPr>
          <w:lang w:val="en-US"/>
        </w:rPr>
        <w:t xml:space="preserve"> of verbal and written language.</w:t>
      </w:r>
    </w:p>
    <w:p w14:paraId="0F79637F" w14:textId="670DD80C" w:rsidR="002B736D" w:rsidRPr="002B736D" w:rsidRDefault="002B736D" w:rsidP="00420DCE">
      <w:r>
        <w:rPr>
          <w:lang w:val="en-US"/>
        </w:rPr>
        <w:t xml:space="preserve"> </w:t>
      </w:r>
      <w:r w:rsidR="002A6346">
        <w:rPr>
          <w:lang w:val="en-US"/>
        </w:rPr>
        <w:t>If Clifford Geertz’ concept of culture is a textual experience, existing everywhere, then there are opportunities everywhere to decipher and interpret narratives.</w:t>
      </w:r>
      <w:r w:rsidR="002A6346">
        <w:rPr>
          <w:rStyle w:val="FootnoteReference"/>
          <w:lang w:val="en-US"/>
        </w:rPr>
        <w:footnoteReference w:id="2"/>
      </w:r>
      <w:r w:rsidR="002A6346">
        <w:rPr>
          <w:lang w:val="en-US"/>
        </w:rPr>
        <w:t xml:space="preserve"> Geertz and Max Weber took a position of culture being fundamentally semiotic, and that ‘</w:t>
      </w:r>
      <w:r w:rsidR="002A6346">
        <w:t xml:space="preserve">man is an animal suspended in webs of </w:t>
      </w:r>
      <w:r w:rsidR="002A6346">
        <w:lastRenderedPageBreak/>
        <w:t>significance he himself has spun</w:t>
      </w:r>
      <w:r w:rsidR="002A6346">
        <w:t>,’</w:t>
      </w:r>
      <w:r w:rsidR="002A6346">
        <w:rPr>
          <w:rStyle w:val="FootnoteReference"/>
        </w:rPr>
        <w:footnoteReference w:id="3"/>
      </w:r>
      <w:r w:rsidR="002A6346">
        <w:t xml:space="preserve"> seeking meaning from the most obscure patter</w:t>
      </w:r>
      <w:r>
        <w:t>n</w:t>
      </w:r>
      <w:r w:rsidR="002A6346">
        <w:t>s and expressions</w:t>
      </w:r>
      <w:r>
        <w:t>, and significance in apparently superficial or enigmatic forms</w:t>
      </w:r>
      <w:r w:rsidR="002A6346">
        <w:t>.</w:t>
      </w:r>
      <w:r>
        <w:t xml:space="preserve"> Kyla </w:t>
      </w:r>
      <w:proofErr w:type="spellStart"/>
      <w:r>
        <w:t>Cristomo</w:t>
      </w:r>
      <w:proofErr w:type="spellEnd"/>
      <w:r>
        <w:t xml:space="preserve"> discusses Radka Donnell’s interpretation of quilting, specifically the quilt’s structure, its grid, as a vehicle for ordering a puzzle, and adjusting the unlike to fit together to create order, a meta sequence, from an anarchy of shape and colour. Donnell compares this ordering, in the mind of the viewer, as experiencing a poetics ‘</w:t>
      </w:r>
      <w:r w:rsidRPr="008F6A9B">
        <w:rPr>
          <w:lang w:val="en-US"/>
        </w:rPr>
        <w:t>where one must reach a compromise between the established regularities of language and the irregularities of individual existence and emotion</w:t>
      </w:r>
      <w:r>
        <w:rPr>
          <w:lang w:val="en-US"/>
        </w:rPr>
        <w:t>’</w:t>
      </w:r>
      <w:r w:rsidRPr="008F6A9B">
        <w:rPr>
          <w:lang w:val="en-US"/>
        </w:rPr>
        <w:t>.</w:t>
      </w:r>
      <w:r>
        <w:rPr>
          <w:rStyle w:val="FootnoteReference"/>
          <w:lang w:val="en-US"/>
        </w:rPr>
        <w:footnoteReference w:id="4"/>
      </w:r>
      <w:r>
        <w:t xml:space="preserve"> </w:t>
      </w:r>
    </w:p>
    <w:p w14:paraId="5A17ACF0" w14:textId="0FD4498F" w:rsidR="008D4672" w:rsidRDefault="00D40D96" w:rsidP="00C840E1">
      <w:pPr>
        <w:rPr>
          <w:lang w:val="en-US"/>
        </w:rPr>
      </w:pPr>
      <w:r w:rsidRPr="00D40D96">
        <w:rPr>
          <w:lang w:val="en-US"/>
        </w:rPr>
        <w:t xml:space="preserve">Catherine </w:t>
      </w:r>
      <w:proofErr w:type="spellStart"/>
      <w:r w:rsidRPr="00D40D96">
        <w:rPr>
          <w:lang w:val="en-US"/>
        </w:rPr>
        <w:t>Tutter</w:t>
      </w:r>
      <w:proofErr w:type="spellEnd"/>
      <w:r>
        <w:rPr>
          <w:lang w:val="en-US"/>
        </w:rPr>
        <w:t xml:space="preserve"> cites </w:t>
      </w:r>
      <w:proofErr w:type="spellStart"/>
      <w:r>
        <w:rPr>
          <w:lang w:val="en-US"/>
        </w:rPr>
        <w:t>Monni</w:t>
      </w:r>
      <w:proofErr w:type="spellEnd"/>
      <w:r>
        <w:rPr>
          <w:lang w:val="en-US"/>
        </w:rPr>
        <w:t xml:space="preserve"> Adams</w:t>
      </w:r>
      <w:r w:rsidR="00FC2110">
        <w:rPr>
          <w:lang w:val="en-US"/>
        </w:rPr>
        <w:t>’</w:t>
      </w:r>
      <w:r>
        <w:rPr>
          <w:lang w:val="en-US"/>
        </w:rPr>
        <w:t xml:space="preserve"> identification </w:t>
      </w:r>
      <w:r w:rsidR="00FC2110">
        <w:rPr>
          <w:lang w:val="en-US"/>
        </w:rPr>
        <w:t>of</w:t>
      </w:r>
      <w:r>
        <w:rPr>
          <w:lang w:val="en-US"/>
        </w:rPr>
        <w:t xml:space="preserve"> a </w:t>
      </w:r>
      <w:r w:rsidR="00FC2110">
        <w:rPr>
          <w:lang w:val="en-US"/>
        </w:rPr>
        <w:t xml:space="preserve">wide visual </w:t>
      </w:r>
      <w:r>
        <w:rPr>
          <w:lang w:val="en-US"/>
        </w:rPr>
        <w:t>vocabulary, or lexicon</w:t>
      </w:r>
      <w:r w:rsidR="00FC2110">
        <w:rPr>
          <w:lang w:val="en-US"/>
        </w:rPr>
        <w:t>,</w:t>
      </w:r>
      <w:r>
        <w:rPr>
          <w:lang w:val="en-US"/>
        </w:rPr>
        <w:t xml:space="preserve"> in </w:t>
      </w:r>
      <w:r w:rsidR="00A3002F">
        <w:rPr>
          <w:lang w:val="en-US"/>
        </w:rPr>
        <w:t xml:space="preserve">Harriet </w:t>
      </w:r>
      <w:r w:rsidR="00FC2110">
        <w:rPr>
          <w:lang w:val="en-US"/>
        </w:rPr>
        <w:t>Powers’ work</w:t>
      </w:r>
      <w:r w:rsidR="00A3002F">
        <w:rPr>
          <w:lang w:val="en-US"/>
        </w:rPr>
        <w:t>:</w:t>
      </w:r>
      <w:r w:rsidR="00FC2110">
        <w:rPr>
          <w:lang w:val="en-US"/>
        </w:rPr>
        <w:t xml:space="preserve"> including Bib</w:t>
      </w:r>
      <w:r w:rsidR="00656EFB">
        <w:rPr>
          <w:lang w:val="en-US"/>
        </w:rPr>
        <w:t>le stories</w:t>
      </w:r>
      <w:r w:rsidR="00A3002F">
        <w:rPr>
          <w:lang w:val="en-US"/>
        </w:rPr>
        <w:t>;</w:t>
      </w:r>
      <w:r w:rsidR="00656EFB">
        <w:rPr>
          <w:lang w:val="en-US"/>
        </w:rPr>
        <w:t xml:space="preserve"> local events and astronomical phenomena</w:t>
      </w:r>
      <w:r w:rsidR="00A3002F">
        <w:rPr>
          <w:lang w:val="en-US"/>
        </w:rPr>
        <w:t>; Powers’ grasp of an ‘</w:t>
      </w:r>
      <w:r w:rsidR="00A3002F" w:rsidRPr="00A3002F">
        <w:rPr>
          <w:lang w:val="en-US"/>
        </w:rPr>
        <w:t>apocalyptic yet redemptive vision of Christian doctrine</w:t>
      </w:r>
      <w:r w:rsidR="00A3002F">
        <w:rPr>
          <w:i/>
          <w:iCs/>
          <w:lang w:val="en-US"/>
        </w:rPr>
        <w:t xml:space="preserve">’; </w:t>
      </w:r>
      <w:r w:rsidR="00A3002F" w:rsidRPr="00A3002F">
        <w:rPr>
          <w:lang w:val="en-US"/>
        </w:rPr>
        <w:t>and a</w:t>
      </w:r>
      <w:r w:rsidR="00A3002F">
        <w:rPr>
          <w:i/>
          <w:iCs/>
          <w:lang w:val="en-US"/>
        </w:rPr>
        <w:t xml:space="preserve"> </w:t>
      </w:r>
      <w:r w:rsidR="00A3002F">
        <w:rPr>
          <w:lang w:val="en-US"/>
        </w:rPr>
        <w:t>‘</w:t>
      </w:r>
      <w:r w:rsidR="00A3002F" w:rsidRPr="00D40D96">
        <w:rPr>
          <w:lang w:val="en-US"/>
        </w:rPr>
        <w:t>mastery of complexity and scale</w:t>
      </w:r>
      <w:r w:rsidR="00A3002F">
        <w:rPr>
          <w:lang w:val="en-US"/>
        </w:rPr>
        <w:t>’</w:t>
      </w:r>
      <w:r w:rsidR="00656EFB">
        <w:rPr>
          <w:lang w:val="en-US"/>
        </w:rPr>
        <w:t>.</w:t>
      </w:r>
      <w:r>
        <w:rPr>
          <w:rStyle w:val="FootnoteReference"/>
          <w:lang w:val="en-US"/>
        </w:rPr>
        <w:footnoteReference w:id="5"/>
      </w:r>
      <w:r w:rsidR="00801EBC">
        <w:rPr>
          <w:lang w:val="en-US"/>
        </w:rPr>
        <w:t xml:space="preserve"> </w:t>
      </w:r>
    </w:p>
    <w:p w14:paraId="0DE54D9E" w14:textId="439620E6" w:rsidR="00375AB7" w:rsidRDefault="00C840E1" w:rsidP="00A24DE7">
      <w:pPr>
        <w:rPr>
          <w:lang w:val="en-US"/>
        </w:rPr>
      </w:pPr>
      <w:r>
        <w:rPr>
          <w:lang w:val="en-US"/>
        </w:rPr>
        <w:t>These complexities include the incorporation and assimilation of West African textile shapes and forms.</w:t>
      </w:r>
      <w:r>
        <w:rPr>
          <w:rStyle w:val="FootnoteReference"/>
          <w:lang w:val="en-US"/>
        </w:rPr>
        <w:footnoteReference w:id="6"/>
      </w:r>
      <w:r>
        <w:rPr>
          <w:lang w:val="en-US"/>
        </w:rPr>
        <w:t xml:space="preserve"> It is evident Powers’ Pictorial Quilt the strong influence of </w:t>
      </w:r>
      <w:proofErr w:type="spellStart"/>
      <w:r>
        <w:rPr>
          <w:lang w:val="en-US"/>
        </w:rPr>
        <w:t>Fon</w:t>
      </w:r>
      <w:proofErr w:type="spellEnd"/>
      <w:r>
        <w:rPr>
          <w:lang w:val="en-US"/>
        </w:rPr>
        <w:t xml:space="preserve"> images especially in the shapes of human and animals. </w:t>
      </w:r>
      <w:bookmarkStart w:id="0" w:name="_Hlk74345068"/>
      <w:r>
        <w:rPr>
          <w:lang w:val="en-US"/>
        </w:rPr>
        <w:t xml:space="preserve">The patterning of fabric, and </w:t>
      </w:r>
      <w:proofErr w:type="gramStart"/>
      <w:r>
        <w:rPr>
          <w:lang w:val="en-US"/>
        </w:rPr>
        <w:t>free floating</w:t>
      </w:r>
      <w:proofErr w:type="gramEnd"/>
      <w:r>
        <w:rPr>
          <w:lang w:val="en-US"/>
        </w:rPr>
        <w:t xml:space="preserve"> form of figures, are also part of the West African tradition. Examples of </w:t>
      </w:r>
      <w:proofErr w:type="spellStart"/>
      <w:r>
        <w:rPr>
          <w:lang w:val="en-US"/>
        </w:rPr>
        <w:t>Fon</w:t>
      </w:r>
      <w:proofErr w:type="spellEnd"/>
      <w:r>
        <w:rPr>
          <w:lang w:val="en-US"/>
        </w:rPr>
        <w:t xml:space="preserve"> art can be seen in the Smithsonian Museum of African Art. </w:t>
      </w:r>
      <w:bookmarkEnd w:id="0"/>
    </w:p>
    <w:p w14:paraId="7178F73C" w14:textId="77777777" w:rsidR="00C8731F" w:rsidRPr="00C8731F" w:rsidRDefault="00C8731F" w:rsidP="00A24DE7">
      <w:pPr>
        <w:rPr>
          <w:lang w:val="en-US"/>
        </w:rPr>
      </w:pPr>
    </w:p>
    <w:p w14:paraId="6DC3A8C1" w14:textId="29CBC1E9" w:rsidR="00E93264" w:rsidRDefault="00E93264" w:rsidP="00124322">
      <w:pPr>
        <w:rPr>
          <w:b/>
          <w:bCs/>
          <w:u w:val="single"/>
        </w:rPr>
      </w:pPr>
      <w:r w:rsidRPr="00E93264">
        <w:rPr>
          <w:b/>
          <w:bCs/>
          <w:u w:val="single"/>
        </w:rPr>
        <w:t>Transcription of Blocks 1, 2,</w:t>
      </w:r>
      <w:r>
        <w:rPr>
          <w:b/>
          <w:bCs/>
          <w:u w:val="single"/>
        </w:rPr>
        <w:t xml:space="preserve"> </w:t>
      </w:r>
      <w:r w:rsidRPr="00E93264">
        <w:rPr>
          <w:b/>
          <w:bCs/>
          <w:u w:val="single"/>
        </w:rPr>
        <w:t>8,</w:t>
      </w:r>
      <w:r>
        <w:rPr>
          <w:b/>
          <w:bCs/>
          <w:u w:val="single"/>
        </w:rPr>
        <w:t xml:space="preserve"> </w:t>
      </w:r>
      <w:r w:rsidRPr="00E93264">
        <w:rPr>
          <w:b/>
          <w:bCs/>
          <w:u w:val="single"/>
        </w:rPr>
        <w:t>12,</w:t>
      </w:r>
      <w:r>
        <w:rPr>
          <w:b/>
          <w:bCs/>
          <w:u w:val="single"/>
        </w:rPr>
        <w:t xml:space="preserve"> </w:t>
      </w:r>
      <w:r w:rsidRPr="00E93264">
        <w:rPr>
          <w:b/>
          <w:bCs/>
          <w:u w:val="single"/>
        </w:rPr>
        <w:t>13 and 15</w:t>
      </w:r>
      <w:r>
        <w:rPr>
          <w:b/>
          <w:bCs/>
          <w:u w:val="single"/>
        </w:rPr>
        <w:t>: The Pictorial Quilt Triptych Blocks</w:t>
      </w:r>
    </w:p>
    <w:p w14:paraId="08DACB3C" w14:textId="606F9BD1" w:rsidR="00EB10D8" w:rsidRPr="00C8731F" w:rsidRDefault="00EB10D8" w:rsidP="00124322">
      <w:proofErr w:type="gramStart"/>
      <w:r w:rsidRPr="00C8731F">
        <w:t>All of</w:t>
      </w:r>
      <w:proofErr w:type="gramEnd"/>
      <w:r w:rsidRPr="00C8731F">
        <w:t xml:space="preserve"> the Quilt Blocks share a consistency of technique</w:t>
      </w:r>
      <w:r w:rsidR="00C8731F" w:rsidRPr="00C8731F">
        <w:t xml:space="preserve"> of applique and embroidery</w:t>
      </w:r>
      <w:r w:rsidR="00C8731F">
        <w:t xml:space="preserve"> onto several layers of fabric. There is a grid system that can be read either lefty to right along the rows, or alternatively down vertical columns. The squares chosen for this exercise are those containing a triptych structure within each block design. These blocks appear to carry a weighted meaning and visual and interpretive framework for the </w:t>
      </w:r>
      <w:proofErr w:type="gramStart"/>
      <w:r w:rsidR="00C8731F">
        <w:t>quilt as a whole</w:t>
      </w:r>
      <w:proofErr w:type="gramEnd"/>
      <w:r w:rsidR="00C8731F">
        <w:t xml:space="preserve">. </w:t>
      </w:r>
    </w:p>
    <w:p w14:paraId="24F29388" w14:textId="32E09BBE" w:rsidR="00DF57E3" w:rsidRDefault="00A4473A" w:rsidP="00124322">
      <w:r>
        <w:rPr>
          <w:b/>
          <w:bCs/>
        </w:rPr>
        <w:t xml:space="preserve">Quilt </w:t>
      </w:r>
      <w:r w:rsidR="00124322" w:rsidRPr="00025C4A">
        <w:rPr>
          <w:b/>
          <w:bCs/>
        </w:rPr>
        <w:t xml:space="preserve">Block </w:t>
      </w:r>
      <w:r w:rsidR="00124322" w:rsidRPr="00025C4A">
        <w:rPr>
          <w:b/>
          <w:bCs/>
        </w:rPr>
        <w:t>1</w:t>
      </w:r>
      <w:r>
        <w:rPr>
          <w:b/>
          <w:bCs/>
        </w:rPr>
        <w:t>.</w:t>
      </w:r>
      <w:r w:rsidR="00124322" w:rsidRPr="00025C4A">
        <w:rPr>
          <w:b/>
          <w:bCs/>
        </w:rPr>
        <w:t xml:space="preserve"> Job praying for his enemies. Job crosses. Job's coffin</w:t>
      </w:r>
      <w:r w:rsidR="00124322" w:rsidRPr="00025C4A">
        <w:rPr>
          <w:b/>
          <w:bCs/>
          <w:i/>
          <w:iCs/>
        </w:rPr>
        <w:t>.</w:t>
      </w:r>
      <w:r w:rsidR="00FE04C2">
        <w:rPr>
          <w:rStyle w:val="FootnoteReference"/>
        </w:rPr>
        <w:footnoteReference w:id="7"/>
      </w:r>
    </w:p>
    <w:p w14:paraId="63D93BCD" w14:textId="0A185F67" w:rsidR="00D25475" w:rsidRDefault="003C2067" w:rsidP="00124322">
      <w:r>
        <w:t>Block 1 is structured as a triptych</w:t>
      </w:r>
      <w:r w:rsidR="004140D8">
        <w:t>, the first of 6 triptych structured blocks</w:t>
      </w:r>
      <w:r w:rsidR="00E93264">
        <w:t xml:space="preserve">. </w:t>
      </w:r>
      <w:r w:rsidR="00D25475">
        <w:t>The theme is both biblical and celestial</w:t>
      </w:r>
      <w:r w:rsidR="00471558">
        <w:t>: B</w:t>
      </w:r>
      <w:r w:rsidR="00D25475">
        <w:t>iblical in representing the challenge to Job’s faith</w:t>
      </w:r>
      <w:r w:rsidR="00471558">
        <w:t>,</w:t>
      </w:r>
      <w:r w:rsidR="00D25475">
        <w:t xml:space="preserve"> and celestial in </w:t>
      </w:r>
      <w:r w:rsidR="00471558">
        <w:t>its inclusion of</w:t>
      </w:r>
      <w:r w:rsidR="00D25475">
        <w:t xml:space="preserve"> the astronomical element of Job’s Coffin. </w:t>
      </w:r>
    </w:p>
    <w:p w14:paraId="123FD5ED" w14:textId="0EB228F0" w:rsidR="009659D7" w:rsidRPr="00D25475" w:rsidRDefault="004962B5" w:rsidP="00124322">
      <w:r w:rsidRPr="004962B5">
        <w:rPr>
          <w:rFonts w:cstheme="minorHAnsi"/>
        </w:rPr>
        <w:t xml:space="preserve">In </w:t>
      </w:r>
      <w:r w:rsidR="009659D7" w:rsidRPr="004962B5">
        <w:rPr>
          <w:rFonts w:cstheme="minorHAnsi"/>
        </w:rPr>
        <w:t>Job 38</w:t>
      </w:r>
      <w:r w:rsidRPr="004962B5">
        <w:rPr>
          <w:rFonts w:cstheme="minorHAnsi"/>
        </w:rPr>
        <w:t>: 5-6</w:t>
      </w:r>
      <w:r w:rsidR="009659D7" w:rsidRPr="004962B5">
        <w:rPr>
          <w:rFonts w:cstheme="minorHAnsi"/>
        </w:rPr>
        <w:t xml:space="preserve"> God speaks</w:t>
      </w:r>
      <w:r w:rsidR="004140D8" w:rsidRPr="004962B5">
        <w:rPr>
          <w:rFonts w:cstheme="minorHAnsi"/>
        </w:rPr>
        <w:t xml:space="preserve"> to Job out of the storm, hectoring him with reminders of </w:t>
      </w:r>
      <w:r w:rsidRPr="004962B5">
        <w:rPr>
          <w:rFonts w:cstheme="minorHAnsi"/>
        </w:rPr>
        <w:t>H</w:t>
      </w:r>
      <w:r w:rsidR="004140D8" w:rsidRPr="004962B5">
        <w:rPr>
          <w:rFonts w:cstheme="minorHAnsi"/>
        </w:rPr>
        <w:t>is work creating the</w:t>
      </w:r>
      <w:r w:rsidRPr="004962B5">
        <w:rPr>
          <w:rFonts w:cstheme="minorHAnsi"/>
        </w:rPr>
        <w:t xml:space="preserve"> earth. Who, he asks him: </w:t>
      </w:r>
    </w:p>
    <w:p w14:paraId="0275BC95" w14:textId="76BEBC97" w:rsidR="004962B5" w:rsidRDefault="00471558" w:rsidP="00124322">
      <w:pPr>
        <w:rPr>
          <w:rStyle w:val="text"/>
          <w:rFonts w:cstheme="minorHAnsi"/>
          <w:color w:val="000000"/>
          <w:shd w:val="clear" w:color="auto" w:fill="FFFFFF"/>
        </w:rPr>
      </w:pPr>
      <w:bookmarkStart w:id="2" w:name="_Hlk74309618"/>
      <w:r>
        <w:rPr>
          <w:rStyle w:val="text"/>
          <w:rFonts w:cstheme="minorHAnsi"/>
          <w:color w:val="000000"/>
          <w:shd w:val="clear" w:color="auto" w:fill="FFFFFF"/>
        </w:rPr>
        <w:t>“</w:t>
      </w:r>
      <w:proofErr w:type="gramStart"/>
      <w:r w:rsidR="009659D7" w:rsidRPr="004962B5">
        <w:rPr>
          <w:rStyle w:val="text"/>
          <w:rFonts w:cstheme="minorHAnsi"/>
          <w:color w:val="000000"/>
          <w:shd w:val="clear" w:color="auto" w:fill="FFFFFF"/>
        </w:rPr>
        <w:t>marked</w:t>
      </w:r>
      <w:proofErr w:type="gramEnd"/>
      <w:r w:rsidR="009659D7" w:rsidRPr="004962B5">
        <w:rPr>
          <w:rStyle w:val="text"/>
          <w:rFonts w:cstheme="minorHAnsi"/>
          <w:color w:val="000000"/>
          <w:shd w:val="clear" w:color="auto" w:fill="FFFFFF"/>
        </w:rPr>
        <w:t xml:space="preserve"> off its dimensions? Surely you know!</w:t>
      </w:r>
      <w:r w:rsidR="009659D7" w:rsidRPr="004962B5">
        <w:rPr>
          <w:rFonts w:cstheme="minorHAnsi"/>
          <w:color w:val="000000"/>
        </w:rPr>
        <w:br/>
      </w:r>
      <w:r w:rsidR="009659D7" w:rsidRPr="004962B5">
        <w:rPr>
          <w:rStyle w:val="indent-1-breaks"/>
          <w:rFonts w:cstheme="minorHAnsi"/>
          <w:color w:val="000000"/>
          <w:sz w:val="10"/>
          <w:szCs w:val="10"/>
          <w:shd w:val="clear" w:color="auto" w:fill="FFFFFF"/>
        </w:rPr>
        <w:t>    </w:t>
      </w:r>
      <w:r w:rsidR="009659D7" w:rsidRPr="004962B5">
        <w:rPr>
          <w:rStyle w:val="text"/>
          <w:rFonts w:cstheme="minorHAnsi"/>
          <w:color w:val="000000"/>
          <w:shd w:val="clear" w:color="auto" w:fill="FFFFFF"/>
        </w:rPr>
        <w:t>Who stretched a measuring line across it?</w:t>
      </w:r>
      <w:r w:rsidR="009659D7" w:rsidRPr="004962B5">
        <w:rPr>
          <w:rFonts w:cstheme="minorHAnsi"/>
          <w:color w:val="000000"/>
        </w:rPr>
        <w:br/>
      </w:r>
      <w:r w:rsidR="009659D7" w:rsidRPr="004962B5">
        <w:rPr>
          <w:rStyle w:val="text"/>
          <w:rFonts w:cstheme="minorHAnsi"/>
          <w:color w:val="000000"/>
          <w:shd w:val="clear" w:color="auto" w:fill="FFFFFF"/>
        </w:rPr>
        <w:t>On what were its footings set,</w:t>
      </w:r>
      <w:r w:rsidR="009659D7" w:rsidRPr="004962B5">
        <w:rPr>
          <w:rFonts w:cstheme="minorHAnsi"/>
          <w:color w:val="000000"/>
        </w:rPr>
        <w:br/>
      </w:r>
      <w:r w:rsidR="009659D7" w:rsidRPr="004962B5">
        <w:rPr>
          <w:rStyle w:val="indent-1-breaks"/>
          <w:rFonts w:cstheme="minorHAnsi"/>
          <w:color w:val="000000"/>
          <w:sz w:val="10"/>
          <w:szCs w:val="10"/>
          <w:shd w:val="clear" w:color="auto" w:fill="FFFFFF"/>
        </w:rPr>
        <w:t>    </w:t>
      </w:r>
      <w:r w:rsidR="009659D7" w:rsidRPr="004962B5">
        <w:rPr>
          <w:rStyle w:val="text"/>
          <w:rFonts w:cstheme="minorHAnsi"/>
          <w:color w:val="000000"/>
          <w:shd w:val="clear" w:color="auto" w:fill="FFFFFF"/>
        </w:rPr>
        <w:t>or who laid its cornerstone—</w:t>
      </w:r>
      <w:r>
        <w:rPr>
          <w:rStyle w:val="text"/>
          <w:rFonts w:cstheme="minorHAnsi"/>
          <w:color w:val="000000"/>
          <w:shd w:val="clear" w:color="auto" w:fill="FFFFFF"/>
        </w:rPr>
        <w:t>"</w:t>
      </w:r>
      <w:r w:rsidR="004962B5">
        <w:rPr>
          <w:rStyle w:val="FootnoteReference"/>
          <w:rFonts w:cstheme="minorHAnsi"/>
          <w:color w:val="000000"/>
          <w:shd w:val="clear" w:color="auto" w:fill="FFFFFF"/>
        </w:rPr>
        <w:footnoteReference w:id="8"/>
      </w:r>
    </w:p>
    <w:p w14:paraId="6FBAB7F6" w14:textId="43468B0B" w:rsidR="00D25475" w:rsidRDefault="004962B5" w:rsidP="00D25475">
      <w:pPr>
        <w:rPr>
          <w:rStyle w:val="text"/>
          <w:rFonts w:cstheme="minorHAnsi"/>
          <w:color w:val="000000"/>
          <w:shd w:val="clear" w:color="auto" w:fill="FFFFFF"/>
        </w:rPr>
      </w:pPr>
      <w:r>
        <w:rPr>
          <w:rStyle w:val="text"/>
          <w:rFonts w:cstheme="minorHAnsi"/>
          <w:color w:val="000000"/>
          <w:shd w:val="clear" w:color="auto" w:fill="FFFFFF"/>
        </w:rPr>
        <w:lastRenderedPageBreak/>
        <w:t xml:space="preserve">This first block </w:t>
      </w:r>
      <w:r w:rsidR="00D25475">
        <w:rPr>
          <w:rStyle w:val="text"/>
          <w:rFonts w:cstheme="minorHAnsi"/>
          <w:color w:val="000000"/>
          <w:shd w:val="clear" w:color="auto" w:fill="FFFFFF"/>
        </w:rPr>
        <w:t>can be read as</w:t>
      </w:r>
      <w:r>
        <w:rPr>
          <w:rStyle w:val="text"/>
          <w:rFonts w:cstheme="minorHAnsi"/>
          <w:color w:val="000000"/>
          <w:shd w:val="clear" w:color="auto" w:fill="FFFFFF"/>
        </w:rPr>
        <w:t xml:space="preserve"> the cornerstone for the quilt itself, the dimensions of which have been marked off and measured by Powers.</w:t>
      </w:r>
      <w:r w:rsidR="00D25475">
        <w:rPr>
          <w:rStyle w:val="text"/>
          <w:rFonts w:cstheme="minorHAnsi"/>
          <w:color w:val="000000"/>
          <w:shd w:val="clear" w:color="auto" w:fill="FFFFFF"/>
        </w:rPr>
        <w:t xml:space="preserve"> The constellations also feature in Job </w:t>
      </w:r>
      <w:r w:rsidR="00D25475" w:rsidRPr="00D25475">
        <w:rPr>
          <w:rStyle w:val="text"/>
          <w:rFonts w:cstheme="minorHAnsi"/>
          <w:color w:val="000000"/>
          <w:shd w:val="clear" w:color="auto" w:fill="FFFFFF"/>
        </w:rPr>
        <w:t>38</w:t>
      </w:r>
      <w:r w:rsidR="00D25475">
        <w:rPr>
          <w:rStyle w:val="text"/>
          <w:rFonts w:cstheme="minorHAnsi"/>
          <w:color w:val="000000"/>
          <w:shd w:val="clear" w:color="auto" w:fill="FFFFFF"/>
        </w:rPr>
        <w:t>:</w:t>
      </w:r>
      <w:r w:rsidR="00D25475" w:rsidRPr="00D25475">
        <w:rPr>
          <w:rStyle w:val="text"/>
          <w:rFonts w:cstheme="minorHAnsi"/>
          <w:color w:val="000000"/>
          <w:shd w:val="clear" w:color="auto" w:fill="FFFFFF"/>
        </w:rPr>
        <w:t xml:space="preserve"> 3</w:t>
      </w:r>
      <w:r w:rsidR="00D25475">
        <w:rPr>
          <w:rStyle w:val="text"/>
          <w:rFonts w:cstheme="minorHAnsi"/>
          <w:color w:val="000000"/>
          <w:shd w:val="clear" w:color="auto" w:fill="FFFFFF"/>
        </w:rPr>
        <w:t>1</w:t>
      </w:r>
      <w:r w:rsidR="00D25475" w:rsidRPr="00D25475">
        <w:rPr>
          <w:rStyle w:val="text"/>
          <w:rFonts w:cstheme="minorHAnsi"/>
          <w:color w:val="000000"/>
          <w:shd w:val="clear" w:color="auto" w:fill="FFFFFF"/>
        </w:rPr>
        <w:t>–</w:t>
      </w:r>
      <w:r w:rsidR="00D25475">
        <w:rPr>
          <w:rStyle w:val="text"/>
          <w:rFonts w:cstheme="minorHAnsi"/>
          <w:color w:val="000000"/>
          <w:shd w:val="clear" w:color="auto" w:fill="FFFFFF"/>
        </w:rPr>
        <w:t>:</w:t>
      </w:r>
      <w:r w:rsidR="00D25475" w:rsidRPr="00D25475">
        <w:rPr>
          <w:rStyle w:val="text"/>
          <w:rFonts w:cstheme="minorHAnsi"/>
          <w:color w:val="000000"/>
          <w:shd w:val="clear" w:color="auto" w:fill="FFFFFF"/>
        </w:rPr>
        <w:t xml:space="preserve"> </w:t>
      </w:r>
    </w:p>
    <w:p w14:paraId="47AF153E" w14:textId="1FA5D2C2" w:rsidR="00D25475" w:rsidRPr="00D25475" w:rsidRDefault="00471558" w:rsidP="00D25475">
      <w:pPr>
        <w:rPr>
          <w:rFonts w:cstheme="minorHAnsi"/>
        </w:rPr>
      </w:pPr>
      <w:r>
        <w:rPr>
          <w:rStyle w:val="text"/>
          <w:rFonts w:cstheme="minorHAnsi"/>
          <w:color w:val="000000"/>
          <w:shd w:val="clear" w:color="auto" w:fill="FFFFFF"/>
        </w:rPr>
        <w:t>“</w:t>
      </w:r>
      <w:r w:rsidR="00D25475" w:rsidRPr="00D25475">
        <w:rPr>
          <w:rStyle w:val="text"/>
          <w:rFonts w:cstheme="minorHAnsi"/>
          <w:color w:val="000000"/>
          <w:shd w:val="clear" w:color="auto" w:fill="FFFFFF"/>
        </w:rPr>
        <w:t>Can you bind the chains</w:t>
      </w:r>
      <w:r w:rsidR="00D25475">
        <w:rPr>
          <w:rStyle w:val="text"/>
          <w:rFonts w:cstheme="minorHAnsi"/>
          <w:color w:val="000000"/>
          <w:shd w:val="clear" w:color="auto" w:fill="FFFFFF"/>
          <w:vertAlign w:val="superscript"/>
        </w:rPr>
        <w:t xml:space="preserve"> </w:t>
      </w:r>
      <w:r w:rsidR="00D25475" w:rsidRPr="00D25475">
        <w:rPr>
          <w:rStyle w:val="text"/>
          <w:rFonts w:cstheme="minorHAnsi"/>
          <w:color w:val="000000"/>
          <w:shd w:val="clear" w:color="auto" w:fill="FFFFFF"/>
        </w:rPr>
        <w:t>of the Pleiades?</w:t>
      </w:r>
      <w:r w:rsidR="00D25475" w:rsidRPr="00D25475">
        <w:rPr>
          <w:rFonts w:cstheme="minorHAnsi"/>
          <w:color w:val="000000"/>
        </w:rPr>
        <w:br/>
      </w:r>
      <w:r w:rsidR="00D25475" w:rsidRPr="00D25475">
        <w:rPr>
          <w:rStyle w:val="indent-1-breaks"/>
          <w:rFonts w:cstheme="minorHAnsi"/>
          <w:color w:val="000000"/>
          <w:shd w:val="clear" w:color="auto" w:fill="FFFFFF"/>
        </w:rPr>
        <w:t>    </w:t>
      </w:r>
      <w:r w:rsidR="00D25475" w:rsidRPr="00D25475">
        <w:rPr>
          <w:rStyle w:val="text"/>
          <w:rFonts w:cstheme="minorHAnsi"/>
          <w:color w:val="000000"/>
          <w:shd w:val="clear" w:color="auto" w:fill="FFFFFF"/>
        </w:rPr>
        <w:t>Can you loosen Orion’s belt?</w:t>
      </w:r>
      <w:r w:rsidR="00D25475" w:rsidRPr="00D25475">
        <w:rPr>
          <w:rFonts w:cstheme="minorHAnsi"/>
          <w:color w:val="000000"/>
        </w:rPr>
        <w:br/>
      </w:r>
      <w:r w:rsidR="00D25475" w:rsidRPr="00D25475">
        <w:rPr>
          <w:rStyle w:val="text"/>
          <w:rFonts w:cstheme="minorHAnsi"/>
          <w:color w:val="000000"/>
          <w:shd w:val="clear" w:color="auto" w:fill="FFFFFF"/>
        </w:rPr>
        <w:t>Can you bring forth the constellations in their seasons</w:t>
      </w:r>
      <w:r w:rsidR="00D25475" w:rsidRPr="00D25475">
        <w:rPr>
          <w:rFonts w:cstheme="minorHAnsi"/>
          <w:color w:val="000000"/>
        </w:rPr>
        <w:br/>
      </w:r>
      <w:r w:rsidR="00D25475" w:rsidRPr="00D25475">
        <w:rPr>
          <w:rStyle w:val="indent-1-breaks"/>
          <w:rFonts w:cstheme="minorHAnsi"/>
          <w:color w:val="000000"/>
          <w:shd w:val="clear" w:color="auto" w:fill="FFFFFF"/>
        </w:rPr>
        <w:t>    </w:t>
      </w:r>
      <w:r w:rsidR="00D25475" w:rsidRPr="00D25475">
        <w:rPr>
          <w:rStyle w:val="text"/>
          <w:rFonts w:cstheme="minorHAnsi"/>
          <w:color w:val="000000"/>
          <w:shd w:val="clear" w:color="auto" w:fill="FFFFFF"/>
        </w:rPr>
        <w:t>or lead out the Bear with its cubs?</w:t>
      </w:r>
      <w:r w:rsidR="00D25475" w:rsidRPr="00D25475">
        <w:rPr>
          <w:rFonts w:cstheme="minorHAnsi"/>
          <w:color w:val="000000"/>
        </w:rPr>
        <w:br/>
      </w:r>
      <w:r w:rsidR="00D25475" w:rsidRPr="00D25475">
        <w:rPr>
          <w:rStyle w:val="text"/>
          <w:rFonts w:cstheme="minorHAnsi"/>
          <w:color w:val="000000"/>
          <w:shd w:val="clear" w:color="auto" w:fill="FFFFFF"/>
        </w:rPr>
        <w:t>Do you know the laws of the heavens?</w:t>
      </w:r>
      <w:r>
        <w:rPr>
          <w:rStyle w:val="text"/>
          <w:rFonts w:cstheme="minorHAnsi"/>
          <w:color w:val="000000"/>
          <w:shd w:val="clear" w:color="auto" w:fill="FFFFFF"/>
        </w:rPr>
        <w:t>”</w:t>
      </w:r>
      <w:r w:rsidR="00D25475">
        <w:rPr>
          <w:rStyle w:val="FootnoteReference"/>
          <w:rFonts w:cstheme="minorHAnsi"/>
          <w:color w:val="000000"/>
          <w:shd w:val="clear" w:color="auto" w:fill="FFFFFF"/>
        </w:rPr>
        <w:footnoteReference w:id="9"/>
      </w:r>
    </w:p>
    <w:bookmarkEnd w:id="2"/>
    <w:p w14:paraId="45AA25B5" w14:textId="29A2FFBE" w:rsidR="009659D7" w:rsidRDefault="009659D7" w:rsidP="00124322">
      <w:pPr>
        <w:rPr>
          <w:rStyle w:val="text"/>
          <w:rFonts w:cstheme="minorHAnsi"/>
          <w:color w:val="000000"/>
          <w:shd w:val="clear" w:color="auto" w:fill="FFFFFF"/>
        </w:rPr>
      </w:pPr>
      <w:r w:rsidRPr="00D25475">
        <w:rPr>
          <w:rStyle w:val="text"/>
          <w:rFonts w:cstheme="minorHAnsi"/>
          <w:color w:val="000000"/>
          <w:shd w:val="clear" w:color="auto" w:fill="FFFFFF"/>
        </w:rPr>
        <w:t>Job’s Coffin</w:t>
      </w:r>
      <w:r w:rsidR="00017B75" w:rsidRPr="00D25475">
        <w:rPr>
          <w:rStyle w:val="text"/>
          <w:rFonts w:cstheme="minorHAnsi"/>
          <w:color w:val="000000"/>
          <w:shd w:val="clear" w:color="auto" w:fill="FFFFFF"/>
        </w:rPr>
        <w:t xml:space="preserve">, the four </w:t>
      </w:r>
      <w:r w:rsidRPr="00D25475">
        <w:rPr>
          <w:rStyle w:val="text"/>
          <w:rFonts w:cstheme="minorHAnsi"/>
          <w:color w:val="000000"/>
          <w:shd w:val="clear" w:color="auto" w:fill="FFFFFF"/>
        </w:rPr>
        <w:t>4 stars in a lozenge shape in the sky</w:t>
      </w:r>
      <w:r w:rsidR="00D25475">
        <w:rPr>
          <w:rStyle w:val="text"/>
          <w:rFonts w:cstheme="minorHAnsi"/>
          <w:color w:val="000000"/>
          <w:shd w:val="clear" w:color="auto" w:fill="FFFFFF"/>
        </w:rPr>
        <w:t xml:space="preserve"> in the upper section of the block</w:t>
      </w:r>
      <w:r w:rsidR="00017B75" w:rsidRPr="00D25475">
        <w:rPr>
          <w:rStyle w:val="text"/>
          <w:rFonts w:cstheme="minorHAnsi"/>
          <w:color w:val="000000"/>
          <w:shd w:val="clear" w:color="auto" w:fill="FFFFFF"/>
        </w:rPr>
        <w:t xml:space="preserve">, </w:t>
      </w:r>
      <w:r w:rsidR="00D25475">
        <w:rPr>
          <w:rStyle w:val="text"/>
          <w:rFonts w:cstheme="minorHAnsi"/>
          <w:color w:val="000000"/>
          <w:shd w:val="clear" w:color="auto" w:fill="FFFFFF"/>
        </w:rPr>
        <w:t xml:space="preserve">is the dominant feature within </w:t>
      </w:r>
      <w:r w:rsidR="00A4473A">
        <w:rPr>
          <w:rStyle w:val="text"/>
          <w:rFonts w:cstheme="minorHAnsi"/>
          <w:color w:val="000000"/>
          <w:shd w:val="clear" w:color="auto" w:fill="FFFFFF"/>
        </w:rPr>
        <w:t xml:space="preserve">the </w:t>
      </w:r>
      <w:r w:rsidR="00D25475">
        <w:rPr>
          <w:rStyle w:val="text"/>
          <w:rFonts w:cstheme="minorHAnsi"/>
          <w:color w:val="000000"/>
          <w:shd w:val="clear" w:color="auto" w:fill="FFFFFF"/>
        </w:rPr>
        <w:t>Delphinus</w:t>
      </w:r>
      <w:r w:rsidR="00A4473A">
        <w:rPr>
          <w:rStyle w:val="text"/>
          <w:rFonts w:cstheme="minorHAnsi"/>
          <w:color w:val="000000"/>
          <w:shd w:val="clear" w:color="auto" w:fill="FFFFFF"/>
        </w:rPr>
        <w:t xml:space="preserve"> constellation</w:t>
      </w:r>
      <w:r w:rsidR="00D25475">
        <w:rPr>
          <w:rStyle w:val="text"/>
          <w:rFonts w:cstheme="minorHAnsi"/>
          <w:color w:val="000000"/>
          <w:shd w:val="clear" w:color="auto" w:fill="FFFFFF"/>
        </w:rPr>
        <w:t xml:space="preserve">, </w:t>
      </w:r>
      <w:r w:rsidR="00C67C05" w:rsidRPr="00D25475">
        <w:rPr>
          <w:rStyle w:val="text"/>
          <w:rFonts w:cstheme="minorHAnsi"/>
          <w:color w:val="000000"/>
          <w:shd w:val="clear" w:color="auto" w:fill="FFFFFF"/>
        </w:rPr>
        <w:t>used by sailors for navigation since antiquity</w:t>
      </w:r>
      <w:r w:rsidR="00D25475">
        <w:rPr>
          <w:rStyle w:val="text"/>
          <w:rFonts w:cstheme="minorHAnsi"/>
          <w:color w:val="000000"/>
          <w:shd w:val="clear" w:color="auto" w:fill="FFFFFF"/>
        </w:rPr>
        <w:t>.</w:t>
      </w:r>
      <w:r w:rsidR="00C67C05" w:rsidRPr="00D25475">
        <w:rPr>
          <w:rStyle w:val="FootnoteReference"/>
          <w:rFonts w:cstheme="minorHAnsi"/>
          <w:color w:val="000000"/>
          <w:shd w:val="clear" w:color="auto" w:fill="FFFFFF"/>
        </w:rPr>
        <w:footnoteReference w:id="10"/>
      </w:r>
      <w:r w:rsidR="00A24DE7" w:rsidRPr="00D25475">
        <w:rPr>
          <w:rStyle w:val="text"/>
          <w:rFonts w:cstheme="minorHAnsi"/>
          <w:color w:val="000000"/>
          <w:shd w:val="clear" w:color="auto" w:fill="FFFFFF"/>
        </w:rPr>
        <w:t xml:space="preserve"> </w:t>
      </w:r>
    </w:p>
    <w:p w14:paraId="2175F27F" w14:textId="5CBBB172" w:rsidR="00A4473A" w:rsidRPr="00D25475" w:rsidRDefault="00A4473A" w:rsidP="00124322">
      <w:pPr>
        <w:rPr>
          <w:rStyle w:val="text"/>
          <w:rFonts w:cstheme="minorHAnsi"/>
          <w:color w:val="000000"/>
          <w:shd w:val="clear" w:color="auto" w:fill="FFFFFF"/>
        </w:rPr>
      </w:pPr>
      <w:r>
        <w:rPr>
          <w:rStyle w:val="text"/>
          <w:rFonts w:cstheme="minorHAnsi"/>
          <w:color w:val="000000"/>
          <w:shd w:val="clear" w:color="auto" w:fill="FFFFFF"/>
        </w:rPr>
        <w:t>Block 1 can therefore be read as laying the foundation of these two dominant themes within the quilt.</w:t>
      </w:r>
    </w:p>
    <w:p w14:paraId="734467AD" w14:textId="442656FC" w:rsidR="00DF1617" w:rsidRDefault="00025C4A">
      <w:pPr>
        <w:rPr>
          <w:rFonts w:cstheme="minorHAnsi"/>
          <w:b/>
          <w:bCs/>
          <w:lang w:val="en-US"/>
        </w:rPr>
      </w:pPr>
      <w:r>
        <w:rPr>
          <w:b/>
          <w:bCs/>
          <w:lang w:val="en-US"/>
        </w:rPr>
        <w:t xml:space="preserve">Quilt </w:t>
      </w:r>
      <w:r w:rsidR="00DF1617" w:rsidRPr="00025C4A">
        <w:rPr>
          <w:b/>
          <w:bCs/>
          <w:lang w:val="en-US"/>
        </w:rPr>
        <w:t>Block 2</w:t>
      </w:r>
      <w:r w:rsidR="00A4473A">
        <w:rPr>
          <w:b/>
          <w:bCs/>
          <w:lang w:val="en-US"/>
        </w:rPr>
        <w:t>.</w:t>
      </w:r>
      <w:r w:rsidR="009D3F1A" w:rsidRPr="00025C4A">
        <w:rPr>
          <w:b/>
          <w:bCs/>
        </w:rPr>
        <w:t xml:space="preserve"> </w:t>
      </w:r>
      <w:r w:rsidR="009D3F1A" w:rsidRPr="00025C4A">
        <w:rPr>
          <w:rFonts w:cstheme="minorHAnsi"/>
          <w:b/>
          <w:bCs/>
          <w:lang w:val="en-US"/>
        </w:rPr>
        <w:t>The dark day of May 19, 1780. The seven stars were seen 12 N. in the day. The cattle wall went to bed, chickens to roost and the trumpet was blown. The sun went off to a small spot and then to darkness.</w:t>
      </w:r>
      <w:r w:rsidR="00A4473A">
        <w:rPr>
          <w:rStyle w:val="FootnoteReference"/>
          <w:rFonts w:cstheme="minorHAnsi"/>
          <w:b/>
          <w:bCs/>
          <w:lang w:val="en-US"/>
        </w:rPr>
        <w:footnoteReference w:id="11"/>
      </w:r>
    </w:p>
    <w:p w14:paraId="0B65EAB3" w14:textId="3D2C0E0A" w:rsidR="00D578F9" w:rsidRDefault="00CC177E" w:rsidP="00D578F9">
      <w:pPr>
        <w:rPr>
          <w:rFonts w:cstheme="minorHAnsi"/>
          <w:lang w:val="en-US"/>
        </w:rPr>
      </w:pPr>
      <w:r w:rsidRPr="00CC177E">
        <w:rPr>
          <w:rFonts w:cstheme="minorHAnsi"/>
          <w:lang w:val="en-US"/>
        </w:rPr>
        <w:t xml:space="preserve">Block 2 </w:t>
      </w:r>
      <w:r w:rsidR="00F90429">
        <w:rPr>
          <w:rFonts w:cstheme="minorHAnsi"/>
          <w:lang w:val="en-US"/>
        </w:rPr>
        <w:t>has a</w:t>
      </w:r>
      <w:r w:rsidR="008506CC">
        <w:rPr>
          <w:rFonts w:cstheme="minorHAnsi"/>
          <w:lang w:val="en-US"/>
        </w:rPr>
        <w:t xml:space="preserve"> </w:t>
      </w:r>
      <w:r w:rsidR="00F90429">
        <w:rPr>
          <w:rFonts w:cstheme="minorHAnsi"/>
          <w:lang w:val="en-US"/>
        </w:rPr>
        <w:t xml:space="preserve">constellation </w:t>
      </w:r>
      <w:proofErr w:type="gramStart"/>
      <w:r w:rsidR="00F90429">
        <w:rPr>
          <w:rFonts w:cstheme="minorHAnsi"/>
          <w:lang w:val="en-US"/>
        </w:rPr>
        <w:t>theme</w:t>
      </w:r>
      <w:r w:rsidR="00D578F9">
        <w:rPr>
          <w:rFonts w:cstheme="minorHAnsi"/>
          <w:lang w:val="en-US"/>
        </w:rPr>
        <w:t>, and</w:t>
      </w:r>
      <w:proofErr w:type="gramEnd"/>
      <w:r w:rsidR="00D578F9">
        <w:rPr>
          <w:rFonts w:cstheme="minorHAnsi"/>
          <w:lang w:val="en-US"/>
        </w:rPr>
        <w:t xml:space="preserve"> describes a celestial event from collective memory of</w:t>
      </w:r>
      <w:r w:rsidR="00D578F9">
        <w:rPr>
          <w:rFonts w:cstheme="minorHAnsi"/>
          <w:lang w:val="en-US"/>
        </w:rPr>
        <w:t xml:space="preserve"> </w:t>
      </w:r>
      <w:r w:rsidR="00D578F9">
        <w:rPr>
          <w:rFonts w:cstheme="minorHAnsi"/>
          <w:lang w:val="en-US"/>
        </w:rPr>
        <w:t>the</w:t>
      </w:r>
      <w:r w:rsidR="00D578F9">
        <w:rPr>
          <w:rFonts w:cstheme="minorHAnsi"/>
          <w:lang w:val="en-US"/>
        </w:rPr>
        <w:t xml:space="preserve"> solar eclipse</w:t>
      </w:r>
      <w:r w:rsidR="00D578F9">
        <w:rPr>
          <w:rFonts w:cstheme="minorHAnsi"/>
          <w:lang w:val="en-US"/>
        </w:rPr>
        <w:t xml:space="preserve"> of 1780</w:t>
      </w:r>
      <w:r w:rsidR="00D578F9">
        <w:rPr>
          <w:rFonts w:cstheme="minorHAnsi"/>
          <w:lang w:val="en-US"/>
        </w:rPr>
        <w:t>, with the sky darkening and stars being visible at 12 noon</w:t>
      </w:r>
      <w:r w:rsidR="00D578F9">
        <w:rPr>
          <w:rFonts w:cstheme="minorHAnsi"/>
          <w:lang w:val="en-US"/>
        </w:rPr>
        <w:t>. The sun on the upper right of the block, surrounded by a fine halo of stitches, is linked to a thread which appears to be pulling the sun back to the left corner of the block, where it sits far reduced</w:t>
      </w:r>
      <w:r w:rsidR="00E93264">
        <w:rPr>
          <w:rFonts w:cstheme="minorHAnsi"/>
          <w:lang w:val="en-US"/>
        </w:rPr>
        <w:t xml:space="preserve"> </w:t>
      </w:r>
      <w:r w:rsidR="00D578F9">
        <w:rPr>
          <w:rFonts w:cstheme="minorHAnsi"/>
          <w:lang w:val="en-US"/>
        </w:rPr>
        <w:t xml:space="preserve">in size, and without the bright </w:t>
      </w:r>
      <w:r w:rsidR="00E93264">
        <w:rPr>
          <w:rFonts w:cstheme="minorHAnsi"/>
          <w:lang w:val="en-US"/>
        </w:rPr>
        <w:t>spiky corona</w:t>
      </w:r>
      <w:r w:rsidR="00D578F9">
        <w:rPr>
          <w:rFonts w:cstheme="minorHAnsi"/>
          <w:lang w:val="en-US"/>
        </w:rPr>
        <w:t xml:space="preserve"> of light that all other </w:t>
      </w:r>
      <w:r w:rsidR="00E93264">
        <w:rPr>
          <w:rFonts w:cstheme="minorHAnsi"/>
          <w:lang w:val="en-US"/>
        </w:rPr>
        <w:t>representations of suns and stars in the quilt possess. The animals have gathered in the lower plane of the block, clustered around the barn to be closed in for the night.</w:t>
      </w:r>
      <w:r w:rsidR="00A3002F">
        <w:rPr>
          <w:rFonts w:cstheme="minorHAnsi"/>
          <w:lang w:val="en-US"/>
        </w:rPr>
        <w:t xml:space="preserve"> </w:t>
      </w:r>
    </w:p>
    <w:p w14:paraId="63229755" w14:textId="69708248" w:rsidR="00E93264" w:rsidRPr="00CC177E" w:rsidRDefault="00E93264" w:rsidP="00D578F9">
      <w:pPr>
        <w:rPr>
          <w:rFonts w:cstheme="minorHAnsi"/>
          <w:lang w:val="en-US"/>
        </w:rPr>
      </w:pPr>
      <w:r>
        <w:rPr>
          <w:rFonts w:cstheme="minorHAnsi"/>
          <w:lang w:val="en-US"/>
        </w:rPr>
        <w:t xml:space="preserve">The background of this block is a very dark blue, stronger and more solid in tone than the other blocks, signifying </w:t>
      </w:r>
      <w:r w:rsidR="00471558">
        <w:rPr>
          <w:rFonts w:cstheme="minorHAnsi"/>
          <w:lang w:val="en-US"/>
        </w:rPr>
        <w:t xml:space="preserve">great </w:t>
      </w:r>
      <w:r>
        <w:rPr>
          <w:rFonts w:cstheme="minorHAnsi"/>
          <w:lang w:val="en-US"/>
        </w:rPr>
        <w:t xml:space="preserve">darkness. </w:t>
      </w:r>
    </w:p>
    <w:p w14:paraId="562E711C" w14:textId="77777777" w:rsidR="00B922D4" w:rsidRPr="00525A45" w:rsidRDefault="00B922D4" w:rsidP="00B922D4">
      <w:pPr>
        <w:rPr>
          <w:b/>
          <w:bCs/>
          <w:lang w:val="en-US"/>
        </w:rPr>
      </w:pPr>
      <w:r w:rsidRPr="00525A45">
        <w:rPr>
          <w:b/>
          <w:bCs/>
          <w:lang w:val="en-US"/>
        </w:rPr>
        <w:t>8. The falling of the stars on Nov. 13, 1833. The people were frightened and thought that the end had come. God's hand staid the stars. The varmints rushed out of their beds.</w:t>
      </w:r>
    </w:p>
    <w:p w14:paraId="7B0D5F93" w14:textId="77777777" w:rsidR="00B922D4" w:rsidRPr="00525A45" w:rsidRDefault="00B922D4" w:rsidP="00B922D4">
      <w:pPr>
        <w:rPr>
          <w:b/>
          <w:bCs/>
          <w:lang w:val="en-US"/>
        </w:rPr>
      </w:pPr>
      <w:r w:rsidRPr="00525A45">
        <w:rPr>
          <w:b/>
          <w:bCs/>
          <w:lang w:val="en-US"/>
        </w:rPr>
        <w:t xml:space="preserve">12. The </w:t>
      </w:r>
      <w:proofErr w:type="gramStart"/>
      <w:r w:rsidRPr="00525A45">
        <w:rPr>
          <w:b/>
          <w:bCs/>
          <w:lang w:val="en-US"/>
        </w:rPr>
        <w:t>red light</w:t>
      </w:r>
      <w:proofErr w:type="gramEnd"/>
      <w:r w:rsidRPr="00525A45">
        <w:rPr>
          <w:b/>
          <w:bCs/>
          <w:lang w:val="en-US"/>
        </w:rPr>
        <w:t xml:space="preserve"> night of 1846. A man tolling the bell to notify the people of the wonder. Women, children and fowls frightened by God's merciful hand caused no harm to them.</w:t>
      </w:r>
    </w:p>
    <w:p w14:paraId="1F850DAD" w14:textId="6D1EF5B1" w:rsidR="00EB10D8" w:rsidRPr="00EB10D8" w:rsidRDefault="00EB10D8" w:rsidP="00EB10D8">
      <w:r>
        <w:rPr>
          <w:lang w:val="en-US"/>
        </w:rPr>
        <w:t xml:space="preserve">In Blocks 8 and 12 </w:t>
      </w:r>
      <w:r w:rsidRPr="00EB10D8">
        <w:rPr>
          <w:rFonts w:cstheme="minorHAnsi"/>
          <w:lang w:val="en-US"/>
        </w:rPr>
        <w:t xml:space="preserve">The </w:t>
      </w:r>
      <w:r>
        <w:rPr>
          <w:rFonts w:cstheme="minorHAnsi"/>
          <w:lang w:val="en-US"/>
        </w:rPr>
        <w:t xml:space="preserve">triptych structure is again apparent. The influence of the West African sculpture and textile tradition are very evident in the </w:t>
      </w:r>
      <w:r w:rsidRPr="00EB10D8">
        <w:rPr>
          <w:rFonts w:cstheme="minorHAnsi"/>
          <w:lang w:val="en-US"/>
        </w:rPr>
        <w:t>patterning of fabric, and free</w:t>
      </w:r>
      <w:r>
        <w:rPr>
          <w:rFonts w:cstheme="minorHAnsi"/>
          <w:lang w:val="en-US"/>
        </w:rPr>
        <w:t>-</w:t>
      </w:r>
      <w:r w:rsidRPr="00EB10D8">
        <w:rPr>
          <w:rFonts w:cstheme="minorHAnsi"/>
          <w:lang w:val="en-US"/>
        </w:rPr>
        <w:t>floating form of</w:t>
      </w:r>
      <w:r>
        <w:rPr>
          <w:rFonts w:cstheme="minorHAnsi"/>
          <w:lang w:val="en-US"/>
        </w:rPr>
        <w:t xml:space="preserve"> the</w:t>
      </w:r>
      <w:r w:rsidRPr="00EB10D8">
        <w:rPr>
          <w:rFonts w:cstheme="minorHAnsi"/>
          <w:lang w:val="en-US"/>
        </w:rPr>
        <w:t xml:space="preserve"> figures. </w:t>
      </w:r>
      <w:r>
        <w:rPr>
          <w:rFonts w:cstheme="minorHAnsi"/>
          <w:lang w:val="en-US"/>
        </w:rPr>
        <w:t xml:space="preserve">The expression of the figures </w:t>
      </w:r>
      <w:proofErr w:type="gramStart"/>
      <w:r>
        <w:rPr>
          <w:rFonts w:cstheme="minorHAnsi"/>
          <w:lang w:val="en-US"/>
        </w:rPr>
        <w:t>are</w:t>
      </w:r>
      <w:proofErr w:type="gramEnd"/>
      <w:r>
        <w:rPr>
          <w:rFonts w:cstheme="minorHAnsi"/>
          <w:lang w:val="en-US"/>
        </w:rPr>
        <w:t xml:space="preserve"> similar to e</w:t>
      </w:r>
      <w:r w:rsidRPr="00EB10D8">
        <w:rPr>
          <w:rFonts w:cstheme="minorHAnsi"/>
          <w:lang w:val="en-US"/>
        </w:rPr>
        <w:t xml:space="preserve">xamples of </w:t>
      </w:r>
      <w:proofErr w:type="spellStart"/>
      <w:r w:rsidRPr="00EB10D8">
        <w:rPr>
          <w:rFonts w:cstheme="minorHAnsi"/>
          <w:lang w:val="en-US"/>
        </w:rPr>
        <w:t>Fon</w:t>
      </w:r>
      <w:proofErr w:type="spellEnd"/>
      <w:r w:rsidRPr="00EB10D8">
        <w:rPr>
          <w:rFonts w:cstheme="minorHAnsi"/>
          <w:lang w:val="en-US"/>
        </w:rPr>
        <w:t xml:space="preserve"> art in the Smithsonian Museum of African Art</w:t>
      </w:r>
      <w:r>
        <w:rPr>
          <w:rFonts w:cstheme="minorHAnsi"/>
          <w:lang w:val="en-US"/>
        </w:rPr>
        <w:t xml:space="preserve">, particularly in rendition of human figures in the </w:t>
      </w:r>
      <w:proofErr w:type="spellStart"/>
      <w:r>
        <w:rPr>
          <w:rFonts w:cstheme="minorHAnsi"/>
          <w:lang w:val="en-US"/>
        </w:rPr>
        <w:t>Fon</w:t>
      </w:r>
      <w:proofErr w:type="spellEnd"/>
      <w:r>
        <w:rPr>
          <w:rFonts w:cstheme="minorHAnsi"/>
          <w:lang w:val="en-US"/>
        </w:rPr>
        <w:t xml:space="preserve"> altars,</w:t>
      </w:r>
      <w:r>
        <w:rPr>
          <w:rStyle w:val="FootnoteReference"/>
          <w:rFonts w:cstheme="minorHAnsi"/>
          <w:lang w:val="en-US"/>
        </w:rPr>
        <w:footnoteReference w:id="12"/>
      </w:r>
      <w:r w:rsidRPr="00EB10D8">
        <w:rPr>
          <w:rFonts w:cstheme="minorHAnsi"/>
          <w:lang w:val="en-US"/>
        </w:rPr>
        <w:t xml:space="preserve"> </w:t>
      </w:r>
      <w:r>
        <w:rPr>
          <w:rFonts w:cstheme="minorHAnsi"/>
          <w:lang w:val="en-US"/>
        </w:rPr>
        <w:t xml:space="preserve">and animal figures in the </w:t>
      </w:r>
      <w:proofErr w:type="spellStart"/>
      <w:r>
        <w:t>Fon</w:t>
      </w:r>
      <w:proofErr w:type="spellEnd"/>
      <w:r>
        <w:t xml:space="preserve"> wall hanging</w:t>
      </w:r>
      <w:r>
        <w:t xml:space="preserve">s. </w:t>
      </w:r>
      <w:r>
        <w:rPr>
          <w:rStyle w:val="FootnoteReference"/>
        </w:rPr>
        <w:footnoteReference w:id="13"/>
      </w:r>
      <w:r>
        <w:t xml:space="preserve"> </w:t>
      </w:r>
    </w:p>
    <w:p w14:paraId="06061F71" w14:textId="7D188C1F" w:rsidR="00B922D4" w:rsidRPr="00525A45" w:rsidRDefault="00B922D4" w:rsidP="00B922D4">
      <w:pPr>
        <w:rPr>
          <w:b/>
          <w:bCs/>
          <w:lang w:val="en-US"/>
        </w:rPr>
      </w:pPr>
      <w:r w:rsidRPr="00525A45">
        <w:rPr>
          <w:b/>
          <w:bCs/>
          <w:lang w:val="en-US"/>
        </w:rPr>
        <w:t xml:space="preserve">13. Rich people who were taught nothing of God. Bob Johnson and Kate Bell of Virginia. They told their parents to stop the clock at one and tomorrow it would strike one and so it did. This was the </w:t>
      </w:r>
      <w:r w:rsidRPr="00525A45">
        <w:rPr>
          <w:b/>
          <w:bCs/>
          <w:lang w:val="en-US"/>
        </w:rPr>
        <w:lastRenderedPageBreak/>
        <w:t>signal that they had entered everlasting punishment. The independent hog which ran 500 miles from Georgia to Virginia, her name was Betts.</w:t>
      </w:r>
    </w:p>
    <w:p w14:paraId="7930416C" w14:textId="589A7E0E" w:rsidR="00B922D4" w:rsidRPr="00B922D4" w:rsidRDefault="00B80354" w:rsidP="00B922D4">
      <w:pPr>
        <w:rPr>
          <w:lang w:val="en-US"/>
        </w:rPr>
      </w:pPr>
      <w:r>
        <w:rPr>
          <w:lang w:val="en-US"/>
        </w:rPr>
        <w:t>The</w:t>
      </w:r>
      <w:r w:rsidR="000D4C86">
        <w:rPr>
          <w:lang w:val="en-US"/>
        </w:rPr>
        <w:t xml:space="preserve"> orange pig </w:t>
      </w:r>
      <w:r>
        <w:rPr>
          <w:lang w:val="en-US"/>
        </w:rPr>
        <w:t xml:space="preserve">in this block is </w:t>
      </w:r>
      <w:r w:rsidR="000D4C86">
        <w:rPr>
          <w:lang w:val="en-US"/>
        </w:rPr>
        <w:t>reminiscent of a red river hog,</w:t>
      </w:r>
      <w:r w:rsidR="000D4C86" w:rsidRPr="000D4C86">
        <w:t xml:space="preserve"> </w:t>
      </w:r>
      <w:r w:rsidR="000D4C86" w:rsidRPr="000D4C86">
        <w:rPr>
          <w:lang w:val="en-US"/>
        </w:rPr>
        <w:t>bushmeat in West Africa</w:t>
      </w:r>
      <w:r>
        <w:rPr>
          <w:lang w:val="en-US"/>
        </w:rPr>
        <w:t>.</w:t>
      </w:r>
      <w:r w:rsidR="000D4C86">
        <w:rPr>
          <w:rStyle w:val="FootnoteReference"/>
          <w:lang w:val="en-US"/>
        </w:rPr>
        <w:footnoteReference w:id="14"/>
      </w:r>
      <w:r w:rsidR="000D4C86">
        <w:rPr>
          <w:lang w:val="en-US"/>
        </w:rPr>
        <w:t xml:space="preserve"> </w:t>
      </w:r>
      <w:r w:rsidR="008506CC">
        <w:rPr>
          <w:lang w:val="en-US"/>
        </w:rPr>
        <w:t>The pig’s</w:t>
      </w:r>
      <w:r>
        <w:rPr>
          <w:lang w:val="en-US"/>
        </w:rPr>
        <w:t xml:space="preserve"> dominance within the block could imply that</w:t>
      </w:r>
      <w:r w:rsidR="009F20C6">
        <w:rPr>
          <w:lang w:val="en-US"/>
        </w:rPr>
        <w:t xml:space="preserve"> Bett</w:t>
      </w:r>
      <w:r w:rsidR="008506CC">
        <w:rPr>
          <w:lang w:val="en-US"/>
        </w:rPr>
        <w:t>, although a pig,</w:t>
      </w:r>
      <w:r w:rsidR="009F20C6">
        <w:rPr>
          <w:lang w:val="en-US"/>
        </w:rPr>
        <w:t xml:space="preserve"> is nobler in character than Bob Johnson and Kate Bell. </w:t>
      </w:r>
      <w:r w:rsidR="008506CC">
        <w:rPr>
          <w:lang w:val="en-US"/>
        </w:rPr>
        <w:t xml:space="preserve">The parallels between Bett the runaway pig, and runaway slaves, are evident and are heightened by its similarity to a red river hog. </w:t>
      </w:r>
      <w:r w:rsidR="009F20C6">
        <w:rPr>
          <w:lang w:val="en-US"/>
        </w:rPr>
        <w:t xml:space="preserve">Bob and Kate face away from the viewer and towards a grandfather clock reading (approximately) quarter to one. Kate wears an embroidered crown, symbolizing their wealth, which is so great that they believe that they can control the passage of time. </w:t>
      </w:r>
      <w:r w:rsidR="003C2067">
        <w:rPr>
          <w:lang w:val="en-US"/>
        </w:rPr>
        <w:t>In contrast Betts the pig stares straight at the view</w:t>
      </w:r>
      <w:r w:rsidR="00CC177E">
        <w:rPr>
          <w:lang w:val="en-US"/>
        </w:rPr>
        <w:t xml:space="preserve">er. </w:t>
      </w:r>
      <w:r w:rsidR="00A3002F">
        <w:rPr>
          <w:lang w:val="en-US"/>
        </w:rPr>
        <w:t xml:space="preserve">She also glows, not only due to her </w:t>
      </w:r>
      <w:proofErr w:type="spellStart"/>
      <w:r w:rsidR="00A3002F">
        <w:rPr>
          <w:lang w:val="en-US"/>
        </w:rPr>
        <w:t>colour</w:t>
      </w:r>
      <w:proofErr w:type="spellEnd"/>
      <w:r w:rsidR="00A3002F">
        <w:rPr>
          <w:lang w:val="en-US"/>
        </w:rPr>
        <w:t xml:space="preserve"> but to the fine layer of fabric beneath that is cut very slightly bigger, to provide this radiant edge.</w:t>
      </w:r>
      <w:r w:rsidR="00A3002F">
        <w:rPr>
          <w:rStyle w:val="FootnoteReference"/>
          <w:lang w:val="en-US"/>
        </w:rPr>
        <w:footnoteReference w:id="15"/>
      </w:r>
      <w:r w:rsidR="009F20C6">
        <w:rPr>
          <w:lang w:val="en-US"/>
        </w:rPr>
        <w:t xml:space="preserve">The </w:t>
      </w:r>
      <w:r w:rsidR="003C2067">
        <w:rPr>
          <w:lang w:val="en-US"/>
        </w:rPr>
        <w:t xml:space="preserve">crescent </w:t>
      </w:r>
      <w:r w:rsidR="009F20C6">
        <w:rPr>
          <w:lang w:val="en-US"/>
        </w:rPr>
        <w:t>moon is in the upper left quadrant, the su</w:t>
      </w:r>
      <w:r w:rsidR="003C2067">
        <w:rPr>
          <w:lang w:val="en-US"/>
        </w:rPr>
        <w:t>n</w:t>
      </w:r>
      <w:r w:rsidR="009F20C6">
        <w:rPr>
          <w:lang w:val="en-US"/>
        </w:rPr>
        <w:t xml:space="preserve"> in the right</w:t>
      </w:r>
      <w:r w:rsidR="003C2067">
        <w:rPr>
          <w:lang w:val="en-US"/>
        </w:rPr>
        <w:t xml:space="preserve"> upper quadrant</w:t>
      </w:r>
      <w:r w:rsidR="009F20C6">
        <w:rPr>
          <w:lang w:val="en-US"/>
        </w:rPr>
        <w:t xml:space="preserve">, signifying the passing of </w:t>
      </w:r>
      <w:r w:rsidR="003C2067">
        <w:rPr>
          <w:lang w:val="en-US"/>
        </w:rPr>
        <w:t>night and day.</w:t>
      </w:r>
      <w:r w:rsidR="009F20C6">
        <w:rPr>
          <w:lang w:val="en-US"/>
        </w:rPr>
        <w:t xml:space="preserve"> </w:t>
      </w:r>
      <w:r w:rsidR="003C2067">
        <w:rPr>
          <w:lang w:val="en-US"/>
        </w:rPr>
        <w:t>The moon is differentiated from the su</w:t>
      </w:r>
      <w:r w:rsidR="00CC177E">
        <w:rPr>
          <w:lang w:val="en-US"/>
        </w:rPr>
        <w:t>n</w:t>
      </w:r>
      <w:r w:rsidR="003C2067">
        <w:rPr>
          <w:lang w:val="en-US"/>
        </w:rPr>
        <w:t xml:space="preserve"> by the crescent shape, for emphasis. </w:t>
      </w:r>
      <w:r w:rsidR="009F20C6">
        <w:rPr>
          <w:lang w:val="en-US"/>
        </w:rPr>
        <w:t xml:space="preserve">This block has a very symmetrical </w:t>
      </w:r>
      <w:r w:rsidR="00CC177E">
        <w:rPr>
          <w:lang w:val="en-US"/>
        </w:rPr>
        <w:t xml:space="preserve">triptych </w:t>
      </w:r>
      <w:r w:rsidR="009F20C6">
        <w:rPr>
          <w:lang w:val="en-US"/>
        </w:rPr>
        <w:t>design</w:t>
      </w:r>
      <w:r w:rsidR="003C2067">
        <w:rPr>
          <w:lang w:val="en-US"/>
        </w:rPr>
        <w:t>,</w:t>
      </w:r>
      <w:r w:rsidR="009F20C6">
        <w:rPr>
          <w:lang w:val="en-US"/>
        </w:rPr>
        <w:t xml:space="preserve"> echo</w:t>
      </w:r>
      <w:r w:rsidR="003C2067">
        <w:rPr>
          <w:lang w:val="en-US"/>
        </w:rPr>
        <w:t>ing</w:t>
      </w:r>
      <w:r w:rsidR="009F20C6">
        <w:rPr>
          <w:lang w:val="en-US"/>
        </w:rPr>
        <w:t xml:space="preserve"> the design of </w:t>
      </w:r>
      <w:r w:rsidR="00CC177E">
        <w:rPr>
          <w:lang w:val="en-US"/>
        </w:rPr>
        <w:t xml:space="preserve">the Job Block 1, and </w:t>
      </w:r>
      <w:r w:rsidR="009F20C6">
        <w:rPr>
          <w:lang w:val="en-US"/>
        </w:rPr>
        <w:t>the crucifixion block</w:t>
      </w:r>
      <w:r w:rsidR="00CC177E">
        <w:rPr>
          <w:lang w:val="en-US"/>
        </w:rPr>
        <w:t xml:space="preserve">. The repetition of the blocks’ structure </w:t>
      </w:r>
      <w:r w:rsidR="003C2067">
        <w:rPr>
          <w:lang w:val="en-US"/>
        </w:rPr>
        <w:t>therefore has particular significance in terms of the visual</w:t>
      </w:r>
      <w:r w:rsidR="00CC177E">
        <w:rPr>
          <w:lang w:val="en-US"/>
        </w:rPr>
        <w:t xml:space="preserve"> and symbolic</w:t>
      </w:r>
      <w:r w:rsidR="003C2067">
        <w:rPr>
          <w:lang w:val="en-US"/>
        </w:rPr>
        <w:t xml:space="preserve"> narrative. </w:t>
      </w:r>
      <w:r w:rsidR="009F20C6">
        <w:rPr>
          <w:lang w:val="en-US"/>
        </w:rPr>
        <w:t xml:space="preserve"> </w:t>
      </w:r>
    </w:p>
    <w:p w14:paraId="7CD5E770" w14:textId="5455AFF0" w:rsidR="00DF1617" w:rsidRDefault="00B922D4" w:rsidP="00B922D4">
      <w:pPr>
        <w:rPr>
          <w:b/>
          <w:bCs/>
          <w:lang w:val="en-US"/>
        </w:rPr>
      </w:pPr>
      <w:r w:rsidRPr="00525A45">
        <w:rPr>
          <w:b/>
          <w:bCs/>
          <w:lang w:val="en-US"/>
        </w:rPr>
        <w:t>15. The crucifixion of Christ between the two thieves. The sun went into darkness. Mary and Martha weeping at his feet. The blood and water run from his right side.</w:t>
      </w:r>
    </w:p>
    <w:p w14:paraId="77E6A3FA" w14:textId="77777777" w:rsidR="00471558" w:rsidRDefault="003C2067" w:rsidP="00B922D4">
      <w:pPr>
        <w:rPr>
          <w:lang w:val="en-US"/>
        </w:rPr>
      </w:pPr>
      <w:r w:rsidRPr="003C2067">
        <w:rPr>
          <w:lang w:val="en-US"/>
        </w:rPr>
        <w:t>For the final block in the quilt the triptych structure is again dominant</w:t>
      </w:r>
      <w:r w:rsidR="00CC177E">
        <w:rPr>
          <w:lang w:val="en-US"/>
        </w:rPr>
        <w:t xml:space="preserve">, as would be expected in a crucifixion scene. The two thieves hang from their crosses on either side of Jesus, Mary and Martha weep at Jesus’ feet. This block is perfectly symmetrical in design apart from the blood pouring </w:t>
      </w:r>
      <w:r w:rsidR="007961B5">
        <w:rPr>
          <w:lang w:val="en-US"/>
        </w:rPr>
        <w:t xml:space="preserve">from </w:t>
      </w:r>
      <w:r w:rsidR="00CC177E">
        <w:rPr>
          <w:lang w:val="en-US"/>
        </w:rPr>
        <w:t xml:space="preserve">Christ’s side.  </w:t>
      </w:r>
    </w:p>
    <w:p w14:paraId="0A5A957A" w14:textId="72215605" w:rsidR="00471558" w:rsidRDefault="00471558" w:rsidP="00B922D4">
      <w:pPr>
        <w:rPr>
          <w:lang w:val="en-US"/>
        </w:rPr>
      </w:pPr>
      <w:r>
        <w:rPr>
          <w:lang w:val="en-US"/>
        </w:rPr>
        <w:t>The sun, in the upper left of the block, appears as a mirror image, but with</w:t>
      </w:r>
      <w:r w:rsidR="0020743A">
        <w:rPr>
          <w:lang w:val="en-US"/>
        </w:rPr>
        <w:t xml:space="preserve"> t</w:t>
      </w:r>
      <w:r>
        <w:rPr>
          <w:lang w:val="en-US"/>
        </w:rPr>
        <w:t xml:space="preserve">he </w:t>
      </w:r>
      <w:proofErr w:type="spellStart"/>
      <w:r>
        <w:rPr>
          <w:lang w:val="en-US"/>
        </w:rPr>
        <w:t>colours</w:t>
      </w:r>
      <w:proofErr w:type="spellEnd"/>
      <w:r>
        <w:rPr>
          <w:lang w:val="en-US"/>
        </w:rPr>
        <w:t xml:space="preserve"> reversed, so the bright </w:t>
      </w:r>
      <w:proofErr w:type="spellStart"/>
      <w:r>
        <w:rPr>
          <w:lang w:val="en-US"/>
        </w:rPr>
        <w:t>centre</w:t>
      </w:r>
      <w:proofErr w:type="spellEnd"/>
      <w:r>
        <w:rPr>
          <w:lang w:val="en-US"/>
        </w:rPr>
        <w:t xml:space="preserve"> has become dark. The fine thread that linked to the eclipsed sun in Block 2 is here a thick strong line, which the top of Christ’s crucifix pushes upwards into an arc, allowing a sense of Christ’s energy to push upwards into the block</w:t>
      </w:r>
      <w:r w:rsidR="00C8731F">
        <w:rPr>
          <w:lang w:val="en-US"/>
        </w:rPr>
        <w:t xml:space="preserve">. Meanwhile, </w:t>
      </w:r>
      <w:r>
        <w:rPr>
          <w:lang w:val="en-US"/>
        </w:rPr>
        <w:t>the weight of the two suns pushes downwards onto the two thieves</w:t>
      </w:r>
      <w:r w:rsidR="00C8731F">
        <w:rPr>
          <w:lang w:val="en-US"/>
        </w:rPr>
        <w:t xml:space="preserve">, resulting in a </w:t>
      </w:r>
      <w:r w:rsidR="0020743A">
        <w:rPr>
          <w:lang w:val="en-US"/>
        </w:rPr>
        <w:t>powerful</w:t>
      </w:r>
      <w:r w:rsidR="00C8731F">
        <w:rPr>
          <w:lang w:val="en-US"/>
        </w:rPr>
        <w:t>ly compressed</w:t>
      </w:r>
      <w:r w:rsidR="0020743A">
        <w:rPr>
          <w:lang w:val="en-US"/>
        </w:rPr>
        <w:t xml:space="preserve"> </w:t>
      </w:r>
      <w:r>
        <w:rPr>
          <w:lang w:val="en-US"/>
        </w:rPr>
        <w:t>dynamic</w:t>
      </w:r>
      <w:r w:rsidR="0020743A">
        <w:rPr>
          <w:lang w:val="en-US"/>
        </w:rPr>
        <w:t>.</w:t>
      </w:r>
    </w:p>
    <w:p w14:paraId="764B7EFF" w14:textId="48B1B747" w:rsidR="003C2067" w:rsidRDefault="0020743A" w:rsidP="00B922D4">
      <w:pPr>
        <w:rPr>
          <w:lang w:val="en-US"/>
        </w:rPr>
      </w:pPr>
      <w:r>
        <w:rPr>
          <w:lang w:val="en-US"/>
        </w:rPr>
        <w:t xml:space="preserve">The background is of the same pale cream fabric as Block 1, with the same apparent simplicity. </w:t>
      </w:r>
    </w:p>
    <w:p w14:paraId="64D0E9A5" w14:textId="3DA04A64" w:rsidR="00C8731F" w:rsidRDefault="00C8731F" w:rsidP="00B922D4">
      <w:pPr>
        <w:rPr>
          <w:lang w:val="en-US"/>
        </w:rPr>
      </w:pPr>
    </w:p>
    <w:p w14:paraId="4952A3F0" w14:textId="7264CCE4" w:rsidR="00C8731F" w:rsidRPr="009A7B98" w:rsidRDefault="00C8731F" w:rsidP="00B922D4">
      <w:pPr>
        <w:rPr>
          <w:b/>
          <w:bCs/>
          <w:lang w:val="en-US"/>
        </w:rPr>
      </w:pPr>
      <w:r w:rsidRPr="009A7B98">
        <w:rPr>
          <w:b/>
          <w:bCs/>
          <w:lang w:val="en-US"/>
        </w:rPr>
        <w:t>Bibliography</w:t>
      </w:r>
    </w:p>
    <w:p w14:paraId="6844F2D4" w14:textId="548E3E09" w:rsidR="009A7B98" w:rsidRPr="009A7B98" w:rsidRDefault="009A7B98" w:rsidP="009A7B98">
      <w:pPr>
        <w:pStyle w:val="FootnoteText"/>
        <w:rPr>
          <w:sz w:val="22"/>
          <w:szCs w:val="22"/>
        </w:rPr>
      </w:pPr>
      <w:proofErr w:type="spellStart"/>
      <w:r w:rsidRPr="009A7B98">
        <w:rPr>
          <w:sz w:val="22"/>
          <w:szCs w:val="22"/>
        </w:rPr>
        <w:t>Fon</w:t>
      </w:r>
      <w:proofErr w:type="spellEnd"/>
      <w:r w:rsidRPr="009A7B98">
        <w:rPr>
          <w:sz w:val="22"/>
          <w:szCs w:val="22"/>
        </w:rPr>
        <w:t xml:space="preserve"> Art: </w:t>
      </w:r>
      <w:r w:rsidRPr="009A7B98">
        <w:rPr>
          <w:sz w:val="22"/>
          <w:szCs w:val="22"/>
        </w:rPr>
        <w:t>Smithsonian Museum of African Art, mid 20C, https://africa.si.edu/collections/search/Fon%20art</w:t>
      </w:r>
    </w:p>
    <w:p w14:paraId="378A72F4" w14:textId="77777777" w:rsidR="009A7B98" w:rsidRPr="009A7B98" w:rsidRDefault="009A7B98" w:rsidP="009A7B98">
      <w:pPr>
        <w:pStyle w:val="FootnoteText"/>
        <w:rPr>
          <w:sz w:val="22"/>
          <w:szCs w:val="22"/>
          <w:lang w:val="en-US"/>
        </w:rPr>
      </w:pPr>
    </w:p>
    <w:p w14:paraId="6EDF117E" w14:textId="6FEECF0F" w:rsidR="009A7B98" w:rsidRPr="009A7B98" w:rsidRDefault="009A7B98" w:rsidP="009A7B98">
      <w:pPr>
        <w:pStyle w:val="FootnoteText"/>
        <w:rPr>
          <w:sz w:val="22"/>
          <w:szCs w:val="22"/>
          <w:lang w:val="en-US"/>
        </w:rPr>
      </w:pPr>
      <w:r w:rsidRPr="009A7B98">
        <w:rPr>
          <w:sz w:val="22"/>
          <w:szCs w:val="22"/>
          <w:lang w:val="en-US"/>
        </w:rPr>
        <w:t>Pictorial Quilt, Museum of Fine Arts Boston, https://collections.mfa.org/objects/116166</w:t>
      </w:r>
    </w:p>
    <w:p w14:paraId="201532A7" w14:textId="77777777" w:rsidR="009A7B98" w:rsidRPr="009A7B98" w:rsidRDefault="009A7B98" w:rsidP="00B922D4">
      <w:pPr>
        <w:rPr>
          <w:lang w:val="en-US"/>
        </w:rPr>
      </w:pPr>
    </w:p>
    <w:p w14:paraId="271ED028" w14:textId="77777777" w:rsidR="009A7B98" w:rsidRPr="009A7B98" w:rsidRDefault="009A7B98" w:rsidP="009A7B98">
      <w:pPr>
        <w:pStyle w:val="FootnoteText"/>
        <w:rPr>
          <w:sz w:val="22"/>
          <w:szCs w:val="22"/>
        </w:rPr>
      </w:pPr>
      <w:proofErr w:type="spellStart"/>
      <w:r w:rsidRPr="009A7B98">
        <w:rPr>
          <w:sz w:val="22"/>
          <w:szCs w:val="22"/>
        </w:rPr>
        <w:t>Anadu</w:t>
      </w:r>
      <w:proofErr w:type="spellEnd"/>
      <w:r w:rsidRPr="009A7B98">
        <w:rPr>
          <w:sz w:val="22"/>
          <w:szCs w:val="22"/>
        </w:rPr>
        <w:t>, P.A</w:t>
      </w:r>
      <w:proofErr w:type="gramStart"/>
      <w:r w:rsidRPr="009A7B98">
        <w:rPr>
          <w:sz w:val="22"/>
          <w:szCs w:val="22"/>
        </w:rPr>
        <w:t xml:space="preserve">,  </w:t>
      </w:r>
      <w:proofErr w:type="spellStart"/>
      <w:r w:rsidRPr="009A7B98">
        <w:rPr>
          <w:sz w:val="22"/>
          <w:szCs w:val="22"/>
        </w:rPr>
        <w:t>Elamah</w:t>
      </w:r>
      <w:proofErr w:type="spellEnd"/>
      <w:proofErr w:type="gramEnd"/>
      <w:r w:rsidRPr="009A7B98">
        <w:rPr>
          <w:sz w:val="22"/>
          <w:szCs w:val="22"/>
        </w:rPr>
        <w:t xml:space="preserve">, P. P., and  Oates,  J. </w:t>
      </w:r>
      <w:proofErr w:type="spellStart"/>
      <w:r w:rsidRPr="009A7B98">
        <w:rPr>
          <w:sz w:val="22"/>
          <w:szCs w:val="22"/>
        </w:rPr>
        <w:t>F.,‘The</w:t>
      </w:r>
      <w:proofErr w:type="spellEnd"/>
      <w:r w:rsidRPr="009A7B98">
        <w:rPr>
          <w:sz w:val="22"/>
          <w:szCs w:val="22"/>
        </w:rPr>
        <w:t xml:space="preserve"> Bushmeat Trade in Southwestern Nigeria: A Case Study’, </w:t>
      </w:r>
      <w:r w:rsidRPr="009A7B98">
        <w:rPr>
          <w:i/>
          <w:iCs/>
          <w:sz w:val="22"/>
          <w:szCs w:val="22"/>
        </w:rPr>
        <w:t>Human Ecology</w:t>
      </w:r>
      <w:r w:rsidRPr="009A7B98">
        <w:rPr>
          <w:sz w:val="22"/>
          <w:szCs w:val="22"/>
        </w:rPr>
        <w:t>, Vol. 16. No. 2 (</w:t>
      </w:r>
      <w:proofErr w:type="gramStart"/>
      <w:r w:rsidRPr="009A7B98">
        <w:rPr>
          <w:sz w:val="22"/>
          <w:szCs w:val="22"/>
        </w:rPr>
        <w:t>Jun.,</w:t>
      </w:r>
      <w:proofErr w:type="gramEnd"/>
      <w:r w:rsidRPr="009A7B98">
        <w:rPr>
          <w:sz w:val="22"/>
          <w:szCs w:val="22"/>
        </w:rPr>
        <w:t xml:space="preserve"> 1988), pp. 199-208 p. 203 </w:t>
      </w:r>
      <w:hyperlink r:id="rId8" w:history="1">
        <w:r w:rsidRPr="009A7B98">
          <w:rPr>
            <w:rStyle w:val="Hyperlink"/>
            <w:sz w:val="22"/>
            <w:szCs w:val="22"/>
          </w:rPr>
          <w:t>https://www-jstor-org.ezproxy.uwtsd.ac.uk/stable/4602881?seq=5#metadata_info_tab_contents</w:t>
        </w:r>
      </w:hyperlink>
      <w:r w:rsidRPr="009A7B98">
        <w:rPr>
          <w:sz w:val="22"/>
          <w:szCs w:val="22"/>
        </w:rPr>
        <w:t xml:space="preserve"> [accessed 10 June 2021]</w:t>
      </w:r>
    </w:p>
    <w:p w14:paraId="6424617A" w14:textId="77777777" w:rsidR="009A7B98" w:rsidRPr="009A7B98" w:rsidRDefault="009A7B98" w:rsidP="009A7B98">
      <w:pPr>
        <w:pStyle w:val="FootnoteText"/>
        <w:rPr>
          <w:sz w:val="22"/>
          <w:szCs w:val="22"/>
        </w:rPr>
      </w:pPr>
    </w:p>
    <w:p w14:paraId="700B9485" w14:textId="77777777" w:rsidR="009A7B98" w:rsidRPr="009A7B98" w:rsidRDefault="009A7B98" w:rsidP="009A7B98">
      <w:pPr>
        <w:pStyle w:val="FootnoteText"/>
        <w:rPr>
          <w:sz w:val="22"/>
          <w:szCs w:val="22"/>
          <w:lang w:val="en-US"/>
        </w:rPr>
      </w:pPr>
      <w:r w:rsidRPr="009A7B98">
        <w:rPr>
          <w:sz w:val="22"/>
          <w:szCs w:val="22"/>
        </w:rPr>
        <w:lastRenderedPageBreak/>
        <w:t>Bible Gateway</w:t>
      </w:r>
      <w:r w:rsidRPr="009A7B98">
        <w:rPr>
          <w:i/>
          <w:iCs/>
          <w:sz w:val="22"/>
          <w:szCs w:val="22"/>
        </w:rPr>
        <w:t>, biblegateway.com</w:t>
      </w:r>
      <w:r w:rsidRPr="009A7B98">
        <w:rPr>
          <w:sz w:val="22"/>
          <w:szCs w:val="22"/>
        </w:rPr>
        <w:t>, &lt;/https://www.biblegateway.com/passage/?search=Job+38+-+41&amp;version=NIV&gt; [accessed 10 June 2021]</w:t>
      </w:r>
    </w:p>
    <w:p w14:paraId="24CEA864" w14:textId="77777777" w:rsidR="009A7B98" w:rsidRPr="009A7B98" w:rsidRDefault="009A7B98" w:rsidP="00B922D4">
      <w:pPr>
        <w:rPr>
          <w:lang w:val="en-US"/>
        </w:rPr>
      </w:pPr>
    </w:p>
    <w:p w14:paraId="15CCA701" w14:textId="77777777" w:rsidR="009A7B98" w:rsidRPr="009A7B98" w:rsidRDefault="009A7B98" w:rsidP="009A7B98">
      <w:pPr>
        <w:pStyle w:val="FootnoteText"/>
        <w:rPr>
          <w:sz w:val="22"/>
          <w:szCs w:val="22"/>
          <w:lang w:val="en-US"/>
        </w:rPr>
      </w:pPr>
      <w:r w:rsidRPr="009A7B98">
        <w:rPr>
          <w:sz w:val="22"/>
          <w:szCs w:val="22"/>
        </w:rPr>
        <w:t xml:space="preserve">Crisostomo, Kyla, </w:t>
      </w:r>
      <w:r w:rsidRPr="009A7B98">
        <w:rPr>
          <w:i/>
          <w:iCs/>
          <w:sz w:val="22"/>
          <w:szCs w:val="22"/>
        </w:rPr>
        <w:t>The Common Thread: Quilt Grids, National Museum of Women in the Arts</w:t>
      </w:r>
      <w:r w:rsidRPr="009A7B98">
        <w:rPr>
          <w:sz w:val="22"/>
          <w:szCs w:val="22"/>
        </w:rPr>
        <w:t xml:space="preserve">, 2014, </w:t>
      </w:r>
      <w:hyperlink r:id="rId9" w:history="1">
        <w:r w:rsidRPr="009A7B98">
          <w:rPr>
            <w:rStyle w:val="Hyperlink"/>
            <w:sz w:val="22"/>
            <w:szCs w:val="22"/>
          </w:rPr>
          <w:t>https://nmwa.org/blog/artist-spotlight/the-common-thread-quilt-grids/</w:t>
        </w:r>
      </w:hyperlink>
      <w:r w:rsidRPr="009A7B98">
        <w:rPr>
          <w:sz w:val="22"/>
          <w:szCs w:val="22"/>
        </w:rPr>
        <w:t xml:space="preserve"> [accessed 10 June 2021]</w:t>
      </w:r>
    </w:p>
    <w:p w14:paraId="0D692567" w14:textId="77777777" w:rsidR="009A7B98" w:rsidRPr="009A7B98" w:rsidRDefault="009A7B98" w:rsidP="00B922D4">
      <w:pPr>
        <w:rPr>
          <w:lang w:val="en-US"/>
        </w:rPr>
      </w:pPr>
    </w:p>
    <w:p w14:paraId="04967574" w14:textId="5C1285D3" w:rsidR="00C8731F" w:rsidRPr="009A7B98" w:rsidRDefault="00C8731F" w:rsidP="00B922D4">
      <w:pPr>
        <w:rPr>
          <w:lang w:val="en-US"/>
        </w:rPr>
      </w:pPr>
      <w:r w:rsidRPr="009A7B98">
        <w:rPr>
          <w:lang w:val="en-US"/>
        </w:rPr>
        <w:t>Hicks, Kyra, E.</w:t>
      </w:r>
      <w:r w:rsidR="009A7B98" w:rsidRPr="009A7B98">
        <w:rPr>
          <w:lang w:val="en-US"/>
        </w:rPr>
        <w:t>,</w:t>
      </w:r>
      <w:r w:rsidRPr="009A7B98">
        <w:rPr>
          <w:lang w:val="en-US"/>
        </w:rPr>
        <w:t xml:space="preserve"> </w:t>
      </w:r>
      <w:r w:rsidRPr="009A7B98">
        <w:rPr>
          <w:i/>
          <w:iCs/>
          <w:lang w:val="en-US"/>
        </w:rPr>
        <w:t>This I Accomplish: Harriet Powers' Bible Quilt and Other Pieces</w:t>
      </w:r>
      <w:r w:rsidR="009A7B98" w:rsidRPr="009A7B98">
        <w:rPr>
          <w:lang w:val="en-US"/>
        </w:rPr>
        <w:t>, Kansas City, B</w:t>
      </w:r>
      <w:r w:rsidRPr="009A7B98">
        <w:rPr>
          <w:lang w:val="en-US"/>
        </w:rPr>
        <w:t xml:space="preserve">lack </w:t>
      </w:r>
      <w:r w:rsidR="009A7B98" w:rsidRPr="009A7B98">
        <w:rPr>
          <w:lang w:val="en-US"/>
        </w:rPr>
        <w:t>T</w:t>
      </w:r>
      <w:r w:rsidRPr="009A7B98">
        <w:rPr>
          <w:lang w:val="en-US"/>
        </w:rPr>
        <w:t xml:space="preserve">hreads </w:t>
      </w:r>
      <w:r w:rsidR="009A7B98" w:rsidRPr="009A7B98">
        <w:rPr>
          <w:lang w:val="en-US"/>
        </w:rPr>
        <w:t>P</w:t>
      </w:r>
      <w:r w:rsidRPr="009A7B98">
        <w:rPr>
          <w:lang w:val="en-US"/>
        </w:rPr>
        <w:t xml:space="preserve">ress </w:t>
      </w:r>
      <w:r w:rsidR="009A7B98" w:rsidRPr="009A7B98">
        <w:rPr>
          <w:lang w:val="en-US"/>
        </w:rPr>
        <w:t>(</w:t>
      </w:r>
      <w:r w:rsidRPr="009A7B98">
        <w:rPr>
          <w:lang w:val="en-US"/>
        </w:rPr>
        <w:t>2009</w:t>
      </w:r>
      <w:r w:rsidR="009A7B98" w:rsidRPr="009A7B98">
        <w:rPr>
          <w:lang w:val="en-US"/>
        </w:rPr>
        <w:t>)</w:t>
      </w:r>
    </w:p>
    <w:p w14:paraId="499E574F" w14:textId="77777777" w:rsidR="009A7B98" w:rsidRPr="009A7B98" w:rsidRDefault="009A7B98" w:rsidP="009A7B98">
      <w:pPr>
        <w:pStyle w:val="FootnoteText"/>
        <w:rPr>
          <w:sz w:val="22"/>
          <w:szCs w:val="22"/>
          <w:lang w:val="en-US"/>
        </w:rPr>
      </w:pPr>
      <w:r w:rsidRPr="009A7B98">
        <w:rPr>
          <w:sz w:val="22"/>
          <w:szCs w:val="22"/>
        </w:rPr>
        <w:t xml:space="preserve">Kelly, Margot Anne, ‘Sisters’ Choices Quilting Aesthetics of African American Women’s Fiction’, in </w:t>
      </w:r>
      <w:r w:rsidRPr="009A7B98">
        <w:rPr>
          <w:i/>
          <w:iCs/>
          <w:sz w:val="22"/>
          <w:szCs w:val="22"/>
        </w:rPr>
        <w:t>Quilt Culture Tracing the Pattern</w:t>
      </w:r>
      <w:r w:rsidRPr="009A7B98">
        <w:rPr>
          <w:sz w:val="22"/>
          <w:szCs w:val="22"/>
        </w:rPr>
        <w:t xml:space="preserve">, eds. Cheryl B. </w:t>
      </w:r>
      <w:proofErr w:type="spellStart"/>
      <w:r w:rsidRPr="009A7B98">
        <w:rPr>
          <w:sz w:val="22"/>
          <w:szCs w:val="22"/>
        </w:rPr>
        <w:t>Torsney</w:t>
      </w:r>
      <w:proofErr w:type="spellEnd"/>
      <w:r w:rsidRPr="009A7B98">
        <w:rPr>
          <w:sz w:val="22"/>
          <w:szCs w:val="22"/>
        </w:rPr>
        <w:t xml:space="preserve">, Judy </w:t>
      </w:r>
      <w:proofErr w:type="spellStart"/>
      <w:r w:rsidRPr="009A7B98">
        <w:rPr>
          <w:sz w:val="22"/>
          <w:szCs w:val="22"/>
        </w:rPr>
        <w:t>Elsley</w:t>
      </w:r>
      <w:proofErr w:type="spellEnd"/>
      <w:proofErr w:type="gramStart"/>
      <w:r w:rsidRPr="009A7B98">
        <w:rPr>
          <w:sz w:val="22"/>
          <w:szCs w:val="22"/>
        </w:rPr>
        <w:t>, ,</w:t>
      </w:r>
      <w:proofErr w:type="gramEnd"/>
      <w:r w:rsidRPr="009A7B98">
        <w:rPr>
          <w:sz w:val="22"/>
          <w:szCs w:val="22"/>
        </w:rPr>
        <w:t xml:space="preserve"> (University of Missouri Press 1994) https://www.google.co.uk/books/edition/_/lomDOyliLJsC?hl=en&amp;gbpv=1 [accessed 10 June 2021]</w:t>
      </w:r>
    </w:p>
    <w:p w14:paraId="00B3A914" w14:textId="77777777" w:rsidR="00153F2F" w:rsidRPr="009A7B98" w:rsidRDefault="00153F2F" w:rsidP="00B922D4">
      <w:pPr>
        <w:rPr>
          <w:lang w:val="en-US"/>
        </w:rPr>
      </w:pPr>
    </w:p>
    <w:p w14:paraId="5DFCD7A6" w14:textId="51D2026B" w:rsidR="00C8731F" w:rsidRPr="009A7B98" w:rsidRDefault="00290D25" w:rsidP="00B922D4">
      <w:pPr>
        <w:rPr>
          <w:lang w:val="en-US"/>
        </w:rPr>
      </w:pPr>
      <w:proofErr w:type="spellStart"/>
      <w:r w:rsidRPr="009A7B98">
        <w:rPr>
          <w:lang w:val="en-US"/>
        </w:rPr>
        <w:t>Riveira</w:t>
      </w:r>
      <w:proofErr w:type="spellEnd"/>
      <w:r w:rsidR="00153F2F" w:rsidRPr="009A7B98">
        <w:rPr>
          <w:lang w:val="en-US"/>
        </w:rPr>
        <w:t xml:space="preserve">, Elena </w:t>
      </w:r>
      <w:r w:rsidR="00153F2F" w:rsidRPr="009A7B98">
        <w:t xml:space="preserve">Mª </w:t>
      </w:r>
      <w:proofErr w:type="spellStart"/>
      <w:r w:rsidR="00153F2F" w:rsidRPr="009A7B98">
        <w:t>Calviño</w:t>
      </w:r>
      <w:proofErr w:type="spellEnd"/>
      <w:r w:rsidR="00153F2F" w:rsidRPr="009A7B98">
        <w:rPr>
          <w:lang w:val="en-US"/>
        </w:rPr>
        <w:t xml:space="preserve">, </w:t>
      </w:r>
      <w:r w:rsidRPr="009A7B98">
        <w:rPr>
          <w:i/>
          <w:iCs/>
          <w:lang w:val="en-US"/>
        </w:rPr>
        <w:t xml:space="preserve">The Quilt </w:t>
      </w:r>
      <w:proofErr w:type="gramStart"/>
      <w:r w:rsidRPr="009A7B98">
        <w:rPr>
          <w:i/>
          <w:iCs/>
          <w:lang w:val="en-US"/>
        </w:rPr>
        <w:t>As</w:t>
      </w:r>
      <w:proofErr w:type="gramEnd"/>
      <w:r w:rsidRPr="009A7B98">
        <w:rPr>
          <w:i/>
          <w:iCs/>
          <w:lang w:val="en-US"/>
        </w:rPr>
        <w:t xml:space="preserve"> Text: Reading Women’s Culture In American Short Stories (1845-1988)</w:t>
      </w:r>
      <w:r w:rsidRPr="009A7B98">
        <w:rPr>
          <w:lang w:val="en-US"/>
        </w:rPr>
        <w:t xml:space="preserve">, Unpublished PhD thesis, </w:t>
      </w:r>
      <w:proofErr w:type="spellStart"/>
      <w:r w:rsidRPr="009A7B98">
        <w:rPr>
          <w:lang w:val="en-US"/>
        </w:rPr>
        <w:t>Universidade</w:t>
      </w:r>
      <w:proofErr w:type="spellEnd"/>
      <w:r w:rsidRPr="009A7B98">
        <w:rPr>
          <w:lang w:val="en-US"/>
        </w:rPr>
        <w:t xml:space="preserve"> de Santiago de Compostela (2006).</w:t>
      </w:r>
    </w:p>
    <w:p w14:paraId="177A066E" w14:textId="77777777" w:rsidR="00C8731F" w:rsidRPr="009A7B98" w:rsidRDefault="00C8731F" w:rsidP="00C8731F">
      <w:pPr>
        <w:pStyle w:val="FootnoteText"/>
        <w:rPr>
          <w:sz w:val="22"/>
          <w:szCs w:val="22"/>
        </w:rPr>
      </w:pPr>
    </w:p>
    <w:p w14:paraId="42FD87C0" w14:textId="48A2BEC1" w:rsidR="00C8731F" w:rsidRPr="009A7B98" w:rsidRDefault="00C8731F" w:rsidP="00C8731F">
      <w:pPr>
        <w:pStyle w:val="FootnoteText"/>
        <w:rPr>
          <w:sz w:val="22"/>
          <w:szCs w:val="22"/>
          <w:lang w:val="en-US"/>
        </w:rPr>
      </w:pPr>
      <w:r w:rsidRPr="009A7B98">
        <w:rPr>
          <w:sz w:val="22"/>
          <w:szCs w:val="22"/>
        </w:rPr>
        <w:t xml:space="preserve">Schneider, </w:t>
      </w:r>
      <w:r w:rsidR="00153F2F" w:rsidRPr="009A7B98">
        <w:rPr>
          <w:sz w:val="22"/>
          <w:szCs w:val="22"/>
        </w:rPr>
        <w:t>Mark, A., ‘</w:t>
      </w:r>
      <w:r w:rsidRPr="009A7B98">
        <w:rPr>
          <w:sz w:val="22"/>
          <w:szCs w:val="22"/>
        </w:rPr>
        <w:t>Culture-as-Text in the Work of Clifford Geertz</w:t>
      </w:r>
      <w:r w:rsidR="00153F2F" w:rsidRPr="009A7B98">
        <w:rPr>
          <w:sz w:val="22"/>
          <w:szCs w:val="22"/>
        </w:rPr>
        <w:t>’</w:t>
      </w:r>
      <w:r w:rsidRPr="009A7B98">
        <w:rPr>
          <w:sz w:val="22"/>
          <w:szCs w:val="22"/>
        </w:rPr>
        <w:t xml:space="preserve">, </w:t>
      </w:r>
      <w:r w:rsidRPr="009A7B98">
        <w:rPr>
          <w:i/>
          <w:iCs/>
          <w:sz w:val="22"/>
          <w:szCs w:val="22"/>
        </w:rPr>
        <w:t>Theory and Society</w:t>
      </w:r>
      <w:r w:rsidRPr="009A7B98">
        <w:rPr>
          <w:sz w:val="22"/>
          <w:szCs w:val="22"/>
        </w:rPr>
        <w:t>, Vol. 16</w:t>
      </w:r>
      <w:r w:rsidR="00153F2F" w:rsidRPr="009A7B98">
        <w:rPr>
          <w:sz w:val="22"/>
          <w:szCs w:val="22"/>
        </w:rPr>
        <w:t xml:space="preserve">. </w:t>
      </w:r>
      <w:r w:rsidRPr="009A7B98">
        <w:rPr>
          <w:sz w:val="22"/>
          <w:szCs w:val="22"/>
        </w:rPr>
        <w:t>No. 6 (</w:t>
      </w:r>
      <w:proofErr w:type="gramStart"/>
      <w:r w:rsidRPr="009A7B98">
        <w:rPr>
          <w:sz w:val="22"/>
          <w:szCs w:val="22"/>
        </w:rPr>
        <w:t>Nov.,</w:t>
      </w:r>
      <w:proofErr w:type="gramEnd"/>
      <w:r w:rsidRPr="009A7B98">
        <w:rPr>
          <w:sz w:val="22"/>
          <w:szCs w:val="22"/>
        </w:rPr>
        <w:t xml:space="preserve"> 1987), pp. 809-839&lt; https://www-jstor-org.ezproxy.uwtsd.ac.uk/stable/657539?seq=1#metadata_info_tab_contents&gt; [accessed 10 June 2021]</w:t>
      </w:r>
    </w:p>
    <w:p w14:paraId="4BCE4240" w14:textId="77777777" w:rsidR="00C8731F" w:rsidRPr="009A7B98" w:rsidRDefault="00C8731F" w:rsidP="00C8731F">
      <w:pPr>
        <w:pStyle w:val="FootnoteText"/>
        <w:rPr>
          <w:sz w:val="22"/>
          <w:szCs w:val="22"/>
        </w:rPr>
      </w:pPr>
    </w:p>
    <w:p w14:paraId="1C30EF59" w14:textId="77777777" w:rsidR="00C8731F" w:rsidRPr="009A7B98" w:rsidRDefault="00C8731F" w:rsidP="00C8731F">
      <w:pPr>
        <w:pStyle w:val="FootnoteText"/>
        <w:rPr>
          <w:sz w:val="22"/>
          <w:szCs w:val="22"/>
        </w:rPr>
      </w:pPr>
    </w:p>
    <w:p w14:paraId="76DC9906" w14:textId="2AD5F711" w:rsidR="00C8731F" w:rsidRPr="009A7B98" w:rsidRDefault="00C8731F" w:rsidP="00C8731F">
      <w:pPr>
        <w:pStyle w:val="FootnoteText"/>
        <w:rPr>
          <w:sz w:val="22"/>
          <w:szCs w:val="22"/>
          <w:lang w:val="en-US"/>
        </w:rPr>
      </w:pPr>
      <w:proofErr w:type="spellStart"/>
      <w:r w:rsidRPr="009A7B98">
        <w:rPr>
          <w:sz w:val="22"/>
          <w:szCs w:val="22"/>
        </w:rPr>
        <w:t>Tutter</w:t>
      </w:r>
      <w:proofErr w:type="spellEnd"/>
      <w:r w:rsidRPr="009A7B98">
        <w:rPr>
          <w:sz w:val="22"/>
          <w:szCs w:val="22"/>
        </w:rPr>
        <w:t xml:space="preserve">, </w:t>
      </w:r>
      <w:r w:rsidR="00153F2F" w:rsidRPr="009A7B98">
        <w:rPr>
          <w:sz w:val="22"/>
          <w:szCs w:val="22"/>
        </w:rPr>
        <w:t xml:space="preserve">Catherine, </w:t>
      </w:r>
      <w:r w:rsidRPr="009A7B98">
        <w:rPr>
          <w:i/>
          <w:iCs/>
          <w:sz w:val="22"/>
          <w:szCs w:val="22"/>
        </w:rPr>
        <w:t xml:space="preserve">This I Accomplish, Part III (in memory of </w:t>
      </w:r>
      <w:proofErr w:type="spellStart"/>
      <w:r w:rsidRPr="009A7B98">
        <w:rPr>
          <w:i/>
          <w:iCs/>
          <w:sz w:val="22"/>
          <w:szCs w:val="22"/>
        </w:rPr>
        <w:t>Dr.</w:t>
      </w:r>
      <w:proofErr w:type="spellEnd"/>
      <w:r w:rsidRPr="009A7B98">
        <w:rPr>
          <w:i/>
          <w:iCs/>
          <w:sz w:val="22"/>
          <w:szCs w:val="22"/>
        </w:rPr>
        <w:t xml:space="preserve"> </w:t>
      </w:r>
      <w:proofErr w:type="spellStart"/>
      <w:r w:rsidRPr="009A7B98">
        <w:rPr>
          <w:i/>
          <w:iCs/>
          <w:sz w:val="22"/>
          <w:szCs w:val="22"/>
        </w:rPr>
        <w:t>Monni</w:t>
      </w:r>
      <w:proofErr w:type="spellEnd"/>
      <w:r w:rsidRPr="009A7B98">
        <w:rPr>
          <w:i/>
          <w:iCs/>
          <w:sz w:val="22"/>
          <w:szCs w:val="22"/>
        </w:rPr>
        <w:t xml:space="preserve"> Adams, 1920-2014), Textiles in Context</w:t>
      </w:r>
      <w:r w:rsidRPr="009A7B98">
        <w:rPr>
          <w:sz w:val="22"/>
          <w:szCs w:val="22"/>
        </w:rPr>
        <w:t xml:space="preserve"> </w:t>
      </w:r>
      <w:hyperlink r:id="rId10" w:history="1">
        <w:r w:rsidR="00153F2F" w:rsidRPr="009A7B98">
          <w:rPr>
            <w:rStyle w:val="Hyperlink"/>
            <w:sz w:val="22"/>
            <w:szCs w:val="22"/>
          </w:rPr>
          <w:t>https://textilesincontext.net/tag/harriet-powers/</w:t>
        </w:r>
      </w:hyperlink>
      <w:r w:rsidR="00153F2F" w:rsidRPr="009A7B98">
        <w:rPr>
          <w:sz w:val="22"/>
          <w:szCs w:val="22"/>
        </w:rPr>
        <w:t xml:space="preserve"> [accessed 10 June 2021}</w:t>
      </w:r>
    </w:p>
    <w:p w14:paraId="5D56972A" w14:textId="77777777" w:rsidR="00C8731F" w:rsidRDefault="00C8731F" w:rsidP="00C8731F">
      <w:pPr>
        <w:pStyle w:val="FootnoteText"/>
      </w:pPr>
    </w:p>
    <w:p w14:paraId="25F2F79B" w14:textId="6D741D1E" w:rsidR="00C8731F" w:rsidRPr="00C8731F" w:rsidRDefault="00C8731F" w:rsidP="00B922D4">
      <w:pPr>
        <w:rPr>
          <w:b/>
          <w:bCs/>
          <w:lang w:val="en-US"/>
        </w:rPr>
      </w:pPr>
    </w:p>
    <w:sectPr w:rsidR="00C8731F" w:rsidRPr="00C873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C599D" w14:textId="77777777" w:rsidR="00FE04C2" w:rsidRDefault="00FE04C2" w:rsidP="00FE04C2">
      <w:pPr>
        <w:spacing w:after="0" w:line="240" w:lineRule="auto"/>
      </w:pPr>
      <w:r>
        <w:separator/>
      </w:r>
    </w:p>
  </w:endnote>
  <w:endnote w:type="continuationSeparator" w:id="0">
    <w:p w14:paraId="28879260" w14:textId="77777777" w:rsidR="00FE04C2" w:rsidRDefault="00FE04C2" w:rsidP="00FE0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82326" w14:textId="77777777" w:rsidR="00FE04C2" w:rsidRDefault="00FE04C2" w:rsidP="00FE04C2">
      <w:pPr>
        <w:spacing w:after="0" w:line="240" w:lineRule="auto"/>
      </w:pPr>
      <w:r>
        <w:separator/>
      </w:r>
    </w:p>
  </w:footnote>
  <w:footnote w:type="continuationSeparator" w:id="0">
    <w:p w14:paraId="51121720" w14:textId="77777777" w:rsidR="00FE04C2" w:rsidRDefault="00FE04C2" w:rsidP="00FE04C2">
      <w:pPr>
        <w:spacing w:after="0" w:line="240" w:lineRule="auto"/>
      </w:pPr>
      <w:r>
        <w:continuationSeparator/>
      </w:r>
    </w:p>
  </w:footnote>
  <w:footnote w:id="1">
    <w:p w14:paraId="0EFA1A0F" w14:textId="61EDDDFB" w:rsidR="001424C6" w:rsidRPr="001424C6" w:rsidRDefault="001424C6">
      <w:pPr>
        <w:pStyle w:val="FootnoteText"/>
        <w:rPr>
          <w:lang w:val="en-US"/>
        </w:rPr>
      </w:pPr>
      <w:r>
        <w:rPr>
          <w:rStyle w:val="FootnoteReference"/>
        </w:rPr>
        <w:footnoteRef/>
      </w:r>
      <w:r>
        <w:t xml:space="preserve"> </w:t>
      </w:r>
      <w:r w:rsidRPr="001424C6">
        <w:t xml:space="preserve">Elena Mª </w:t>
      </w:r>
      <w:proofErr w:type="spellStart"/>
      <w:r w:rsidRPr="001424C6">
        <w:t>Calviño</w:t>
      </w:r>
      <w:proofErr w:type="spellEnd"/>
      <w:r w:rsidRPr="001424C6">
        <w:t xml:space="preserve"> </w:t>
      </w:r>
      <w:proofErr w:type="spellStart"/>
      <w:r w:rsidRPr="001424C6">
        <w:t>Riveira</w:t>
      </w:r>
      <w:proofErr w:type="spellEnd"/>
      <w:r w:rsidRPr="001424C6">
        <w:t xml:space="preserve">: </w:t>
      </w:r>
      <w:r w:rsidR="00290D25" w:rsidRPr="00290D25">
        <w:rPr>
          <w:i/>
          <w:iCs/>
        </w:rPr>
        <w:t xml:space="preserve">The Quilt </w:t>
      </w:r>
      <w:proofErr w:type="gramStart"/>
      <w:r w:rsidR="00290D25" w:rsidRPr="00290D25">
        <w:rPr>
          <w:i/>
          <w:iCs/>
        </w:rPr>
        <w:t>As</w:t>
      </w:r>
      <w:proofErr w:type="gramEnd"/>
      <w:r w:rsidR="00290D25" w:rsidRPr="00290D25">
        <w:rPr>
          <w:i/>
          <w:iCs/>
        </w:rPr>
        <w:t xml:space="preserve"> Text: Reading Women’s Culture In American Short </w:t>
      </w:r>
      <w:r w:rsidR="00290D25" w:rsidRPr="00290D25">
        <w:t xml:space="preserve">Stories </w:t>
      </w:r>
      <w:r w:rsidRPr="00290D25">
        <w:t>(1845-1988)</w:t>
      </w:r>
      <w:r w:rsidRPr="001424C6">
        <w:t xml:space="preserve">, </w:t>
      </w:r>
      <w:r w:rsidR="00290D25">
        <w:t xml:space="preserve">Unpublished </w:t>
      </w:r>
      <w:r w:rsidRPr="001424C6">
        <w:t xml:space="preserve">PhD thesis, </w:t>
      </w:r>
      <w:proofErr w:type="spellStart"/>
      <w:r w:rsidRPr="001424C6">
        <w:t>Universidade</w:t>
      </w:r>
      <w:proofErr w:type="spellEnd"/>
      <w:r w:rsidRPr="001424C6">
        <w:t xml:space="preserve"> de Santiago de Compostela</w:t>
      </w:r>
      <w:r w:rsidR="00290D25">
        <w:t xml:space="preserve"> (</w:t>
      </w:r>
      <w:r w:rsidRPr="001424C6">
        <w:t>2006</w:t>
      </w:r>
      <w:r w:rsidR="00290D25">
        <w:t>).</w:t>
      </w:r>
    </w:p>
  </w:footnote>
  <w:footnote w:id="2">
    <w:p w14:paraId="4FCD160D" w14:textId="203961B7" w:rsidR="002A6346" w:rsidRPr="002A6346" w:rsidRDefault="002A6346">
      <w:pPr>
        <w:pStyle w:val="FootnoteText"/>
        <w:rPr>
          <w:lang w:val="en-US"/>
        </w:rPr>
      </w:pPr>
      <w:r>
        <w:rPr>
          <w:rStyle w:val="FootnoteReference"/>
        </w:rPr>
        <w:footnoteRef/>
      </w:r>
      <w:r>
        <w:t xml:space="preserve"> </w:t>
      </w:r>
      <w:r w:rsidRPr="002A6346">
        <w:t xml:space="preserve">Mark A. Schneider, </w:t>
      </w:r>
      <w:r w:rsidR="00153F2F">
        <w:t>‘</w:t>
      </w:r>
      <w:r w:rsidRPr="002A6346">
        <w:t>Culture-as-Text in the Work of Clifford Geertz</w:t>
      </w:r>
      <w:r w:rsidR="00153F2F">
        <w:t>’</w:t>
      </w:r>
      <w:r w:rsidRPr="002A6346">
        <w:t xml:space="preserve">, </w:t>
      </w:r>
      <w:r w:rsidRPr="00153F2F">
        <w:rPr>
          <w:i/>
          <w:iCs/>
        </w:rPr>
        <w:t>Theory and Society</w:t>
      </w:r>
      <w:r w:rsidRPr="002A6346">
        <w:t>, Vol. 16</w:t>
      </w:r>
      <w:r w:rsidR="00153F2F">
        <w:t>.</w:t>
      </w:r>
      <w:r w:rsidRPr="002A6346">
        <w:t xml:space="preserve"> No. 6 (</w:t>
      </w:r>
      <w:proofErr w:type="gramStart"/>
      <w:r w:rsidRPr="002A6346">
        <w:t>Nov.,</w:t>
      </w:r>
      <w:proofErr w:type="gramEnd"/>
      <w:r w:rsidRPr="002A6346">
        <w:t xml:space="preserve"> 1987), pp. 809-839</w:t>
      </w:r>
      <w:r>
        <w:t>, p. 809</w:t>
      </w:r>
      <w:r w:rsidRPr="002A6346">
        <w:t xml:space="preserve"> &lt; https://www-jstor-org.ezproxy.uwtsd.ac.uk/stable/657539?seq=1#metadata_info_tab_contents&gt; </w:t>
      </w:r>
      <w:r>
        <w:t>[</w:t>
      </w:r>
      <w:r w:rsidRPr="002A6346">
        <w:t>accessed 10 June 2021</w:t>
      </w:r>
      <w:r>
        <w:t>]</w:t>
      </w:r>
      <w:r w:rsidR="00153F2F">
        <w:t>.</w:t>
      </w:r>
    </w:p>
  </w:footnote>
  <w:footnote w:id="3">
    <w:p w14:paraId="69AC1765" w14:textId="2BD1871E" w:rsidR="002A6346" w:rsidRPr="002A6346" w:rsidRDefault="002A6346">
      <w:pPr>
        <w:pStyle w:val="FootnoteText"/>
        <w:rPr>
          <w:lang w:val="en-US"/>
        </w:rPr>
      </w:pPr>
      <w:r>
        <w:rPr>
          <w:rStyle w:val="FootnoteReference"/>
        </w:rPr>
        <w:footnoteRef/>
      </w:r>
      <w:r>
        <w:t xml:space="preserve"> </w:t>
      </w:r>
      <w:r w:rsidRPr="002A6346">
        <w:t xml:space="preserve">Schneider, </w:t>
      </w:r>
      <w:r w:rsidR="00153F2F">
        <w:t>‘</w:t>
      </w:r>
      <w:r w:rsidRPr="002A6346">
        <w:t>Culture-as-Text</w:t>
      </w:r>
      <w:r w:rsidR="00153F2F">
        <w:t>’,</w:t>
      </w:r>
      <w:r w:rsidRPr="002A6346">
        <w:t xml:space="preserve"> </w:t>
      </w:r>
      <w:r>
        <w:t>p. 8</w:t>
      </w:r>
      <w:r>
        <w:t>10</w:t>
      </w:r>
      <w:r w:rsidRPr="002A6346">
        <w:t xml:space="preserve"> &lt; https://www-jstor-org.ezproxy.uwtsd.ac.uk/stable/657539?seq=1#metadata_info_tab_contents&gt; </w:t>
      </w:r>
      <w:r>
        <w:t>[</w:t>
      </w:r>
      <w:r w:rsidRPr="002A6346">
        <w:t>accessed 10 June 2021</w:t>
      </w:r>
      <w:r>
        <w:t>]</w:t>
      </w:r>
      <w:r w:rsidR="00153F2F">
        <w:t>.</w:t>
      </w:r>
    </w:p>
  </w:footnote>
  <w:footnote w:id="4">
    <w:p w14:paraId="5B645BDA" w14:textId="69A64C7F" w:rsidR="002B736D" w:rsidRPr="002B736D" w:rsidRDefault="002B736D">
      <w:pPr>
        <w:pStyle w:val="FootnoteText"/>
        <w:rPr>
          <w:lang w:val="en-US"/>
        </w:rPr>
      </w:pPr>
      <w:r>
        <w:rPr>
          <w:rStyle w:val="FootnoteReference"/>
        </w:rPr>
        <w:footnoteRef/>
      </w:r>
      <w:r w:rsidR="00153F2F">
        <w:t xml:space="preserve"> </w:t>
      </w:r>
      <w:r w:rsidR="00153F2F" w:rsidRPr="002B736D">
        <w:t xml:space="preserve">Kyla </w:t>
      </w:r>
      <w:r w:rsidRPr="002B736D">
        <w:t xml:space="preserve">Crisostomo, </w:t>
      </w:r>
      <w:r w:rsidRPr="00153F2F">
        <w:rPr>
          <w:i/>
          <w:iCs/>
        </w:rPr>
        <w:t>The Common Thread: Quilt Grids, National Museum of Women in the Arts</w:t>
      </w:r>
      <w:r w:rsidRPr="002B736D">
        <w:t xml:space="preserve">, 2014, </w:t>
      </w:r>
      <w:hyperlink r:id="rId1" w:history="1">
        <w:r w:rsidR="00153F2F" w:rsidRPr="00D16764">
          <w:rPr>
            <w:rStyle w:val="Hyperlink"/>
          </w:rPr>
          <w:t>https://nmwa.org/blog/artist-spotlight/the-common-thread-quilt-grids/</w:t>
        </w:r>
        <w:r w:rsidR="00153F2F" w:rsidRPr="00D16764">
          <w:rPr>
            <w:rStyle w:val="Hyperlink"/>
          </w:rPr>
          <w:t>[accessed</w:t>
        </w:r>
      </w:hyperlink>
      <w:r w:rsidR="00153F2F">
        <w:t xml:space="preserve"> 10 June 2021.</w:t>
      </w:r>
    </w:p>
  </w:footnote>
  <w:footnote w:id="5">
    <w:p w14:paraId="52810F3C" w14:textId="478E3C6A" w:rsidR="00D40D96" w:rsidRPr="00D40D96" w:rsidRDefault="00D40D96">
      <w:pPr>
        <w:pStyle w:val="FootnoteText"/>
        <w:rPr>
          <w:lang w:val="en-US"/>
        </w:rPr>
      </w:pPr>
      <w:r>
        <w:rPr>
          <w:rStyle w:val="FootnoteReference"/>
        </w:rPr>
        <w:footnoteRef/>
      </w:r>
      <w:r>
        <w:t xml:space="preserve"> Catherine </w:t>
      </w:r>
      <w:proofErr w:type="spellStart"/>
      <w:r>
        <w:t>Tutter</w:t>
      </w:r>
      <w:proofErr w:type="spellEnd"/>
      <w:r>
        <w:t xml:space="preserve">, </w:t>
      </w:r>
      <w:r w:rsidRPr="00D40D96">
        <w:t xml:space="preserve">This I Accomplish, Part III (in memory of </w:t>
      </w:r>
      <w:proofErr w:type="spellStart"/>
      <w:r w:rsidRPr="00D40D96">
        <w:t>Dr.</w:t>
      </w:r>
      <w:proofErr w:type="spellEnd"/>
      <w:r w:rsidRPr="00D40D96">
        <w:t xml:space="preserve"> </w:t>
      </w:r>
      <w:proofErr w:type="spellStart"/>
      <w:r w:rsidRPr="00D40D96">
        <w:t>Monni</w:t>
      </w:r>
      <w:proofErr w:type="spellEnd"/>
      <w:r w:rsidRPr="00D40D96">
        <w:t xml:space="preserve"> Adams, 1920-2014)</w:t>
      </w:r>
      <w:r w:rsidR="00CB6F87">
        <w:t xml:space="preserve">, Textiles in Context </w:t>
      </w:r>
      <w:r w:rsidR="00CB6F87" w:rsidRPr="00CB6F87">
        <w:t>https://textilesincontext.net/tag/harriet-powers/</w:t>
      </w:r>
    </w:p>
  </w:footnote>
  <w:footnote w:id="6">
    <w:p w14:paraId="5768BEB7" w14:textId="4825CE85" w:rsidR="00C840E1" w:rsidRPr="00C840E1" w:rsidRDefault="00C840E1">
      <w:pPr>
        <w:pStyle w:val="FootnoteText"/>
        <w:rPr>
          <w:lang w:val="en-US"/>
        </w:rPr>
      </w:pPr>
      <w:r>
        <w:rPr>
          <w:rStyle w:val="FootnoteReference"/>
        </w:rPr>
        <w:footnoteRef/>
      </w:r>
      <w:r w:rsidR="00290D25" w:rsidRPr="00C840E1">
        <w:t>Margot Anne</w:t>
      </w:r>
      <w:r w:rsidR="00290D25">
        <w:t xml:space="preserve"> Kelly</w:t>
      </w:r>
      <w:r w:rsidR="00290D25" w:rsidRPr="00C840E1">
        <w:t xml:space="preserve">, </w:t>
      </w:r>
      <w:r w:rsidR="00290D25">
        <w:t>‘</w:t>
      </w:r>
      <w:r w:rsidR="00290D25" w:rsidRPr="00C840E1">
        <w:t>Sisters’ Choices Quilting Aesthetics of African American Women’s Fiction</w:t>
      </w:r>
      <w:r w:rsidR="00290D25">
        <w:t>’</w:t>
      </w:r>
      <w:r w:rsidR="00290D25" w:rsidRPr="00C840E1">
        <w:t xml:space="preserve">, </w:t>
      </w:r>
      <w:r w:rsidR="00290D25">
        <w:t xml:space="preserve">in </w:t>
      </w:r>
      <w:r w:rsidR="00290D25" w:rsidRPr="00290D25">
        <w:rPr>
          <w:i/>
          <w:iCs/>
        </w:rPr>
        <w:t>Quilt Culture Tracing the Pattern</w:t>
      </w:r>
      <w:r w:rsidR="00290D25" w:rsidRPr="00C840E1">
        <w:t xml:space="preserve">, </w:t>
      </w:r>
      <w:r w:rsidR="00290D25">
        <w:t xml:space="preserve">eds. </w:t>
      </w:r>
      <w:r w:rsidR="00290D25" w:rsidRPr="00290D25">
        <w:t xml:space="preserve">Cheryl B. </w:t>
      </w:r>
      <w:proofErr w:type="spellStart"/>
      <w:r w:rsidR="00290D25" w:rsidRPr="00290D25">
        <w:t>Torsney</w:t>
      </w:r>
      <w:proofErr w:type="spellEnd"/>
      <w:r w:rsidR="00290D25" w:rsidRPr="00290D25">
        <w:t xml:space="preserve">, Judy </w:t>
      </w:r>
      <w:proofErr w:type="spellStart"/>
      <w:r w:rsidR="00290D25" w:rsidRPr="00290D25">
        <w:t>Elsley</w:t>
      </w:r>
      <w:proofErr w:type="spellEnd"/>
      <w:r w:rsidR="00290D25">
        <w:t>, (</w:t>
      </w:r>
      <w:r w:rsidR="00290D25" w:rsidRPr="00C840E1">
        <w:t>University of Missouri Press</w:t>
      </w:r>
      <w:r w:rsidR="00290D25">
        <w:t xml:space="preserve"> 1994)</w:t>
      </w:r>
      <w:r w:rsidR="00290D25">
        <w:t xml:space="preserve"> p.49</w:t>
      </w:r>
      <w:r w:rsidR="00290D25" w:rsidRPr="00C840E1">
        <w:t xml:space="preserve"> https://www.google.co.uk/books/edition/_/lomDOyliLJsC?hl=en&amp;gbpv=1 [accessed 10 June 2021]</w:t>
      </w:r>
    </w:p>
  </w:footnote>
  <w:footnote w:id="7">
    <w:p w14:paraId="73095076" w14:textId="34DC113C" w:rsidR="00FE04C2" w:rsidRPr="00FE04C2" w:rsidRDefault="00FE04C2" w:rsidP="00A4473A">
      <w:pPr>
        <w:pStyle w:val="FootnoteText"/>
        <w:rPr>
          <w:lang w:val="en-US"/>
        </w:rPr>
      </w:pPr>
      <w:r>
        <w:rPr>
          <w:rStyle w:val="FootnoteReference"/>
        </w:rPr>
        <w:footnoteRef/>
      </w:r>
      <w:r w:rsidR="00A4473A">
        <w:t xml:space="preserve">Harriet </w:t>
      </w:r>
      <w:bookmarkStart w:id="1" w:name="_Hlk74337620"/>
      <w:r>
        <w:rPr>
          <w:lang w:val="en-US"/>
        </w:rPr>
        <w:t>Powers</w:t>
      </w:r>
      <w:r w:rsidR="00A4473A">
        <w:rPr>
          <w:lang w:val="en-US"/>
        </w:rPr>
        <w:t>,</w:t>
      </w:r>
      <w:r>
        <w:rPr>
          <w:lang w:val="en-US"/>
        </w:rPr>
        <w:t xml:space="preserve"> </w:t>
      </w:r>
      <w:r w:rsidR="00A4473A" w:rsidRPr="00A4473A">
        <w:rPr>
          <w:lang w:val="en-US"/>
        </w:rPr>
        <w:t>Pictorial quilt</w:t>
      </w:r>
      <w:r w:rsidR="00A4473A">
        <w:rPr>
          <w:lang w:val="en-US"/>
        </w:rPr>
        <w:t xml:space="preserve">, </w:t>
      </w:r>
      <w:r>
        <w:rPr>
          <w:lang w:val="en-US"/>
        </w:rPr>
        <w:t>M</w:t>
      </w:r>
      <w:r w:rsidR="00A4473A">
        <w:rPr>
          <w:lang w:val="en-US"/>
        </w:rPr>
        <w:t>useum of Fine Arts Boston,</w:t>
      </w:r>
      <w:bookmarkEnd w:id="1"/>
      <w:r w:rsidR="00A4473A">
        <w:rPr>
          <w:lang w:val="en-US"/>
        </w:rPr>
        <w:t xml:space="preserve"> </w:t>
      </w:r>
      <w:r w:rsidR="00A4473A" w:rsidRPr="00A4473A">
        <w:rPr>
          <w:lang w:val="en-US"/>
        </w:rPr>
        <w:t>https://collections.mfa.org/objects/116166</w:t>
      </w:r>
    </w:p>
  </w:footnote>
  <w:footnote w:id="8">
    <w:p w14:paraId="51DD1EF4" w14:textId="31BB042D" w:rsidR="004962B5" w:rsidRPr="004962B5" w:rsidRDefault="004962B5">
      <w:pPr>
        <w:pStyle w:val="FootnoteText"/>
        <w:rPr>
          <w:lang w:val="en-US"/>
        </w:rPr>
      </w:pPr>
      <w:r>
        <w:rPr>
          <w:rStyle w:val="FootnoteReference"/>
        </w:rPr>
        <w:footnoteRef/>
      </w:r>
      <w:r>
        <w:t xml:space="preserve"> </w:t>
      </w:r>
      <w:r w:rsidRPr="004962B5">
        <w:t>https://www.biblegateway.com/passage/?search=Job+38+-+41&amp;version=NIV</w:t>
      </w:r>
    </w:p>
  </w:footnote>
  <w:footnote w:id="9">
    <w:p w14:paraId="2C92018B" w14:textId="378ED944" w:rsidR="00D25475" w:rsidRPr="00D25475" w:rsidRDefault="00D25475">
      <w:pPr>
        <w:pStyle w:val="FootnoteText"/>
        <w:rPr>
          <w:lang w:val="en-US"/>
        </w:rPr>
      </w:pPr>
      <w:r>
        <w:rPr>
          <w:rStyle w:val="FootnoteReference"/>
        </w:rPr>
        <w:footnoteRef/>
      </w:r>
      <w:r>
        <w:t xml:space="preserve"> </w:t>
      </w:r>
      <w:r>
        <w:rPr>
          <w:lang w:val="en-US"/>
        </w:rPr>
        <w:t>Ibid.</w:t>
      </w:r>
    </w:p>
  </w:footnote>
  <w:footnote w:id="10">
    <w:p w14:paraId="133C7FBE" w14:textId="56323257" w:rsidR="00C67C05" w:rsidRPr="00C67C05" w:rsidRDefault="00C67C05">
      <w:pPr>
        <w:pStyle w:val="FootnoteText"/>
        <w:rPr>
          <w:lang w:val="en-US"/>
        </w:rPr>
      </w:pPr>
      <w:r>
        <w:rPr>
          <w:rStyle w:val="FootnoteReference"/>
        </w:rPr>
        <w:footnoteRef/>
      </w:r>
      <w:r>
        <w:t xml:space="preserve"> </w:t>
      </w:r>
      <w:r w:rsidRPr="00C67C05">
        <w:t>https://agris.fao.org/agris-search/search.do?recordID=AV20120122851</w:t>
      </w:r>
    </w:p>
  </w:footnote>
  <w:footnote w:id="11">
    <w:p w14:paraId="6B991F53" w14:textId="175A54A4" w:rsidR="00A4473A" w:rsidRPr="00A4473A" w:rsidRDefault="00A4473A">
      <w:pPr>
        <w:pStyle w:val="FootnoteText"/>
        <w:rPr>
          <w:lang w:val="en-US"/>
        </w:rPr>
      </w:pPr>
      <w:r>
        <w:rPr>
          <w:rStyle w:val="FootnoteReference"/>
        </w:rPr>
        <w:footnoteRef/>
      </w:r>
      <w:r>
        <w:t xml:space="preserve"> </w:t>
      </w:r>
      <w:r w:rsidRPr="00A4473A">
        <w:t>Powers</w:t>
      </w:r>
      <w:r>
        <w:t>, Pictorial Quilt</w:t>
      </w:r>
    </w:p>
  </w:footnote>
  <w:footnote w:id="12">
    <w:p w14:paraId="59B86610" w14:textId="65DA2917" w:rsidR="00EB10D8" w:rsidRPr="00EB10D8" w:rsidRDefault="00EB10D8" w:rsidP="00EB10D8">
      <w:pPr>
        <w:pStyle w:val="FootnoteText"/>
      </w:pPr>
      <w:r>
        <w:rPr>
          <w:rStyle w:val="FootnoteReference"/>
        </w:rPr>
        <w:footnoteRef/>
      </w:r>
      <w:r>
        <w:t xml:space="preserve"> </w:t>
      </w:r>
      <w:proofErr w:type="spellStart"/>
      <w:r>
        <w:t>Fon</w:t>
      </w:r>
      <w:proofErr w:type="spellEnd"/>
      <w:r>
        <w:t xml:space="preserve"> altar, Smithsonian Museum of African Art, </w:t>
      </w:r>
      <w:proofErr w:type="spellStart"/>
      <w:r>
        <w:t>mid 20</w:t>
      </w:r>
      <w:r w:rsidRPr="00EB10D8">
        <w:rPr>
          <w:vertAlign w:val="superscript"/>
        </w:rPr>
        <w:t>th</w:t>
      </w:r>
      <w:proofErr w:type="spellEnd"/>
      <w:r>
        <w:t xml:space="preserve"> century </w:t>
      </w:r>
      <w:r>
        <w:t>https://africa.si.edu/collections/objects/17251/altar?ctx=5efb33ecf3b73b493aa2c211dae4775ed1931fb5&amp;idx=32</w:t>
      </w:r>
    </w:p>
  </w:footnote>
  <w:footnote w:id="13">
    <w:p w14:paraId="233EC50A" w14:textId="20254C5B" w:rsidR="00EB10D8" w:rsidRPr="00EB10D8" w:rsidRDefault="00EB10D8" w:rsidP="00EB10D8">
      <w:pPr>
        <w:pStyle w:val="FootnoteText"/>
      </w:pPr>
      <w:r>
        <w:rPr>
          <w:rStyle w:val="FootnoteReference"/>
        </w:rPr>
        <w:footnoteRef/>
      </w:r>
      <w:r>
        <w:t xml:space="preserve"> </w:t>
      </w:r>
      <w:bookmarkStart w:id="3" w:name="_Hlk74346027"/>
      <w:r>
        <w:t>Smithsonian Museum of African Art, mid 20C</w:t>
      </w:r>
      <w:r>
        <w:t xml:space="preserve">, </w:t>
      </w:r>
      <w:r>
        <w:t>https://africa.si.edu/collections/search/Fon%20art</w:t>
      </w:r>
    </w:p>
    <w:bookmarkEnd w:id="3"/>
  </w:footnote>
  <w:footnote w:id="14">
    <w:p w14:paraId="56176952" w14:textId="20A63E43" w:rsidR="000D4C86" w:rsidRPr="00A3002F" w:rsidRDefault="000D4C86" w:rsidP="000D4C86">
      <w:pPr>
        <w:pStyle w:val="FootnoteText"/>
      </w:pPr>
      <w:r>
        <w:rPr>
          <w:rStyle w:val="FootnoteReference"/>
        </w:rPr>
        <w:footnoteRef/>
      </w:r>
      <w:r>
        <w:t xml:space="preserve"> </w:t>
      </w:r>
      <w:r w:rsidRPr="000D4C86">
        <w:t xml:space="preserve">P. A. </w:t>
      </w:r>
      <w:proofErr w:type="spellStart"/>
      <w:r w:rsidRPr="000D4C86">
        <w:t>Anadu</w:t>
      </w:r>
      <w:proofErr w:type="spellEnd"/>
      <w:r w:rsidRPr="000D4C86">
        <w:t xml:space="preserve">, P. O. </w:t>
      </w:r>
      <w:proofErr w:type="spellStart"/>
      <w:r w:rsidRPr="000D4C86">
        <w:t>Elamah</w:t>
      </w:r>
      <w:proofErr w:type="spellEnd"/>
      <w:r w:rsidRPr="000D4C86">
        <w:t xml:space="preserve"> and J. F. Oates</w:t>
      </w:r>
      <w:r>
        <w:t xml:space="preserve">, </w:t>
      </w:r>
      <w:r>
        <w:t>The Bushmeat Trade in Southwestern Nigeria: A Case Study</w:t>
      </w:r>
      <w:r>
        <w:t xml:space="preserve">, </w:t>
      </w:r>
      <w:r>
        <w:t>Human Ecology</w:t>
      </w:r>
      <w:r>
        <w:t xml:space="preserve">, </w:t>
      </w:r>
      <w:r>
        <w:t>Vol. 16, No. 2 (</w:t>
      </w:r>
      <w:proofErr w:type="gramStart"/>
      <w:r>
        <w:t>Jun.,</w:t>
      </w:r>
      <w:proofErr w:type="gramEnd"/>
      <w:r>
        <w:t xml:space="preserve"> 1988), pp. 199-208 </w:t>
      </w:r>
      <w:r>
        <w:t>p. 203</w:t>
      </w:r>
    </w:p>
  </w:footnote>
  <w:footnote w:id="15">
    <w:p w14:paraId="39E2B913" w14:textId="24AF4E28" w:rsidR="00A3002F" w:rsidRPr="00A3002F" w:rsidRDefault="00A3002F">
      <w:pPr>
        <w:pStyle w:val="FootnoteText"/>
        <w:rPr>
          <w:lang w:val="en-US"/>
        </w:rPr>
      </w:pPr>
      <w:r>
        <w:rPr>
          <w:rStyle w:val="FootnoteReference"/>
        </w:rPr>
        <w:footnoteRef/>
      </w:r>
      <w:r>
        <w:t xml:space="preserve"> </w:t>
      </w:r>
      <w:r w:rsidRPr="00A3002F">
        <w:t xml:space="preserve">Catherine </w:t>
      </w:r>
      <w:proofErr w:type="spellStart"/>
      <w:r w:rsidRPr="00A3002F">
        <w:t>Tutter</w:t>
      </w:r>
      <w:proofErr w:type="spellEnd"/>
      <w:r w:rsidRPr="00A3002F">
        <w:t>, This I Accomplish, Part III</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3DE"/>
    <w:rsid w:val="00006BB4"/>
    <w:rsid w:val="00017B44"/>
    <w:rsid w:val="00017B75"/>
    <w:rsid w:val="000253BE"/>
    <w:rsid w:val="00025C4A"/>
    <w:rsid w:val="00077C35"/>
    <w:rsid w:val="000A5DBB"/>
    <w:rsid w:val="000D4C86"/>
    <w:rsid w:val="000D5C88"/>
    <w:rsid w:val="00102A93"/>
    <w:rsid w:val="00124322"/>
    <w:rsid w:val="001424C6"/>
    <w:rsid w:val="00153F2F"/>
    <w:rsid w:val="0016519D"/>
    <w:rsid w:val="001D6471"/>
    <w:rsid w:val="001D691A"/>
    <w:rsid w:val="001E73DE"/>
    <w:rsid w:val="001F6D64"/>
    <w:rsid w:val="0020743A"/>
    <w:rsid w:val="00224165"/>
    <w:rsid w:val="00260FB5"/>
    <w:rsid w:val="00283DDA"/>
    <w:rsid w:val="00290D25"/>
    <w:rsid w:val="00297D62"/>
    <w:rsid w:val="002A6346"/>
    <w:rsid w:val="002B736D"/>
    <w:rsid w:val="00346CF2"/>
    <w:rsid w:val="00375AB7"/>
    <w:rsid w:val="003C2067"/>
    <w:rsid w:val="003C35B4"/>
    <w:rsid w:val="003D5166"/>
    <w:rsid w:val="00404F2A"/>
    <w:rsid w:val="004140D8"/>
    <w:rsid w:val="00420DCE"/>
    <w:rsid w:val="0042791E"/>
    <w:rsid w:val="00453356"/>
    <w:rsid w:val="00471558"/>
    <w:rsid w:val="00474BD2"/>
    <w:rsid w:val="004962B5"/>
    <w:rsid w:val="005027DF"/>
    <w:rsid w:val="00525A45"/>
    <w:rsid w:val="00574E8C"/>
    <w:rsid w:val="005A17D6"/>
    <w:rsid w:val="005B154A"/>
    <w:rsid w:val="00630354"/>
    <w:rsid w:val="00642072"/>
    <w:rsid w:val="006559D9"/>
    <w:rsid w:val="00656EFB"/>
    <w:rsid w:val="0068723C"/>
    <w:rsid w:val="00690532"/>
    <w:rsid w:val="006F0300"/>
    <w:rsid w:val="00700F5F"/>
    <w:rsid w:val="00704B98"/>
    <w:rsid w:val="007615F0"/>
    <w:rsid w:val="007961B5"/>
    <w:rsid w:val="007C2443"/>
    <w:rsid w:val="007F45ED"/>
    <w:rsid w:val="00801EBC"/>
    <w:rsid w:val="00837320"/>
    <w:rsid w:val="008506CC"/>
    <w:rsid w:val="00866DE0"/>
    <w:rsid w:val="00867095"/>
    <w:rsid w:val="00893653"/>
    <w:rsid w:val="008D4672"/>
    <w:rsid w:val="008F6A9B"/>
    <w:rsid w:val="00905848"/>
    <w:rsid w:val="00920D59"/>
    <w:rsid w:val="009659D7"/>
    <w:rsid w:val="0099063B"/>
    <w:rsid w:val="009A7B98"/>
    <w:rsid w:val="009D3F1A"/>
    <w:rsid w:val="009F20C6"/>
    <w:rsid w:val="00A24DE7"/>
    <w:rsid w:val="00A3002F"/>
    <w:rsid w:val="00A4473A"/>
    <w:rsid w:val="00A97D26"/>
    <w:rsid w:val="00AA28F9"/>
    <w:rsid w:val="00AF2236"/>
    <w:rsid w:val="00B47C86"/>
    <w:rsid w:val="00B571C8"/>
    <w:rsid w:val="00B80354"/>
    <w:rsid w:val="00B922D4"/>
    <w:rsid w:val="00BA50B7"/>
    <w:rsid w:val="00BA5A5A"/>
    <w:rsid w:val="00BD5396"/>
    <w:rsid w:val="00BF0325"/>
    <w:rsid w:val="00C004E4"/>
    <w:rsid w:val="00C1275F"/>
    <w:rsid w:val="00C172BC"/>
    <w:rsid w:val="00C67C05"/>
    <w:rsid w:val="00C840E1"/>
    <w:rsid w:val="00C8731F"/>
    <w:rsid w:val="00CB6F87"/>
    <w:rsid w:val="00CC177E"/>
    <w:rsid w:val="00CF73FB"/>
    <w:rsid w:val="00CF7F23"/>
    <w:rsid w:val="00D21712"/>
    <w:rsid w:val="00D25475"/>
    <w:rsid w:val="00D40D96"/>
    <w:rsid w:val="00D578F9"/>
    <w:rsid w:val="00D71316"/>
    <w:rsid w:val="00DB7279"/>
    <w:rsid w:val="00DF1617"/>
    <w:rsid w:val="00DF57E3"/>
    <w:rsid w:val="00E57E14"/>
    <w:rsid w:val="00E93264"/>
    <w:rsid w:val="00EA16A8"/>
    <w:rsid w:val="00EB10D8"/>
    <w:rsid w:val="00ED4534"/>
    <w:rsid w:val="00F01C2F"/>
    <w:rsid w:val="00F528BF"/>
    <w:rsid w:val="00F90429"/>
    <w:rsid w:val="00FA1B4C"/>
    <w:rsid w:val="00FB1D71"/>
    <w:rsid w:val="00FC2110"/>
    <w:rsid w:val="00FE04C2"/>
    <w:rsid w:val="00FF4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56F7E"/>
  <w15:chartTrackingRefBased/>
  <w15:docId w15:val="{840D33C9-9690-4C8F-96BF-AFF23FA72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7C86"/>
    <w:rPr>
      <w:color w:val="0563C1" w:themeColor="hyperlink"/>
      <w:u w:val="single"/>
    </w:rPr>
  </w:style>
  <w:style w:type="character" w:styleId="UnresolvedMention">
    <w:name w:val="Unresolved Mention"/>
    <w:basedOn w:val="DefaultParagraphFont"/>
    <w:uiPriority w:val="99"/>
    <w:semiHidden/>
    <w:unhideWhenUsed/>
    <w:rsid w:val="00B47C86"/>
    <w:rPr>
      <w:color w:val="605E5C"/>
      <w:shd w:val="clear" w:color="auto" w:fill="E1DFDD"/>
    </w:rPr>
  </w:style>
  <w:style w:type="paragraph" w:styleId="FootnoteText">
    <w:name w:val="footnote text"/>
    <w:basedOn w:val="Normal"/>
    <w:link w:val="FootnoteTextChar"/>
    <w:uiPriority w:val="99"/>
    <w:semiHidden/>
    <w:unhideWhenUsed/>
    <w:rsid w:val="00FE04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04C2"/>
    <w:rPr>
      <w:sz w:val="20"/>
      <w:szCs w:val="20"/>
    </w:rPr>
  </w:style>
  <w:style w:type="character" w:styleId="FootnoteReference">
    <w:name w:val="footnote reference"/>
    <w:basedOn w:val="DefaultParagraphFont"/>
    <w:uiPriority w:val="99"/>
    <w:semiHidden/>
    <w:unhideWhenUsed/>
    <w:rsid w:val="00FE04C2"/>
    <w:rPr>
      <w:vertAlign w:val="superscript"/>
    </w:rPr>
  </w:style>
  <w:style w:type="character" w:customStyle="1" w:styleId="grkhzd">
    <w:name w:val="grkhzd"/>
    <w:basedOn w:val="DefaultParagraphFont"/>
    <w:rsid w:val="00C1275F"/>
  </w:style>
  <w:style w:type="character" w:customStyle="1" w:styleId="eq0j8">
    <w:name w:val="eq0j8"/>
    <w:basedOn w:val="DefaultParagraphFont"/>
    <w:rsid w:val="00C1275F"/>
  </w:style>
  <w:style w:type="character" w:styleId="FollowedHyperlink">
    <w:name w:val="FollowedHyperlink"/>
    <w:basedOn w:val="DefaultParagraphFont"/>
    <w:uiPriority w:val="99"/>
    <w:semiHidden/>
    <w:unhideWhenUsed/>
    <w:rsid w:val="00F01C2F"/>
    <w:rPr>
      <w:color w:val="954F72" w:themeColor="followedHyperlink"/>
      <w:u w:val="single"/>
    </w:rPr>
  </w:style>
  <w:style w:type="character" w:customStyle="1" w:styleId="text">
    <w:name w:val="text"/>
    <w:basedOn w:val="DefaultParagraphFont"/>
    <w:rsid w:val="009659D7"/>
  </w:style>
  <w:style w:type="character" w:customStyle="1" w:styleId="indent-1-breaks">
    <w:name w:val="indent-1-breaks"/>
    <w:basedOn w:val="DefaultParagraphFont"/>
    <w:rsid w:val="0096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9704">
      <w:bodyDiv w:val="1"/>
      <w:marLeft w:val="0"/>
      <w:marRight w:val="0"/>
      <w:marTop w:val="0"/>
      <w:marBottom w:val="0"/>
      <w:divBdr>
        <w:top w:val="none" w:sz="0" w:space="0" w:color="auto"/>
        <w:left w:val="none" w:sz="0" w:space="0" w:color="auto"/>
        <w:bottom w:val="none" w:sz="0" w:space="0" w:color="auto"/>
        <w:right w:val="none" w:sz="0" w:space="0" w:color="auto"/>
      </w:divBdr>
    </w:div>
    <w:div w:id="161704300">
      <w:bodyDiv w:val="1"/>
      <w:marLeft w:val="0"/>
      <w:marRight w:val="0"/>
      <w:marTop w:val="0"/>
      <w:marBottom w:val="0"/>
      <w:divBdr>
        <w:top w:val="none" w:sz="0" w:space="0" w:color="auto"/>
        <w:left w:val="none" w:sz="0" w:space="0" w:color="auto"/>
        <w:bottom w:val="none" w:sz="0" w:space="0" w:color="auto"/>
        <w:right w:val="none" w:sz="0" w:space="0" w:color="auto"/>
      </w:divBdr>
    </w:div>
    <w:div w:id="176580026">
      <w:bodyDiv w:val="1"/>
      <w:marLeft w:val="0"/>
      <w:marRight w:val="0"/>
      <w:marTop w:val="0"/>
      <w:marBottom w:val="0"/>
      <w:divBdr>
        <w:top w:val="none" w:sz="0" w:space="0" w:color="auto"/>
        <w:left w:val="none" w:sz="0" w:space="0" w:color="auto"/>
        <w:bottom w:val="none" w:sz="0" w:space="0" w:color="auto"/>
        <w:right w:val="none" w:sz="0" w:space="0" w:color="auto"/>
      </w:divBdr>
      <w:divsChild>
        <w:div w:id="1616475195">
          <w:marLeft w:val="0"/>
          <w:marRight w:val="0"/>
          <w:marTop w:val="0"/>
          <w:marBottom w:val="0"/>
          <w:divBdr>
            <w:top w:val="none" w:sz="0" w:space="0" w:color="auto"/>
            <w:left w:val="none" w:sz="0" w:space="0" w:color="auto"/>
            <w:bottom w:val="none" w:sz="0" w:space="0" w:color="auto"/>
            <w:right w:val="none" w:sz="0" w:space="0" w:color="auto"/>
          </w:divBdr>
          <w:divsChild>
            <w:div w:id="2080125728">
              <w:marLeft w:val="0"/>
              <w:marRight w:val="0"/>
              <w:marTop w:val="0"/>
              <w:marBottom w:val="0"/>
              <w:divBdr>
                <w:top w:val="none" w:sz="0" w:space="0" w:color="auto"/>
                <w:left w:val="none" w:sz="0" w:space="0" w:color="auto"/>
                <w:bottom w:val="none" w:sz="0" w:space="0" w:color="auto"/>
                <w:right w:val="none" w:sz="0" w:space="0" w:color="auto"/>
              </w:divBdr>
            </w:div>
            <w:div w:id="1780293934">
              <w:marLeft w:val="0"/>
              <w:marRight w:val="0"/>
              <w:marTop w:val="0"/>
              <w:marBottom w:val="0"/>
              <w:divBdr>
                <w:top w:val="none" w:sz="0" w:space="0" w:color="auto"/>
                <w:left w:val="none" w:sz="0" w:space="0" w:color="auto"/>
                <w:bottom w:val="none" w:sz="0" w:space="0" w:color="auto"/>
                <w:right w:val="none" w:sz="0" w:space="0" w:color="auto"/>
              </w:divBdr>
            </w:div>
          </w:divsChild>
        </w:div>
        <w:div w:id="496265080">
          <w:marLeft w:val="0"/>
          <w:marRight w:val="0"/>
          <w:marTop w:val="150"/>
          <w:marBottom w:val="0"/>
          <w:divBdr>
            <w:top w:val="none" w:sz="0" w:space="0" w:color="auto"/>
            <w:left w:val="none" w:sz="0" w:space="0" w:color="auto"/>
            <w:bottom w:val="none" w:sz="0" w:space="0" w:color="auto"/>
            <w:right w:val="none" w:sz="0" w:space="0" w:color="auto"/>
          </w:divBdr>
        </w:div>
      </w:divsChild>
    </w:div>
    <w:div w:id="237642672">
      <w:bodyDiv w:val="1"/>
      <w:marLeft w:val="0"/>
      <w:marRight w:val="0"/>
      <w:marTop w:val="0"/>
      <w:marBottom w:val="0"/>
      <w:divBdr>
        <w:top w:val="none" w:sz="0" w:space="0" w:color="auto"/>
        <w:left w:val="none" w:sz="0" w:space="0" w:color="auto"/>
        <w:bottom w:val="none" w:sz="0" w:space="0" w:color="auto"/>
        <w:right w:val="none" w:sz="0" w:space="0" w:color="auto"/>
      </w:divBdr>
      <w:divsChild>
        <w:div w:id="1698656498">
          <w:blockQuote w:val="1"/>
          <w:marLeft w:val="0"/>
          <w:marRight w:val="0"/>
          <w:marTop w:val="0"/>
          <w:marBottom w:val="405"/>
          <w:divBdr>
            <w:top w:val="none" w:sz="0" w:space="0" w:color="auto"/>
            <w:left w:val="none" w:sz="0" w:space="0" w:color="auto"/>
            <w:bottom w:val="none" w:sz="0" w:space="0" w:color="auto"/>
            <w:right w:val="none" w:sz="0" w:space="0" w:color="auto"/>
          </w:divBdr>
        </w:div>
        <w:div w:id="383794394">
          <w:blockQuote w:val="1"/>
          <w:marLeft w:val="0"/>
          <w:marRight w:val="0"/>
          <w:marTop w:val="0"/>
          <w:marBottom w:val="405"/>
          <w:divBdr>
            <w:top w:val="none" w:sz="0" w:space="0" w:color="auto"/>
            <w:left w:val="none" w:sz="0" w:space="0" w:color="auto"/>
            <w:bottom w:val="none" w:sz="0" w:space="0" w:color="auto"/>
            <w:right w:val="none" w:sz="0" w:space="0" w:color="auto"/>
          </w:divBdr>
        </w:div>
      </w:divsChild>
    </w:div>
    <w:div w:id="1354915154">
      <w:bodyDiv w:val="1"/>
      <w:marLeft w:val="0"/>
      <w:marRight w:val="0"/>
      <w:marTop w:val="0"/>
      <w:marBottom w:val="0"/>
      <w:divBdr>
        <w:top w:val="none" w:sz="0" w:space="0" w:color="auto"/>
        <w:left w:val="none" w:sz="0" w:space="0" w:color="auto"/>
        <w:bottom w:val="none" w:sz="0" w:space="0" w:color="auto"/>
        <w:right w:val="none" w:sz="0" w:space="0" w:color="auto"/>
      </w:divBdr>
      <w:divsChild>
        <w:div w:id="124786217">
          <w:marLeft w:val="0"/>
          <w:marRight w:val="0"/>
          <w:marTop w:val="0"/>
          <w:marBottom w:val="0"/>
          <w:divBdr>
            <w:top w:val="none" w:sz="0" w:space="0" w:color="auto"/>
            <w:left w:val="none" w:sz="0" w:space="0" w:color="auto"/>
            <w:bottom w:val="none" w:sz="0" w:space="0" w:color="auto"/>
            <w:right w:val="none" w:sz="0" w:space="0" w:color="auto"/>
          </w:divBdr>
          <w:divsChild>
            <w:div w:id="1367752545">
              <w:marLeft w:val="0"/>
              <w:marRight w:val="0"/>
              <w:marTop w:val="0"/>
              <w:marBottom w:val="0"/>
              <w:divBdr>
                <w:top w:val="none" w:sz="0" w:space="0" w:color="auto"/>
                <w:left w:val="none" w:sz="0" w:space="0" w:color="auto"/>
                <w:bottom w:val="none" w:sz="0" w:space="0" w:color="auto"/>
                <w:right w:val="none" w:sz="0" w:space="0" w:color="auto"/>
              </w:divBdr>
              <w:divsChild>
                <w:div w:id="31827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374460">
          <w:marLeft w:val="0"/>
          <w:marRight w:val="0"/>
          <w:marTop w:val="0"/>
          <w:marBottom w:val="0"/>
          <w:divBdr>
            <w:top w:val="none" w:sz="0" w:space="0" w:color="auto"/>
            <w:left w:val="none" w:sz="0" w:space="0" w:color="auto"/>
            <w:bottom w:val="none" w:sz="0" w:space="0" w:color="auto"/>
            <w:right w:val="none" w:sz="0" w:space="0" w:color="auto"/>
          </w:divBdr>
          <w:divsChild>
            <w:div w:id="1544752894">
              <w:marLeft w:val="0"/>
              <w:marRight w:val="0"/>
              <w:marTop w:val="0"/>
              <w:marBottom w:val="0"/>
              <w:divBdr>
                <w:top w:val="none" w:sz="0" w:space="0" w:color="auto"/>
                <w:left w:val="none" w:sz="0" w:space="0" w:color="auto"/>
                <w:bottom w:val="none" w:sz="0" w:space="0" w:color="auto"/>
                <w:right w:val="none" w:sz="0" w:space="0" w:color="auto"/>
              </w:divBdr>
              <w:divsChild>
                <w:div w:id="959724246">
                  <w:marLeft w:val="0"/>
                  <w:marRight w:val="0"/>
                  <w:marTop w:val="0"/>
                  <w:marBottom w:val="0"/>
                  <w:divBdr>
                    <w:top w:val="none" w:sz="0" w:space="0" w:color="auto"/>
                    <w:left w:val="none" w:sz="0" w:space="0" w:color="auto"/>
                    <w:bottom w:val="none" w:sz="0" w:space="0" w:color="auto"/>
                    <w:right w:val="none" w:sz="0" w:space="0" w:color="auto"/>
                  </w:divBdr>
                </w:div>
                <w:div w:id="2118862011">
                  <w:marLeft w:val="0"/>
                  <w:marRight w:val="0"/>
                  <w:marTop w:val="0"/>
                  <w:marBottom w:val="0"/>
                  <w:divBdr>
                    <w:top w:val="none" w:sz="0" w:space="0" w:color="auto"/>
                    <w:left w:val="none" w:sz="0" w:space="0" w:color="auto"/>
                    <w:bottom w:val="none" w:sz="0" w:space="0" w:color="auto"/>
                    <w:right w:val="none" w:sz="0" w:space="0" w:color="auto"/>
                  </w:divBdr>
                  <w:divsChild>
                    <w:div w:id="99637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315026">
              <w:marLeft w:val="0"/>
              <w:marRight w:val="0"/>
              <w:marTop w:val="120"/>
              <w:marBottom w:val="0"/>
              <w:divBdr>
                <w:top w:val="none" w:sz="0" w:space="0" w:color="auto"/>
                <w:left w:val="none" w:sz="0" w:space="0" w:color="auto"/>
                <w:bottom w:val="none" w:sz="0" w:space="0" w:color="auto"/>
                <w:right w:val="none" w:sz="0" w:space="0" w:color="auto"/>
              </w:divBdr>
              <w:divsChild>
                <w:div w:id="65518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162872">
      <w:bodyDiv w:val="1"/>
      <w:marLeft w:val="0"/>
      <w:marRight w:val="0"/>
      <w:marTop w:val="0"/>
      <w:marBottom w:val="0"/>
      <w:divBdr>
        <w:top w:val="none" w:sz="0" w:space="0" w:color="auto"/>
        <w:left w:val="none" w:sz="0" w:space="0" w:color="auto"/>
        <w:bottom w:val="none" w:sz="0" w:space="0" w:color="auto"/>
        <w:right w:val="none" w:sz="0" w:space="0" w:color="auto"/>
      </w:divBdr>
      <w:divsChild>
        <w:div w:id="707417683">
          <w:marLeft w:val="0"/>
          <w:marRight w:val="0"/>
          <w:marTop w:val="0"/>
          <w:marBottom w:val="0"/>
          <w:divBdr>
            <w:top w:val="none" w:sz="0" w:space="0" w:color="auto"/>
            <w:left w:val="none" w:sz="0" w:space="0" w:color="auto"/>
            <w:bottom w:val="none" w:sz="0" w:space="0" w:color="auto"/>
            <w:right w:val="none" w:sz="0" w:space="0" w:color="auto"/>
          </w:divBdr>
          <w:divsChild>
            <w:div w:id="461731916">
              <w:marLeft w:val="0"/>
              <w:marRight w:val="0"/>
              <w:marTop w:val="0"/>
              <w:marBottom w:val="0"/>
              <w:divBdr>
                <w:top w:val="none" w:sz="0" w:space="0" w:color="auto"/>
                <w:left w:val="none" w:sz="0" w:space="0" w:color="auto"/>
                <w:bottom w:val="none" w:sz="0" w:space="0" w:color="auto"/>
                <w:right w:val="none" w:sz="0" w:space="0" w:color="auto"/>
              </w:divBdr>
              <w:divsChild>
                <w:div w:id="18475232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797338748">
          <w:marLeft w:val="0"/>
          <w:marRight w:val="0"/>
          <w:marTop w:val="0"/>
          <w:marBottom w:val="0"/>
          <w:divBdr>
            <w:top w:val="none" w:sz="0" w:space="0" w:color="auto"/>
            <w:left w:val="none" w:sz="0" w:space="0" w:color="auto"/>
            <w:bottom w:val="none" w:sz="0" w:space="0" w:color="auto"/>
            <w:right w:val="none" w:sz="0" w:space="0" w:color="auto"/>
          </w:divBdr>
          <w:divsChild>
            <w:div w:id="540676732">
              <w:marLeft w:val="0"/>
              <w:marRight w:val="0"/>
              <w:marTop w:val="0"/>
              <w:marBottom w:val="0"/>
              <w:divBdr>
                <w:top w:val="none" w:sz="0" w:space="0" w:color="auto"/>
                <w:left w:val="none" w:sz="0" w:space="0" w:color="auto"/>
                <w:bottom w:val="none" w:sz="0" w:space="0" w:color="auto"/>
                <w:right w:val="none" w:sz="0" w:space="0" w:color="auto"/>
              </w:divBdr>
              <w:divsChild>
                <w:div w:id="12429074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180579255">
          <w:marLeft w:val="0"/>
          <w:marRight w:val="0"/>
          <w:marTop w:val="0"/>
          <w:marBottom w:val="0"/>
          <w:divBdr>
            <w:top w:val="none" w:sz="0" w:space="0" w:color="auto"/>
            <w:left w:val="none" w:sz="0" w:space="0" w:color="auto"/>
            <w:bottom w:val="none" w:sz="0" w:space="0" w:color="auto"/>
            <w:right w:val="none" w:sz="0" w:space="0" w:color="auto"/>
          </w:divBdr>
          <w:divsChild>
            <w:div w:id="1754163352">
              <w:marLeft w:val="0"/>
              <w:marRight w:val="0"/>
              <w:marTop w:val="0"/>
              <w:marBottom w:val="0"/>
              <w:divBdr>
                <w:top w:val="none" w:sz="0" w:space="0" w:color="auto"/>
                <w:left w:val="none" w:sz="0" w:space="0" w:color="auto"/>
                <w:bottom w:val="none" w:sz="0" w:space="0" w:color="auto"/>
                <w:right w:val="none" w:sz="0" w:space="0" w:color="auto"/>
              </w:divBdr>
              <w:divsChild>
                <w:div w:id="70658827">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705791048">
      <w:bodyDiv w:val="1"/>
      <w:marLeft w:val="0"/>
      <w:marRight w:val="0"/>
      <w:marTop w:val="0"/>
      <w:marBottom w:val="0"/>
      <w:divBdr>
        <w:top w:val="none" w:sz="0" w:space="0" w:color="auto"/>
        <w:left w:val="none" w:sz="0" w:space="0" w:color="auto"/>
        <w:bottom w:val="none" w:sz="0" w:space="0" w:color="auto"/>
        <w:right w:val="none" w:sz="0" w:space="0" w:color="auto"/>
      </w:divBdr>
    </w:div>
    <w:div w:id="1714036043">
      <w:bodyDiv w:val="1"/>
      <w:marLeft w:val="0"/>
      <w:marRight w:val="0"/>
      <w:marTop w:val="0"/>
      <w:marBottom w:val="0"/>
      <w:divBdr>
        <w:top w:val="none" w:sz="0" w:space="0" w:color="auto"/>
        <w:left w:val="none" w:sz="0" w:space="0" w:color="auto"/>
        <w:bottom w:val="none" w:sz="0" w:space="0" w:color="auto"/>
        <w:right w:val="none" w:sz="0" w:space="0" w:color="auto"/>
      </w:divBdr>
      <w:divsChild>
        <w:div w:id="1801460033">
          <w:marLeft w:val="0"/>
          <w:marRight w:val="0"/>
          <w:marTop w:val="0"/>
          <w:marBottom w:val="0"/>
          <w:divBdr>
            <w:top w:val="none" w:sz="0" w:space="0" w:color="auto"/>
            <w:left w:val="none" w:sz="0" w:space="0" w:color="auto"/>
            <w:bottom w:val="none" w:sz="0" w:space="0" w:color="auto"/>
            <w:right w:val="none" w:sz="0" w:space="0" w:color="auto"/>
          </w:divBdr>
          <w:divsChild>
            <w:div w:id="112409794">
              <w:marLeft w:val="0"/>
              <w:marRight w:val="0"/>
              <w:marTop w:val="0"/>
              <w:marBottom w:val="0"/>
              <w:divBdr>
                <w:top w:val="none" w:sz="0" w:space="0" w:color="auto"/>
                <w:left w:val="none" w:sz="0" w:space="0" w:color="auto"/>
                <w:bottom w:val="none" w:sz="0" w:space="0" w:color="auto"/>
                <w:right w:val="none" w:sz="0" w:space="0" w:color="auto"/>
              </w:divBdr>
              <w:divsChild>
                <w:div w:id="67033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139700">
          <w:marLeft w:val="0"/>
          <w:marRight w:val="0"/>
          <w:marTop w:val="0"/>
          <w:marBottom w:val="0"/>
          <w:divBdr>
            <w:top w:val="none" w:sz="0" w:space="0" w:color="auto"/>
            <w:left w:val="none" w:sz="0" w:space="0" w:color="auto"/>
            <w:bottom w:val="none" w:sz="0" w:space="0" w:color="auto"/>
            <w:right w:val="none" w:sz="0" w:space="0" w:color="auto"/>
          </w:divBdr>
          <w:divsChild>
            <w:div w:id="588123763">
              <w:marLeft w:val="0"/>
              <w:marRight w:val="0"/>
              <w:marTop w:val="0"/>
              <w:marBottom w:val="0"/>
              <w:divBdr>
                <w:top w:val="none" w:sz="0" w:space="0" w:color="auto"/>
                <w:left w:val="none" w:sz="0" w:space="0" w:color="auto"/>
                <w:bottom w:val="none" w:sz="0" w:space="0" w:color="auto"/>
                <w:right w:val="none" w:sz="0" w:space="0" w:color="auto"/>
              </w:divBdr>
              <w:divsChild>
                <w:div w:id="1714114937">
                  <w:marLeft w:val="0"/>
                  <w:marRight w:val="0"/>
                  <w:marTop w:val="0"/>
                  <w:marBottom w:val="0"/>
                  <w:divBdr>
                    <w:top w:val="none" w:sz="0" w:space="0" w:color="auto"/>
                    <w:left w:val="none" w:sz="0" w:space="0" w:color="auto"/>
                    <w:bottom w:val="none" w:sz="0" w:space="0" w:color="auto"/>
                    <w:right w:val="none" w:sz="0" w:space="0" w:color="auto"/>
                  </w:divBdr>
                </w:div>
                <w:div w:id="1211189324">
                  <w:marLeft w:val="0"/>
                  <w:marRight w:val="0"/>
                  <w:marTop w:val="0"/>
                  <w:marBottom w:val="0"/>
                  <w:divBdr>
                    <w:top w:val="none" w:sz="0" w:space="0" w:color="auto"/>
                    <w:left w:val="none" w:sz="0" w:space="0" w:color="auto"/>
                    <w:bottom w:val="none" w:sz="0" w:space="0" w:color="auto"/>
                    <w:right w:val="none" w:sz="0" w:space="0" w:color="auto"/>
                  </w:divBdr>
                  <w:divsChild>
                    <w:div w:id="107945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111685">
              <w:marLeft w:val="0"/>
              <w:marRight w:val="0"/>
              <w:marTop w:val="120"/>
              <w:marBottom w:val="0"/>
              <w:divBdr>
                <w:top w:val="none" w:sz="0" w:space="0" w:color="auto"/>
                <w:left w:val="none" w:sz="0" w:space="0" w:color="auto"/>
                <w:bottom w:val="none" w:sz="0" w:space="0" w:color="auto"/>
                <w:right w:val="none" w:sz="0" w:space="0" w:color="auto"/>
              </w:divBdr>
              <w:divsChild>
                <w:div w:id="157982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4602881?seq=5#metadata_info_tab_content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textilesincontext.net/tag/harriet-powers/" TargetMode="External"/><Relationship Id="rId4" Type="http://schemas.openxmlformats.org/officeDocument/2006/relationships/webSettings" Target="webSettings.xml"/><Relationship Id="rId9" Type="http://schemas.openxmlformats.org/officeDocument/2006/relationships/hyperlink" Target="https://nmwa.org/blog/artist-spotlight/the-common-thread-quilt-grid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nmwa.org/blog/artist-spotlight/the-common-thread-quilt-grids/%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3AA64-9820-45E7-A8A2-BA12F0B37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1641</Words>
  <Characters>9356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Dinah Mulholland</dc:creator>
  <cp:keywords/>
  <dc:description/>
  <cp:lastModifiedBy>Dinah Mulholland</cp:lastModifiedBy>
  <cp:revision>2</cp:revision>
  <dcterms:created xsi:type="dcterms:W3CDTF">2021-06-11T22:53:00Z</dcterms:created>
  <dcterms:modified xsi:type="dcterms:W3CDTF">2021-06-11T22:53:00Z</dcterms:modified>
</cp:coreProperties>
</file>