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198E79" w14:textId="24FD9C25" w:rsidR="00F82502" w:rsidRDefault="00F82502" w:rsidP="005B7337">
      <w:pPr>
        <w:pStyle w:val="BodyText"/>
        <w:spacing w:before="136"/>
        <w:rPr>
          <w:rFonts w:ascii="Arial"/>
          <w:b/>
          <w:sz w:val="20"/>
        </w:rPr>
      </w:pPr>
    </w:p>
    <w:p w14:paraId="3516F8A0" w14:textId="0C84508A" w:rsidR="00F82502" w:rsidRPr="009677ED" w:rsidRDefault="009677ED" w:rsidP="009677ED">
      <w:pPr>
        <w:jc w:val="center"/>
        <w:rPr>
          <w:b/>
          <w:bCs/>
        </w:rPr>
      </w:pPr>
      <w:r>
        <w:rPr>
          <w:lang w:val="ro-RO" w:eastAsia="ro-RO"/>
        </w:rPr>
        <w:drawing>
          <wp:inline distT="0" distB="0" distL="0" distR="0" wp14:anchorId="0C7BE1F0" wp14:editId="07976CC3">
            <wp:extent cx="5353050" cy="2517775"/>
            <wp:effectExtent l="0" t="0" r="0" b="0"/>
            <wp:docPr id="18331433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3050" cy="2517775"/>
                    </a:xfrm>
                    <a:prstGeom prst="rect">
                      <a:avLst/>
                    </a:prstGeom>
                    <a:noFill/>
                  </pic:spPr>
                </pic:pic>
              </a:graphicData>
            </a:graphic>
          </wp:inline>
        </w:drawing>
      </w:r>
    </w:p>
    <w:p w14:paraId="0021CDB8" w14:textId="6F3FD3C3" w:rsidR="00F82502" w:rsidRDefault="00F82502" w:rsidP="001B3314">
      <w:pPr>
        <w:tabs>
          <w:tab w:val="left" w:pos="5250"/>
        </w:tabs>
        <w:rPr>
          <w:b/>
          <w:bCs/>
        </w:rPr>
      </w:pPr>
    </w:p>
    <w:p w14:paraId="7119FB4A" w14:textId="027956A5" w:rsidR="009677ED" w:rsidRPr="009677ED" w:rsidRDefault="009677ED" w:rsidP="009677ED">
      <w:pPr>
        <w:spacing w:before="120" w:after="120"/>
        <w:jc w:val="left"/>
        <w:rPr>
          <w:rFonts w:eastAsia="Aptos" w:cs="Times New Roman"/>
          <w:noProof w:val="0"/>
          <w:kern w:val="2"/>
          <w:sz w:val="20"/>
          <w:szCs w:val="20"/>
          <w14:ligatures w14:val="standardContextual"/>
        </w:rPr>
      </w:pPr>
    </w:p>
    <w:p w14:paraId="2BDAF49D" w14:textId="77777777" w:rsidR="009677ED" w:rsidRPr="009677ED" w:rsidRDefault="009677ED" w:rsidP="001B3314">
      <w:pPr>
        <w:tabs>
          <w:tab w:val="left" w:pos="5250"/>
        </w:tabs>
        <w:rPr>
          <w:rStyle w:val="BookTitle"/>
          <w:sz w:val="28"/>
          <w:szCs w:val="28"/>
        </w:rPr>
      </w:pPr>
    </w:p>
    <w:p w14:paraId="47EE0317" w14:textId="77777777" w:rsidR="00F82502" w:rsidRPr="009677ED" w:rsidRDefault="00F82502" w:rsidP="00F82502">
      <w:pPr>
        <w:jc w:val="center"/>
        <w:rPr>
          <w:rStyle w:val="BookTitle"/>
          <w:sz w:val="28"/>
          <w:szCs w:val="28"/>
        </w:rPr>
      </w:pPr>
      <w:r w:rsidRPr="009677ED">
        <w:rPr>
          <w:rStyle w:val="BookTitle"/>
          <w:sz w:val="28"/>
          <w:szCs w:val="28"/>
        </w:rPr>
        <w:t>The Impact of Environmental Factors on HR Manager Effectiveness</w:t>
      </w:r>
    </w:p>
    <w:p w14:paraId="10F9599B" w14:textId="77777777" w:rsidR="00F82502" w:rsidRDefault="00F82502" w:rsidP="00F82502">
      <w:pPr>
        <w:jc w:val="center"/>
        <w:rPr>
          <w:rStyle w:val="BookTitle"/>
          <w:sz w:val="28"/>
          <w:szCs w:val="28"/>
        </w:rPr>
      </w:pPr>
      <w:r w:rsidRPr="009677ED">
        <w:rPr>
          <w:rStyle w:val="BookTitle"/>
          <w:sz w:val="28"/>
          <w:szCs w:val="28"/>
        </w:rPr>
        <w:t>A PESTLE Analysis of Waitrose</w:t>
      </w:r>
    </w:p>
    <w:p w14:paraId="03FDB790" w14:textId="77777777" w:rsidR="00541467" w:rsidRDefault="00541467" w:rsidP="00F82502">
      <w:pPr>
        <w:jc w:val="center"/>
        <w:rPr>
          <w:rStyle w:val="BookTitle"/>
          <w:sz w:val="28"/>
          <w:szCs w:val="28"/>
        </w:rPr>
      </w:pPr>
    </w:p>
    <w:p w14:paraId="3777BB97" w14:textId="77777777" w:rsidR="00541467" w:rsidRPr="009677ED" w:rsidRDefault="00541467" w:rsidP="00F82502">
      <w:pPr>
        <w:jc w:val="center"/>
        <w:rPr>
          <w:rStyle w:val="BookTitle"/>
          <w:sz w:val="28"/>
          <w:szCs w:val="28"/>
        </w:rPr>
      </w:pPr>
    </w:p>
    <w:p w14:paraId="72E7F6A5" w14:textId="77777777" w:rsidR="00F82502" w:rsidRDefault="00F82502" w:rsidP="009115DB">
      <w:pPr>
        <w:rPr>
          <w:b/>
          <w:bCs/>
        </w:rPr>
      </w:pPr>
    </w:p>
    <w:p w14:paraId="623E3337" w14:textId="77777777" w:rsidR="00541467" w:rsidRPr="00541467" w:rsidRDefault="00541467" w:rsidP="00541467">
      <w:pPr>
        <w:rPr>
          <w:b/>
          <w:bCs/>
        </w:rPr>
      </w:pPr>
      <w:bookmarkStart w:id="0" w:name="_GoBack"/>
      <w:bookmarkEnd w:id="0"/>
    </w:p>
    <w:p w14:paraId="073F9D66" w14:textId="77777777" w:rsidR="00541467" w:rsidRDefault="00541467" w:rsidP="00541467">
      <w:pPr>
        <w:rPr>
          <w:b/>
          <w:bCs/>
        </w:rPr>
      </w:pPr>
      <w:r w:rsidRPr="00541467">
        <w:rPr>
          <w:b/>
          <w:bCs/>
        </w:rPr>
        <w:t>Student Name: Paul - Iustinian Fer</w:t>
      </w:r>
    </w:p>
    <w:p w14:paraId="4C95FCB0" w14:textId="248D149A" w:rsidR="00541467" w:rsidRPr="00541467" w:rsidRDefault="00541467" w:rsidP="00541467">
      <w:pPr>
        <w:rPr>
          <w:b/>
          <w:bCs/>
        </w:rPr>
      </w:pPr>
      <w:r>
        <w:rPr>
          <w:b/>
          <w:bCs/>
        </w:rPr>
        <w:t xml:space="preserve">Student ID : </w:t>
      </w:r>
      <w:r w:rsidRPr="00541467">
        <w:rPr>
          <w:rFonts w:eastAsia="Calibri" w:cs="Times New Roman"/>
          <w:b/>
          <w:bCs/>
          <w:noProof w:val="0"/>
          <w:kern w:val="2"/>
          <w:szCs w:val="24"/>
          <w14:ligatures w14:val="standardContextual"/>
        </w:rPr>
        <w:t>2411232</w:t>
      </w:r>
    </w:p>
    <w:p w14:paraId="2E86126B" w14:textId="77777777" w:rsidR="00541467" w:rsidRPr="00541467" w:rsidRDefault="00541467" w:rsidP="00541467">
      <w:pPr>
        <w:rPr>
          <w:b/>
          <w:bCs/>
        </w:rPr>
      </w:pPr>
      <w:r w:rsidRPr="00541467">
        <w:rPr>
          <w:b/>
          <w:bCs/>
        </w:rPr>
        <w:t>Module Name: Principles of Human Resource Management</w:t>
      </w:r>
    </w:p>
    <w:p w14:paraId="687D6DD5" w14:textId="77777777" w:rsidR="00541467" w:rsidRPr="00541467" w:rsidRDefault="00541467" w:rsidP="00541467">
      <w:pPr>
        <w:rPr>
          <w:b/>
          <w:bCs/>
        </w:rPr>
      </w:pPr>
      <w:r w:rsidRPr="00541467">
        <w:rPr>
          <w:b/>
          <w:bCs/>
        </w:rPr>
        <w:t>Module Code:  (LCBB5012_LON)</w:t>
      </w:r>
    </w:p>
    <w:p w14:paraId="07646F7B" w14:textId="2EEB71DA" w:rsidR="00541467" w:rsidRDefault="00541467" w:rsidP="00541467">
      <w:pPr>
        <w:rPr>
          <w:b/>
          <w:bCs/>
        </w:rPr>
      </w:pPr>
      <w:r w:rsidRPr="00541467">
        <w:rPr>
          <w:b/>
          <w:bCs/>
        </w:rPr>
        <w:t>Lecturer Name:  Rameses Manalang</w:t>
      </w:r>
    </w:p>
    <w:p w14:paraId="7C94E60B" w14:textId="77777777" w:rsidR="009677ED" w:rsidRDefault="001B3314" w:rsidP="009115DB">
      <w:pPr>
        <w:rPr>
          <w:b/>
          <w:bCs/>
        </w:rPr>
      </w:pPr>
      <w:r>
        <w:rPr>
          <w:b/>
          <w:bCs/>
        </w:rPr>
        <w:br w:type="column"/>
      </w:r>
    </w:p>
    <w:sdt>
      <w:sdtPr>
        <w:rPr>
          <w:rFonts w:ascii="Times New Roman" w:eastAsiaTheme="minorHAnsi" w:hAnsi="Times New Roman" w:cstheme="minorBidi"/>
          <w:noProof/>
          <w:color w:val="auto"/>
          <w:sz w:val="24"/>
          <w:szCs w:val="22"/>
          <w:lang w:val="en-GB"/>
        </w:rPr>
        <w:id w:val="-1693992724"/>
        <w:docPartObj>
          <w:docPartGallery w:val="Table of Contents"/>
          <w:docPartUnique/>
        </w:docPartObj>
      </w:sdtPr>
      <w:sdtEndPr>
        <w:rPr>
          <w:b/>
          <w:bCs/>
        </w:rPr>
      </w:sdtEndPr>
      <w:sdtContent>
        <w:p w14:paraId="774A40EF" w14:textId="0ED5FF3D" w:rsidR="009677ED" w:rsidRDefault="009677ED">
          <w:pPr>
            <w:pStyle w:val="TOCHeading"/>
          </w:pPr>
          <w:r>
            <w:t>Table of Contents</w:t>
          </w:r>
        </w:p>
        <w:p w14:paraId="3B35673E" w14:textId="6305443D" w:rsidR="009677ED" w:rsidRDefault="009677ED">
          <w:pPr>
            <w:pStyle w:val="TOC1"/>
            <w:tabs>
              <w:tab w:val="right" w:leader="dot" w:pos="9016"/>
            </w:tabs>
            <w:rPr>
              <w:rFonts w:asciiTheme="minorHAnsi" w:eastAsiaTheme="minorEastAsia" w:hAnsiTheme="minorHAnsi"/>
              <w:kern w:val="2"/>
              <w:szCs w:val="24"/>
              <w:lang w:eastAsia="en-GB"/>
              <w14:ligatures w14:val="standardContextual"/>
            </w:rPr>
          </w:pPr>
          <w:r>
            <w:fldChar w:fldCharType="begin"/>
          </w:r>
          <w:r>
            <w:instrText xml:space="preserve"> TOC \o "1-3" \h \z \u </w:instrText>
          </w:r>
          <w:r>
            <w:fldChar w:fldCharType="separate"/>
          </w:r>
          <w:hyperlink w:anchor="_Toc237948679" w:history="1">
            <w:r w:rsidRPr="002E6B38">
              <w:rPr>
                <w:rStyle w:val="Hyperlink"/>
              </w:rPr>
              <w:t>1. Introduction</w:t>
            </w:r>
            <w:r>
              <w:rPr>
                <w:webHidden/>
              </w:rPr>
              <w:tab/>
            </w:r>
            <w:r>
              <w:rPr>
                <w:webHidden/>
              </w:rPr>
              <w:fldChar w:fldCharType="begin"/>
            </w:r>
            <w:r>
              <w:rPr>
                <w:webHidden/>
              </w:rPr>
              <w:instrText xml:space="preserve"> PAGEREF _Toc237948679 \h </w:instrText>
            </w:r>
            <w:r>
              <w:rPr>
                <w:webHidden/>
              </w:rPr>
            </w:r>
            <w:r>
              <w:rPr>
                <w:webHidden/>
              </w:rPr>
              <w:fldChar w:fldCharType="separate"/>
            </w:r>
            <w:r>
              <w:rPr>
                <w:webHidden/>
              </w:rPr>
              <w:t>3</w:t>
            </w:r>
            <w:r>
              <w:rPr>
                <w:webHidden/>
              </w:rPr>
              <w:fldChar w:fldCharType="end"/>
            </w:r>
          </w:hyperlink>
        </w:p>
        <w:p w14:paraId="0AC69151" w14:textId="18BA8622" w:rsidR="009677ED" w:rsidRDefault="00C341C3">
          <w:pPr>
            <w:pStyle w:val="TOC1"/>
            <w:tabs>
              <w:tab w:val="right" w:leader="dot" w:pos="9016"/>
            </w:tabs>
            <w:rPr>
              <w:rFonts w:asciiTheme="minorHAnsi" w:eastAsiaTheme="minorEastAsia" w:hAnsiTheme="minorHAnsi"/>
              <w:kern w:val="2"/>
              <w:szCs w:val="24"/>
              <w:lang w:eastAsia="en-GB"/>
              <w14:ligatures w14:val="standardContextual"/>
            </w:rPr>
          </w:pPr>
          <w:hyperlink w:anchor="_Toc237948680" w:history="1">
            <w:r w:rsidR="009677ED" w:rsidRPr="002E6B38">
              <w:rPr>
                <w:rStyle w:val="Hyperlink"/>
              </w:rPr>
              <w:t>2. Internal and External Environment: The PESTLE Framework</w:t>
            </w:r>
            <w:r w:rsidR="009677ED">
              <w:rPr>
                <w:webHidden/>
              </w:rPr>
              <w:tab/>
            </w:r>
            <w:r w:rsidR="009677ED">
              <w:rPr>
                <w:webHidden/>
              </w:rPr>
              <w:fldChar w:fldCharType="begin"/>
            </w:r>
            <w:r w:rsidR="009677ED">
              <w:rPr>
                <w:webHidden/>
              </w:rPr>
              <w:instrText xml:space="preserve"> PAGEREF _Toc237948680 \h </w:instrText>
            </w:r>
            <w:r w:rsidR="009677ED">
              <w:rPr>
                <w:webHidden/>
              </w:rPr>
            </w:r>
            <w:r w:rsidR="009677ED">
              <w:rPr>
                <w:webHidden/>
              </w:rPr>
              <w:fldChar w:fldCharType="separate"/>
            </w:r>
            <w:r w:rsidR="009677ED">
              <w:rPr>
                <w:webHidden/>
              </w:rPr>
              <w:t>3</w:t>
            </w:r>
            <w:r w:rsidR="009677ED">
              <w:rPr>
                <w:webHidden/>
              </w:rPr>
              <w:fldChar w:fldCharType="end"/>
            </w:r>
          </w:hyperlink>
        </w:p>
        <w:p w14:paraId="7EC17C8E" w14:textId="311D698C" w:rsidR="009677ED" w:rsidRDefault="00C341C3">
          <w:pPr>
            <w:pStyle w:val="TOC2"/>
            <w:tabs>
              <w:tab w:val="right" w:leader="dot" w:pos="9016"/>
            </w:tabs>
            <w:rPr>
              <w:rFonts w:asciiTheme="minorHAnsi" w:eastAsiaTheme="minorEastAsia" w:hAnsiTheme="minorHAnsi"/>
              <w:kern w:val="2"/>
              <w:szCs w:val="24"/>
              <w:lang w:eastAsia="en-GB"/>
              <w14:ligatures w14:val="standardContextual"/>
            </w:rPr>
          </w:pPr>
          <w:hyperlink w:anchor="_Toc237948681" w:history="1">
            <w:r w:rsidR="009677ED" w:rsidRPr="002E6B38">
              <w:rPr>
                <w:rStyle w:val="Hyperlink"/>
              </w:rPr>
              <w:t>2.1 The PESTLE Model and its Application to HR</w:t>
            </w:r>
            <w:r w:rsidR="009677ED">
              <w:rPr>
                <w:webHidden/>
              </w:rPr>
              <w:tab/>
            </w:r>
            <w:r w:rsidR="009677ED">
              <w:rPr>
                <w:webHidden/>
              </w:rPr>
              <w:fldChar w:fldCharType="begin"/>
            </w:r>
            <w:r w:rsidR="009677ED">
              <w:rPr>
                <w:webHidden/>
              </w:rPr>
              <w:instrText xml:space="preserve"> PAGEREF _Toc237948681 \h </w:instrText>
            </w:r>
            <w:r w:rsidR="009677ED">
              <w:rPr>
                <w:webHidden/>
              </w:rPr>
            </w:r>
            <w:r w:rsidR="009677ED">
              <w:rPr>
                <w:webHidden/>
              </w:rPr>
              <w:fldChar w:fldCharType="separate"/>
            </w:r>
            <w:r w:rsidR="009677ED">
              <w:rPr>
                <w:webHidden/>
              </w:rPr>
              <w:t>3</w:t>
            </w:r>
            <w:r w:rsidR="009677ED">
              <w:rPr>
                <w:webHidden/>
              </w:rPr>
              <w:fldChar w:fldCharType="end"/>
            </w:r>
          </w:hyperlink>
        </w:p>
        <w:p w14:paraId="5FD45343" w14:textId="1763F246" w:rsidR="009677ED" w:rsidRDefault="00C341C3">
          <w:pPr>
            <w:pStyle w:val="TOC2"/>
            <w:tabs>
              <w:tab w:val="right" w:leader="dot" w:pos="9016"/>
            </w:tabs>
            <w:rPr>
              <w:rFonts w:asciiTheme="minorHAnsi" w:eastAsiaTheme="minorEastAsia" w:hAnsiTheme="minorHAnsi"/>
              <w:kern w:val="2"/>
              <w:szCs w:val="24"/>
              <w:lang w:eastAsia="en-GB"/>
              <w14:ligatures w14:val="standardContextual"/>
            </w:rPr>
          </w:pPr>
          <w:hyperlink w:anchor="_Toc237948682" w:history="1">
            <w:r w:rsidR="009677ED" w:rsidRPr="002E6B38">
              <w:rPr>
                <w:rStyle w:val="Hyperlink"/>
              </w:rPr>
              <w:t>2.2 Limitations of the Framework</w:t>
            </w:r>
            <w:r w:rsidR="009677ED">
              <w:rPr>
                <w:webHidden/>
              </w:rPr>
              <w:tab/>
            </w:r>
            <w:r w:rsidR="009677ED">
              <w:rPr>
                <w:webHidden/>
              </w:rPr>
              <w:fldChar w:fldCharType="begin"/>
            </w:r>
            <w:r w:rsidR="009677ED">
              <w:rPr>
                <w:webHidden/>
              </w:rPr>
              <w:instrText xml:space="preserve"> PAGEREF _Toc237948682 \h </w:instrText>
            </w:r>
            <w:r w:rsidR="009677ED">
              <w:rPr>
                <w:webHidden/>
              </w:rPr>
            </w:r>
            <w:r w:rsidR="009677ED">
              <w:rPr>
                <w:webHidden/>
              </w:rPr>
              <w:fldChar w:fldCharType="separate"/>
            </w:r>
            <w:r w:rsidR="009677ED">
              <w:rPr>
                <w:webHidden/>
              </w:rPr>
              <w:t>4</w:t>
            </w:r>
            <w:r w:rsidR="009677ED">
              <w:rPr>
                <w:webHidden/>
              </w:rPr>
              <w:fldChar w:fldCharType="end"/>
            </w:r>
          </w:hyperlink>
        </w:p>
        <w:p w14:paraId="6F8B1EF5" w14:textId="1B296D93" w:rsidR="009677ED" w:rsidRDefault="00C341C3">
          <w:pPr>
            <w:pStyle w:val="TOC2"/>
            <w:tabs>
              <w:tab w:val="right" w:leader="dot" w:pos="9016"/>
            </w:tabs>
            <w:rPr>
              <w:rFonts w:asciiTheme="minorHAnsi" w:eastAsiaTheme="minorEastAsia" w:hAnsiTheme="minorHAnsi"/>
              <w:kern w:val="2"/>
              <w:szCs w:val="24"/>
              <w:lang w:eastAsia="en-GB"/>
              <w14:ligatures w14:val="standardContextual"/>
            </w:rPr>
          </w:pPr>
          <w:hyperlink w:anchor="_Toc237948683" w:history="1">
            <w:r w:rsidR="009677ED" w:rsidRPr="002E6B38">
              <w:rPr>
                <w:rStyle w:val="Hyperlink"/>
              </w:rPr>
              <w:t>2.3 Linking PESTLE to HR Functions</w:t>
            </w:r>
            <w:r w:rsidR="009677ED">
              <w:rPr>
                <w:webHidden/>
              </w:rPr>
              <w:tab/>
            </w:r>
            <w:r w:rsidR="009677ED">
              <w:rPr>
                <w:webHidden/>
              </w:rPr>
              <w:fldChar w:fldCharType="begin"/>
            </w:r>
            <w:r w:rsidR="009677ED">
              <w:rPr>
                <w:webHidden/>
              </w:rPr>
              <w:instrText xml:space="preserve"> PAGEREF _Toc237948683 \h </w:instrText>
            </w:r>
            <w:r w:rsidR="009677ED">
              <w:rPr>
                <w:webHidden/>
              </w:rPr>
            </w:r>
            <w:r w:rsidR="009677ED">
              <w:rPr>
                <w:webHidden/>
              </w:rPr>
              <w:fldChar w:fldCharType="separate"/>
            </w:r>
            <w:r w:rsidR="009677ED">
              <w:rPr>
                <w:webHidden/>
              </w:rPr>
              <w:t>4</w:t>
            </w:r>
            <w:r w:rsidR="009677ED">
              <w:rPr>
                <w:webHidden/>
              </w:rPr>
              <w:fldChar w:fldCharType="end"/>
            </w:r>
          </w:hyperlink>
        </w:p>
        <w:p w14:paraId="472F933E" w14:textId="5ADAAB3C" w:rsidR="009677ED" w:rsidRDefault="00C341C3">
          <w:pPr>
            <w:pStyle w:val="TOC2"/>
            <w:tabs>
              <w:tab w:val="right" w:leader="dot" w:pos="9016"/>
            </w:tabs>
            <w:rPr>
              <w:rFonts w:asciiTheme="minorHAnsi" w:eastAsiaTheme="minorEastAsia" w:hAnsiTheme="minorHAnsi"/>
              <w:kern w:val="2"/>
              <w:szCs w:val="24"/>
              <w:lang w:eastAsia="en-GB"/>
              <w14:ligatures w14:val="standardContextual"/>
            </w:rPr>
          </w:pPr>
          <w:hyperlink w:anchor="_Toc237948684" w:history="1">
            <w:r w:rsidR="009677ED" w:rsidRPr="002E6B38">
              <w:rPr>
                <w:rStyle w:val="Hyperlink"/>
              </w:rPr>
              <w:t>2.4 Internal Environmental Factors</w:t>
            </w:r>
            <w:r w:rsidR="009677ED">
              <w:rPr>
                <w:webHidden/>
              </w:rPr>
              <w:tab/>
            </w:r>
            <w:r w:rsidR="009677ED">
              <w:rPr>
                <w:webHidden/>
              </w:rPr>
              <w:fldChar w:fldCharType="begin"/>
            </w:r>
            <w:r w:rsidR="009677ED">
              <w:rPr>
                <w:webHidden/>
              </w:rPr>
              <w:instrText xml:space="preserve"> PAGEREF _Toc237948684 \h </w:instrText>
            </w:r>
            <w:r w:rsidR="009677ED">
              <w:rPr>
                <w:webHidden/>
              </w:rPr>
            </w:r>
            <w:r w:rsidR="009677ED">
              <w:rPr>
                <w:webHidden/>
              </w:rPr>
              <w:fldChar w:fldCharType="separate"/>
            </w:r>
            <w:r w:rsidR="009677ED">
              <w:rPr>
                <w:webHidden/>
              </w:rPr>
              <w:t>4</w:t>
            </w:r>
            <w:r w:rsidR="009677ED">
              <w:rPr>
                <w:webHidden/>
              </w:rPr>
              <w:fldChar w:fldCharType="end"/>
            </w:r>
          </w:hyperlink>
        </w:p>
        <w:p w14:paraId="07307D48" w14:textId="0EE72F1C" w:rsidR="009677ED" w:rsidRDefault="00C341C3">
          <w:pPr>
            <w:pStyle w:val="TOC1"/>
            <w:tabs>
              <w:tab w:val="right" w:leader="dot" w:pos="9016"/>
            </w:tabs>
            <w:rPr>
              <w:rFonts w:asciiTheme="minorHAnsi" w:eastAsiaTheme="minorEastAsia" w:hAnsiTheme="minorHAnsi"/>
              <w:kern w:val="2"/>
              <w:szCs w:val="24"/>
              <w:lang w:eastAsia="en-GB"/>
              <w14:ligatures w14:val="standardContextual"/>
            </w:rPr>
          </w:pPr>
          <w:hyperlink w:anchor="_Toc237948685" w:history="1">
            <w:r w:rsidR="009677ED" w:rsidRPr="002E6B38">
              <w:rPr>
                <w:rStyle w:val="Hyperlink"/>
              </w:rPr>
              <w:t>3. Organisation Application: Waitrose</w:t>
            </w:r>
            <w:r w:rsidR="009677ED">
              <w:rPr>
                <w:webHidden/>
              </w:rPr>
              <w:tab/>
            </w:r>
            <w:r w:rsidR="009677ED">
              <w:rPr>
                <w:webHidden/>
              </w:rPr>
              <w:fldChar w:fldCharType="begin"/>
            </w:r>
            <w:r w:rsidR="009677ED">
              <w:rPr>
                <w:webHidden/>
              </w:rPr>
              <w:instrText xml:space="preserve"> PAGEREF _Toc237948685 \h </w:instrText>
            </w:r>
            <w:r w:rsidR="009677ED">
              <w:rPr>
                <w:webHidden/>
              </w:rPr>
            </w:r>
            <w:r w:rsidR="009677ED">
              <w:rPr>
                <w:webHidden/>
              </w:rPr>
              <w:fldChar w:fldCharType="separate"/>
            </w:r>
            <w:r w:rsidR="009677ED">
              <w:rPr>
                <w:webHidden/>
              </w:rPr>
              <w:t>5</w:t>
            </w:r>
            <w:r w:rsidR="009677ED">
              <w:rPr>
                <w:webHidden/>
              </w:rPr>
              <w:fldChar w:fldCharType="end"/>
            </w:r>
          </w:hyperlink>
        </w:p>
        <w:p w14:paraId="6A42D8C5" w14:textId="64444C90" w:rsidR="009677ED" w:rsidRDefault="00C341C3">
          <w:pPr>
            <w:pStyle w:val="TOC2"/>
            <w:tabs>
              <w:tab w:val="right" w:leader="dot" w:pos="9016"/>
            </w:tabs>
            <w:rPr>
              <w:rFonts w:asciiTheme="minorHAnsi" w:eastAsiaTheme="minorEastAsia" w:hAnsiTheme="minorHAnsi"/>
              <w:kern w:val="2"/>
              <w:szCs w:val="24"/>
              <w:lang w:eastAsia="en-GB"/>
              <w14:ligatures w14:val="standardContextual"/>
            </w:rPr>
          </w:pPr>
          <w:hyperlink w:anchor="_Toc237948686" w:history="1">
            <w:r w:rsidR="009677ED" w:rsidRPr="002E6B38">
              <w:rPr>
                <w:rStyle w:val="Hyperlink"/>
              </w:rPr>
              <w:t>3.1 Organisation Overview</w:t>
            </w:r>
            <w:r w:rsidR="009677ED">
              <w:rPr>
                <w:webHidden/>
              </w:rPr>
              <w:tab/>
            </w:r>
            <w:r w:rsidR="009677ED">
              <w:rPr>
                <w:webHidden/>
              </w:rPr>
              <w:fldChar w:fldCharType="begin"/>
            </w:r>
            <w:r w:rsidR="009677ED">
              <w:rPr>
                <w:webHidden/>
              </w:rPr>
              <w:instrText xml:space="preserve"> PAGEREF _Toc237948686 \h </w:instrText>
            </w:r>
            <w:r w:rsidR="009677ED">
              <w:rPr>
                <w:webHidden/>
              </w:rPr>
            </w:r>
            <w:r w:rsidR="009677ED">
              <w:rPr>
                <w:webHidden/>
              </w:rPr>
              <w:fldChar w:fldCharType="separate"/>
            </w:r>
            <w:r w:rsidR="009677ED">
              <w:rPr>
                <w:webHidden/>
              </w:rPr>
              <w:t>5</w:t>
            </w:r>
            <w:r w:rsidR="009677ED">
              <w:rPr>
                <w:webHidden/>
              </w:rPr>
              <w:fldChar w:fldCharType="end"/>
            </w:r>
          </w:hyperlink>
        </w:p>
        <w:p w14:paraId="2182DE73" w14:textId="6D6D82C9" w:rsidR="009677ED" w:rsidRDefault="00C341C3">
          <w:pPr>
            <w:pStyle w:val="TOC2"/>
            <w:tabs>
              <w:tab w:val="right" w:leader="dot" w:pos="9016"/>
            </w:tabs>
            <w:rPr>
              <w:rFonts w:asciiTheme="minorHAnsi" w:eastAsiaTheme="minorEastAsia" w:hAnsiTheme="minorHAnsi"/>
              <w:kern w:val="2"/>
              <w:szCs w:val="24"/>
              <w:lang w:eastAsia="en-GB"/>
              <w14:ligatures w14:val="standardContextual"/>
            </w:rPr>
          </w:pPr>
          <w:hyperlink w:anchor="_Toc237948687" w:history="1">
            <w:r w:rsidR="009677ED" w:rsidRPr="002E6B38">
              <w:rPr>
                <w:rStyle w:val="Hyperlink"/>
              </w:rPr>
              <w:t>3.2 Waitrose HR Practices</w:t>
            </w:r>
            <w:r w:rsidR="009677ED">
              <w:rPr>
                <w:webHidden/>
              </w:rPr>
              <w:tab/>
            </w:r>
            <w:r w:rsidR="009677ED">
              <w:rPr>
                <w:webHidden/>
              </w:rPr>
              <w:fldChar w:fldCharType="begin"/>
            </w:r>
            <w:r w:rsidR="009677ED">
              <w:rPr>
                <w:webHidden/>
              </w:rPr>
              <w:instrText xml:space="preserve"> PAGEREF _Toc237948687 \h </w:instrText>
            </w:r>
            <w:r w:rsidR="009677ED">
              <w:rPr>
                <w:webHidden/>
              </w:rPr>
            </w:r>
            <w:r w:rsidR="009677ED">
              <w:rPr>
                <w:webHidden/>
              </w:rPr>
              <w:fldChar w:fldCharType="separate"/>
            </w:r>
            <w:r w:rsidR="009677ED">
              <w:rPr>
                <w:webHidden/>
              </w:rPr>
              <w:t>5</w:t>
            </w:r>
            <w:r w:rsidR="009677ED">
              <w:rPr>
                <w:webHidden/>
              </w:rPr>
              <w:fldChar w:fldCharType="end"/>
            </w:r>
          </w:hyperlink>
        </w:p>
        <w:p w14:paraId="349CB64C" w14:textId="1F40D4A2" w:rsidR="009677ED" w:rsidRDefault="00C341C3">
          <w:pPr>
            <w:pStyle w:val="TOC1"/>
            <w:tabs>
              <w:tab w:val="right" w:leader="dot" w:pos="9016"/>
            </w:tabs>
            <w:rPr>
              <w:rFonts w:asciiTheme="minorHAnsi" w:eastAsiaTheme="minorEastAsia" w:hAnsiTheme="minorHAnsi"/>
              <w:kern w:val="2"/>
              <w:szCs w:val="24"/>
              <w:lang w:eastAsia="en-GB"/>
              <w14:ligatures w14:val="standardContextual"/>
            </w:rPr>
          </w:pPr>
          <w:hyperlink w:anchor="_Toc237948688" w:history="1">
            <w:r w:rsidR="009677ED" w:rsidRPr="002E6B38">
              <w:rPr>
                <w:rStyle w:val="Hyperlink"/>
              </w:rPr>
              <w:t>4. Application of PESTLE Model to Waitrose</w:t>
            </w:r>
            <w:r w:rsidR="009677ED">
              <w:rPr>
                <w:webHidden/>
              </w:rPr>
              <w:tab/>
            </w:r>
            <w:r w:rsidR="009677ED">
              <w:rPr>
                <w:webHidden/>
              </w:rPr>
              <w:fldChar w:fldCharType="begin"/>
            </w:r>
            <w:r w:rsidR="009677ED">
              <w:rPr>
                <w:webHidden/>
              </w:rPr>
              <w:instrText xml:space="preserve"> PAGEREF _Toc237948688 \h </w:instrText>
            </w:r>
            <w:r w:rsidR="009677ED">
              <w:rPr>
                <w:webHidden/>
              </w:rPr>
            </w:r>
            <w:r w:rsidR="009677ED">
              <w:rPr>
                <w:webHidden/>
              </w:rPr>
              <w:fldChar w:fldCharType="separate"/>
            </w:r>
            <w:r w:rsidR="009677ED">
              <w:rPr>
                <w:webHidden/>
              </w:rPr>
              <w:t>6</w:t>
            </w:r>
            <w:r w:rsidR="009677ED">
              <w:rPr>
                <w:webHidden/>
              </w:rPr>
              <w:fldChar w:fldCharType="end"/>
            </w:r>
          </w:hyperlink>
        </w:p>
        <w:p w14:paraId="7B0A5740" w14:textId="094AB475" w:rsidR="009677ED" w:rsidRDefault="00C341C3">
          <w:pPr>
            <w:pStyle w:val="TOC2"/>
            <w:tabs>
              <w:tab w:val="right" w:leader="dot" w:pos="9016"/>
            </w:tabs>
            <w:rPr>
              <w:rFonts w:asciiTheme="minorHAnsi" w:eastAsiaTheme="minorEastAsia" w:hAnsiTheme="minorHAnsi"/>
              <w:kern w:val="2"/>
              <w:szCs w:val="24"/>
              <w:lang w:eastAsia="en-GB"/>
              <w14:ligatures w14:val="standardContextual"/>
            </w:rPr>
          </w:pPr>
          <w:hyperlink w:anchor="_Toc237948689" w:history="1">
            <w:r w:rsidR="009677ED" w:rsidRPr="002E6B38">
              <w:rPr>
                <w:rStyle w:val="Hyperlink"/>
              </w:rPr>
              <w:t>4.1 Political Factors</w:t>
            </w:r>
            <w:r w:rsidR="009677ED">
              <w:rPr>
                <w:webHidden/>
              </w:rPr>
              <w:tab/>
            </w:r>
            <w:r w:rsidR="009677ED">
              <w:rPr>
                <w:webHidden/>
              </w:rPr>
              <w:fldChar w:fldCharType="begin"/>
            </w:r>
            <w:r w:rsidR="009677ED">
              <w:rPr>
                <w:webHidden/>
              </w:rPr>
              <w:instrText xml:space="preserve"> PAGEREF _Toc237948689 \h </w:instrText>
            </w:r>
            <w:r w:rsidR="009677ED">
              <w:rPr>
                <w:webHidden/>
              </w:rPr>
            </w:r>
            <w:r w:rsidR="009677ED">
              <w:rPr>
                <w:webHidden/>
              </w:rPr>
              <w:fldChar w:fldCharType="separate"/>
            </w:r>
            <w:r w:rsidR="009677ED">
              <w:rPr>
                <w:webHidden/>
              </w:rPr>
              <w:t>6</w:t>
            </w:r>
            <w:r w:rsidR="009677ED">
              <w:rPr>
                <w:webHidden/>
              </w:rPr>
              <w:fldChar w:fldCharType="end"/>
            </w:r>
          </w:hyperlink>
        </w:p>
        <w:p w14:paraId="56C223B1" w14:textId="2E3F2B98" w:rsidR="009677ED" w:rsidRDefault="00C341C3">
          <w:pPr>
            <w:pStyle w:val="TOC2"/>
            <w:tabs>
              <w:tab w:val="right" w:leader="dot" w:pos="9016"/>
            </w:tabs>
            <w:rPr>
              <w:rFonts w:asciiTheme="minorHAnsi" w:eastAsiaTheme="minorEastAsia" w:hAnsiTheme="minorHAnsi"/>
              <w:kern w:val="2"/>
              <w:szCs w:val="24"/>
              <w:lang w:eastAsia="en-GB"/>
              <w14:ligatures w14:val="standardContextual"/>
            </w:rPr>
          </w:pPr>
          <w:hyperlink w:anchor="_Toc237948690" w:history="1">
            <w:r w:rsidR="009677ED" w:rsidRPr="002E6B38">
              <w:rPr>
                <w:rStyle w:val="Hyperlink"/>
              </w:rPr>
              <w:t>4.2 Economic Factors</w:t>
            </w:r>
            <w:r w:rsidR="009677ED">
              <w:rPr>
                <w:webHidden/>
              </w:rPr>
              <w:tab/>
            </w:r>
            <w:r w:rsidR="009677ED">
              <w:rPr>
                <w:webHidden/>
              </w:rPr>
              <w:fldChar w:fldCharType="begin"/>
            </w:r>
            <w:r w:rsidR="009677ED">
              <w:rPr>
                <w:webHidden/>
              </w:rPr>
              <w:instrText xml:space="preserve"> PAGEREF _Toc237948690 \h </w:instrText>
            </w:r>
            <w:r w:rsidR="009677ED">
              <w:rPr>
                <w:webHidden/>
              </w:rPr>
            </w:r>
            <w:r w:rsidR="009677ED">
              <w:rPr>
                <w:webHidden/>
              </w:rPr>
              <w:fldChar w:fldCharType="separate"/>
            </w:r>
            <w:r w:rsidR="009677ED">
              <w:rPr>
                <w:webHidden/>
              </w:rPr>
              <w:t>6</w:t>
            </w:r>
            <w:r w:rsidR="009677ED">
              <w:rPr>
                <w:webHidden/>
              </w:rPr>
              <w:fldChar w:fldCharType="end"/>
            </w:r>
          </w:hyperlink>
        </w:p>
        <w:p w14:paraId="70E01770" w14:textId="44981B27" w:rsidR="009677ED" w:rsidRDefault="00C341C3">
          <w:pPr>
            <w:pStyle w:val="TOC2"/>
            <w:tabs>
              <w:tab w:val="right" w:leader="dot" w:pos="9016"/>
            </w:tabs>
            <w:rPr>
              <w:rFonts w:asciiTheme="minorHAnsi" w:eastAsiaTheme="minorEastAsia" w:hAnsiTheme="minorHAnsi"/>
              <w:kern w:val="2"/>
              <w:szCs w:val="24"/>
              <w:lang w:eastAsia="en-GB"/>
              <w14:ligatures w14:val="standardContextual"/>
            </w:rPr>
          </w:pPr>
          <w:hyperlink w:anchor="_Toc237948691" w:history="1">
            <w:r w:rsidR="009677ED" w:rsidRPr="002E6B38">
              <w:rPr>
                <w:rStyle w:val="Hyperlink"/>
              </w:rPr>
              <w:t>4.3 Social Factors</w:t>
            </w:r>
            <w:r w:rsidR="009677ED">
              <w:rPr>
                <w:webHidden/>
              </w:rPr>
              <w:tab/>
            </w:r>
            <w:r w:rsidR="009677ED">
              <w:rPr>
                <w:webHidden/>
              </w:rPr>
              <w:fldChar w:fldCharType="begin"/>
            </w:r>
            <w:r w:rsidR="009677ED">
              <w:rPr>
                <w:webHidden/>
              </w:rPr>
              <w:instrText xml:space="preserve"> PAGEREF _Toc237948691 \h </w:instrText>
            </w:r>
            <w:r w:rsidR="009677ED">
              <w:rPr>
                <w:webHidden/>
              </w:rPr>
            </w:r>
            <w:r w:rsidR="009677ED">
              <w:rPr>
                <w:webHidden/>
              </w:rPr>
              <w:fldChar w:fldCharType="separate"/>
            </w:r>
            <w:r w:rsidR="009677ED">
              <w:rPr>
                <w:webHidden/>
              </w:rPr>
              <w:t>6</w:t>
            </w:r>
            <w:r w:rsidR="009677ED">
              <w:rPr>
                <w:webHidden/>
              </w:rPr>
              <w:fldChar w:fldCharType="end"/>
            </w:r>
          </w:hyperlink>
        </w:p>
        <w:p w14:paraId="5FF0113B" w14:textId="030D6200" w:rsidR="009677ED" w:rsidRDefault="00C341C3">
          <w:pPr>
            <w:pStyle w:val="TOC2"/>
            <w:tabs>
              <w:tab w:val="right" w:leader="dot" w:pos="9016"/>
            </w:tabs>
            <w:rPr>
              <w:rFonts w:asciiTheme="minorHAnsi" w:eastAsiaTheme="minorEastAsia" w:hAnsiTheme="minorHAnsi"/>
              <w:kern w:val="2"/>
              <w:szCs w:val="24"/>
              <w:lang w:eastAsia="en-GB"/>
              <w14:ligatures w14:val="standardContextual"/>
            </w:rPr>
          </w:pPr>
          <w:hyperlink w:anchor="_Toc237948692" w:history="1">
            <w:r w:rsidR="009677ED" w:rsidRPr="002E6B38">
              <w:rPr>
                <w:rStyle w:val="Hyperlink"/>
              </w:rPr>
              <w:t>4.4 Technological Factors</w:t>
            </w:r>
            <w:r w:rsidR="009677ED">
              <w:rPr>
                <w:webHidden/>
              </w:rPr>
              <w:tab/>
            </w:r>
            <w:r w:rsidR="009677ED">
              <w:rPr>
                <w:webHidden/>
              </w:rPr>
              <w:fldChar w:fldCharType="begin"/>
            </w:r>
            <w:r w:rsidR="009677ED">
              <w:rPr>
                <w:webHidden/>
              </w:rPr>
              <w:instrText xml:space="preserve"> PAGEREF _Toc237948692 \h </w:instrText>
            </w:r>
            <w:r w:rsidR="009677ED">
              <w:rPr>
                <w:webHidden/>
              </w:rPr>
            </w:r>
            <w:r w:rsidR="009677ED">
              <w:rPr>
                <w:webHidden/>
              </w:rPr>
              <w:fldChar w:fldCharType="separate"/>
            </w:r>
            <w:r w:rsidR="009677ED">
              <w:rPr>
                <w:webHidden/>
              </w:rPr>
              <w:t>7</w:t>
            </w:r>
            <w:r w:rsidR="009677ED">
              <w:rPr>
                <w:webHidden/>
              </w:rPr>
              <w:fldChar w:fldCharType="end"/>
            </w:r>
          </w:hyperlink>
        </w:p>
        <w:p w14:paraId="17D1F3DB" w14:textId="3319564D" w:rsidR="009677ED" w:rsidRDefault="00C341C3">
          <w:pPr>
            <w:pStyle w:val="TOC2"/>
            <w:tabs>
              <w:tab w:val="right" w:leader="dot" w:pos="9016"/>
            </w:tabs>
            <w:rPr>
              <w:rFonts w:asciiTheme="minorHAnsi" w:eastAsiaTheme="minorEastAsia" w:hAnsiTheme="minorHAnsi"/>
              <w:kern w:val="2"/>
              <w:szCs w:val="24"/>
              <w:lang w:eastAsia="en-GB"/>
              <w14:ligatures w14:val="standardContextual"/>
            </w:rPr>
          </w:pPr>
          <w:hyperlink w:anchor="_Toc237948693" w:history="1">
            <w:r w:rsidR="009677ED" w:rsidRPr="002E6B38">
              <w:rPr>
                <w:rStyle w:val="Hyperlink"/>
              </w:rPr>
              <w:t>4.5 Legal Factors</w:t>
            </w:r>
            <w:r w:rsidR="009677ED">
              <w:rPr>
                <w:webHidden/>
              </w:rPr>
              <w:tab/>
            </w:r>
            <w:r w:rsidR="009677ED">
              <w:rPr>
                <w:webHidden/>
              </w:rPr>
              <w:fldChar w:fldCharType="begin"/>
            </w:r>
            <w:r w:rsidR="009677ED">
              <w:rPr>
                <w:webHidden/>
              </w:rPr>
              <w:instrText xml:space="preserve"> PAGEREF _Toc237948693 \h </w:instrText>
            </w:r>
            <w:r w:rsidR="009677ED">
              <w:rPr>
                <w:webHidden/>
              </w:rPr>
            </w:r>
            <w:r w:rsidR="009677ED">
              <w:rPr>
                <w:webHidden/>
              </w:rPr>
              <w:fldChar w:fldCharType="separate"/>
            </w:r>
            <w:r w:rsidR="009677ED">
              <w:rPr>
                <w:webHidden/>
              </w:rPr>
              <w:t>7</w:t>
            </w:r>
            <w:r w:rsidR="009677ED">
              <w:rPr>
                <w:webHidden/>
              </w:rPr>
              <w:fldChar w:fldCharType="end"/>
            </w:r>
          </w:hyperlink>
        </w:p>
        <w:p w14:paraId="6C84CFDA" w14:textId="0E9DFFEE" w:rsidR="009677ED" w:rsidRDefault="00C341C3">
          <w:pPr>
            <w:pStyle w:val="TOC2"/>
            <w:tabs>
              <w:tab w:val="right" w:leader="dot" w:pos="9016"/>
            </w:tabs>
            <w:rPr>
              <w:rFonts w:asciiTheme="minorHAnsi" w:eastAsiaTheme="minorEastAsia" w:hAnsiTheme="minorHAnsi"/>
              <w:kern w:val="2"/>
              <w:szCs w:val="24"/>
              <w:lang w:eastAsia="en-GB"/>
              <w14:ligatures w14:val="standardContextual"/>
            </w:rPr>
          </w:pPr>
          <w:hyperlink w:anchor="_Toc237948694" w:history="1">
            <w:r w:rsidR="009677ED" w:rsidRPr="002E6B38">
              <w:rPr>
                <w:rStyle w:val="Hyperlink"/>
              </w:rPr>
              <w:t>4.6 Environmental Factors</w:t>
            </w:r>
            <w:r w:rsidR="009677ED">
              <w:rPr>
                <w:webHidden/>
              </w:rPr>
              <w:tab/>
            </w:r>
            <w:r w:rsidR="009677ED">
              <w:rPr>
                <w:webHidden/>
              </w:rPr>
              <w:fldChar w:fldCharType="begin"/>
            </w:r>
            <w:r w:rsidR="009677ED">
              <w:rPr>
                <w:webHidden/>
              </w:rPr>
              <w:instrText xml:space="preserve"> PAGEREF _Toc237948694 \h </w:instrText>
            </w:r>
            <w:r w:rsidR="009677ED">
              <w:rPr>
                <w:webHidden/>
              </w:rPr>
            </w:r>
            <w:r w:rsidR="009677ED">
              <w:rPr>
                <w:webHidden/>
              </w:rPr>
              <w:fldChar w:fldCharType="separate"/>
            </w:r>
            <w:r w:rsidR="009677ED">
              <w:rPr>
                <w:webHidden/>
              </w:rPr>
              <w:t>7</w:t>
            </w:r>
            <w:r w:rsidR="009677ED">
              <w:rPr>
                <w:webHidden/>
              </w:rPr>
              <w:fldChar w:fldCharType="end"/>
            </w:r>
          </w:hyperlink>
        </w:p>
        <w:p w14:paraId="3E26E059" w14:textId="0842DB7C" w:rsidR="009677ED" w:rsidRDefault="00C341C3">
          <w:pPr>
            <w:pStyle w:val="TOC2"/>
            <w:tabs>
              <w:tab w:val="right" w:leader="dot" w:pos="9016"/>
            </w:tabs>
            <w:rPr>
              <w:rFonts w:asciiTheme="minorHAnsi" w:eastAsiaTheme="minorEastAsia" w:hAnsiTheme="minorHAnsi"/>
              <w:kern w:val="2"/>
              <w:szCs w:val="24"/>
              <w:lang w:eastAsia="en-GB"/>
              <w14:ligatures w14:val="standardContextual"/>
            </w:rPr>
          </w:pPr>
          <w:hyperlink w:anchor="_Toc237948695" w:history="1">
            <w:r w:rsidR="009677ED" w:rsidRPr="002E6B38">
              <w:rPr>
                <w:rStyle w:val="Hyperlink"/>
              </w:rPr>
              <w:t>4.7 Country Differences in Environmental Impact</w:t>
            </w:r>
            <w:r w:rsidR="009677ED">
              <w:rPr>
                <w:webHidden/>
              </w:rPr>
              <w:tab/>
            </w:r>
            <w:r w:rsidR="009677ED">
              <w:rPr>
                <w:webHidden/>
              </w:rPr>
              <w:fldChar w:fldCharType="begin"/>
            </w:r>
            <w:r w:rsidR="009677ED">
              <w:rPr>
                <w:webHidden/>
              </w:rPr>
              <w:instrText xml:space="preserve"> PAGEREF _Toc237948695 \h </w:instrText>
            </w:r>
            <w:r w:rsidR="009677ED">
              <w:rPr>
                <w:webHidden/>
              </w:rPr>
            </w:r>
            <w:r w:rsidR="009677ED">
              <w:rPr>
                <w:webHidden/>
              </w:rPr>
              <w:fldChar w:fldCharType="separate"/>
            </w:r>
            <w:r w:rsidR="009677ED">
              <w:rPr>
                <w:webHidden/>
              </w:rPr>
              <w:t>7</w:t>
            </w:r>
            <w:r w:rsidR="009677ED">
              <w:rPr>
                <w:webHidden/>
              </w:rPr>
              <w:fldChar w:fldCharType="end"/>
            </w:r>
          </w:hyperlink>
        </w:p>
        <w:p w14:paraId="74797D70" w14:textId="59FBA317" w:rsidR="009677ED" w:rsidRDefault="00C341C3">
          <w:pPr>
            <w:pStyle w:val="TOC1"/>
            <w:tabs>
              <w:tab w:val="right" w:leader="dot" w:pos="9016"/>
            </w:tabs>
            <w:rPr>
              <w:rFonts w:asciiTheme="minorHAnsi" w:eastAsiaTheme="minorEastAsia" w:hAnsiTheme="minorHAnsi"/>
              <w:kern w:val="2"/>
              <w:szCs w:val="24"/>
              <w:lang w:eastAsia="en-GB"/>
              <w14:ligatures w14:val="standardContextual"/>
            </w:rPr>
          </w:pPr>
          <w:hyperlink w:anchor="_Toc237948696" w:history="1">
            <w:r w:rsidR="009677ED" w:rsidRPr="002E6B38">
              <w:rPr>
                <w:rStyle w:val="Hyperlink"/>
              </w:rPr>
              <w:t>5. Conclusion</w:t>
            </w:r>
            <w:r w:rsidR="009677ED">
              <w:rPr>
                <w:webHidden/>
              </w:rPr>
              <w:tab/>
            </w:r>
            <w:r w:rsidR="009677ED">
              <w:rPr>
                <w:webHidden/>
              </w:rPr>
              <w:fldChar w:fldCharType="begin"/>
            </w:r>
            <w:r w:rsidR="009677ED">
              <w:rPr>
                <w:webHidden/>
              </w:rPr>
              <w:instrText xml:space="preserve"> PAGEREF _Toc237948696 \h </w:instrText>
            </w:r>
            <w:r w:rsidR="009677ED">
              <w:rPr>
                <w:webHidden/>
              </w:rPr>
            </w:r>
            <w:r w:rsidR="009677ED">
              <w:rPr>
                <w:webHidden/>
              </w:rPr>
              <w:fldChar w:fldCharType="separate"/>
            </w:r>
            <w:r w:rsidR="009677ED">
              <w:rPr>
                <w:webHidden/>
              </w:rPr>
              <w:t>8</w:t>
            </w:r>
            <w:r w:rsidR="009677ED">
              <w:rPr>
                <w:webHidden/>
              </w:rPr>
              <w:fldChar w:fldCharType="end"/>
            </w:r>
          </w:hyperlink>
        </w:p>
        <w:p w14:paraId="73CE19FC" w14:textId="655770AA" w:rsidR="009677ED" w:rsidRDefault="00C341C3">
          <w:pPr>
            <w:pStyle w:val="TOC1"/>
            <w:tabs>
              <w:tab w:val="right" w:leader="dot" w:pos="9016"/>
            </w:tabs>
            <w:rPr>
              <w:rFonts w:asciiTheme="minorHAnsi" w:eastAsiaTheme="minorEastAsia" w:hAnsiTheme="minorHAnsi"/>
              <w:kern w:val="2"/>
              <w:szCs w:val="24"/>
              <w:lang w:eastAsia="en-GB"/>
              <w14:ligatures w14:val="standardContextual"/>
            </w:rPr>
          </w:pPr>
          <w:hyperlink w:anchor="_Toc237948697" w:history="1">
            <w:r w:rsidR="009677ED" w:rsidRPr="002E6B38">
              <w:rPr>
                <w:rStyle w:val="Hyperlink"/>
              </w:rPr>
              <w:t>6. Reference</w:t>
            </w:r>
            <w:r w:rsidR="009677ED">
              <w:rPr>
                <w:webHidden/>
              </w:rPr>
              <w:tab/>
            </w:r>
            <w:r w:rsidR="009677ED">
              <w:rPr>
                <w:webHidden/>
              </w:rPr>
              <w:fldChar w:fldCharType="begin"/>
            </w:r>
            <w:r w:rsidR="009677ED">
              <w:rPr>
                <w:webHidden/>
              </w:rPr>
              <w:instrText xml:space="preserve"> PAGEREF _Toc237948697 \h </w:instrText>
            </w:r>
            <w:r w:rsidR="009677ED">
              <w:rPr>
                <w:webHidden/>
              </w:rPr>
            </w:r>
            <w:r w:rsidR="009677ED">
              <w:rPr>
                <w:webHidden/>
              </w:rPr>
              <w:fldChar w:fldCharType="separate"/>
            </w:r>
            <w:r w:rsidR="009677ED">
              <w:rPr>
                <w:webHidden/>
              </w:rPr>
              <w:t>9</w:t>
            </w:r>
            <w:r w:rsidR="009677ED">
              <w:rPr>
                <w:webHidden/>
              </w:rPr>
              <w:fldChar w:fldCharType="end"/>
            </w:r>
          </w:hyperlink>
        </w:p>
        <w:p w14:paraId="76AA0449" w14:textId="44C7D2C1" w:rsidR="009677ED" w:rsidRDefault="009677ED">
          <w:r>
            <w:rPr>
              <w:b/>
              <w:bCs/>
            </w:rPr>
            <w:fldChar w:fldCharType="end"/>
          </w:r>
        </w:p>
      </w:sdtContent>
    </w:sdt>
    <w:p w14:paraId="7D626E53" w14:textId="0608042D" w:rsidR="009677ED" w:rsidRDefault="009677ED" w:rsidP="009115DB">
      <w:pPr>
        <w:rPr>
          <w:b/>
          <w:bCs/>
        </w:rPr>
      </w:pPr>
    </w:p>
    <w:p w14:paraId="6773F9E1" w14:textId="77777777" w:rsidR="009677ED" w:rsidRDefault="009677ED" w:rsidP="009115DB">
      <w:pPr>
        <w:rPr>
          <w:b/>
          <w:bCs/>
        </w:rPr>
      </w:pPr>
    </w:p>
    <w:p w14:paraId="3EE3B8BC" w14:textId="77777777" w:rsidR="009677ED" w:rsidRDefault="009677ED" w:rsidP="009115DB">
      <w:pPr>
        <w:rPr>
          <w:b/>
          <w:bCs/>
        </w:rPr>
      </w:pPr>
    </w:p>
    <w:p w14:paraId="5B99B5D5" w14:textId="764A8F15" w:rsidR="009115DB" w:rsidRPr="009115DB" w:rsidRDefault="009115DB" w:rsidP="009677ED">
      <w:pPr>
        <w:pStyle w:val="Heading1"/>
      </w:pPr>
      <w:bookmarkStart w:id="1" w:name="_Toc237948679"/>
      <w:r w:rsidRPr="009115DB">
        <w:lastRenderedPageBreak/>
        <w:t>1. Introduction</w:t>
      </w:r>
      <w:bookmarkEnd w:id="1"/>
    </w:p>
    <w:p w14:paraId="0D9C2AE5" w14:textId="2A307598" w:rsidR="001D43F4" w:rsidRDefault="009677ED" w:rsidP="009115DB">
      <w:r>
        <w:t xml:space="preserve">Human Resource Management (HRM) forms the backbone of any organisation's effectiveness, encompassing activities like recruitment, training and development, performance management, and employee relations (Cassidy et al., 2025). These functions influence employees' ability, motivation, and retention. Effective recruitment ensures the organisation attracts suitable candidates; training and development are essential for building necessary skills; performance management promotes employee productivity; and strong employee relations foster a harmonious work environment (Murfat, Mohamad and Nasir, 2025). </w:t>
      </w:r>
    </w:p>
    <w:p w14:paraId="27F89CF1" w14:textId="3F5C55EA" w:rsidR="001D43F4" w:rsidRDefault="009677ED" w:rsidP="009115DB">
      <w:r>
        <w:t xml:space="preserve">Waitrose is an employee-owned entity within the John Lewis Partnership, which collectively employs 74,000 Partners. Its international retail presence mainly relies on licensing and franchise agreements across regions like the Middle East, Asia, and the Caribbean (Lewis, 2025). This unique partnership model alters typical employee relations by removing the conventional employer/employee divide and fostering a sense of co-ownership. Consequently, this internal culture, combined with external global market pressures, significantly influences how HR managers at Waitrose operate. </w:t>
      </w:r>
    </w:p>
    <w:p w14:paraId="6EADDFA3" w14:textId="682D9B10" w:rsidR="000B7195" w:rsidRDefault="009677ED" w:rsidP="009115DB">
      <w:r>
        <w:t xml:space="preserve">This report begins by analyzing the PESTLE framework as a tool for environmental assessment. It then examines Waitrose's internal environment, focusing on its organizational culture and partnership structure. Afterwards, the PESTLE model is applied to assess external factors influencing HR functions. </w:t>
      </w:r>
    </w:p>
    <w:p w14:paraId="4B65CA87" w14:textId="119DD2D5" w:rsidR="009115DB" w:rsidRPr="009115DB" w:rsidRDefault="009115DB" w:rsidP="009677ED">
      <w:pPr>
        <w:pStyle w:val="Heading1"/>
      </w:pPr>
      <w:bookmarkStart w:id="2" w:name="_Toc237948680"/>
      <w:r w:rsidRPr="009115DB">
        <w:t>2. Internal and External Environment: The PESTLE Framework</w:t>
      </w:r>
      <w:bookmarkEnd w:id="2"/>
    </w:p>
    <w:p w14:paraId="1B177F5A" w14:textId="77777777" w:rsidR="009115DB" w:rsidRPr="009115DB" w:rsidRDefault="009115DB" w:rsidP="009677ED">
      <w:pPr>
        <w:pStyle w:val="Heading2"/>
      </w:pPr>
      <w:bookmarkStart w:id="3" w:name="_Toc237948681"/>
      <w:r w:rsidRPr="009115DB">
        <w:t>2.1 The PESTLE Model and its Application to HR</w:t>
      </w:r>
      <w:bookmarkEnd w:id="3"/>
    </w:p>
    <w:p w14:paraId="5AE3593C" w14:textId="03A0EE01" w:rsidR="000137D4" w:rsidRDefault="009677ED" w:rsidP="009115DB">
      <w:r>
        <w:t>PESTLE analysis is a method for examining the macro-environmental factors influencing organizations through six perspectives: Political, Economic, Social, Technological, Legal, and Environmental (Buye, 2021). HRM's key strength is its ability to assist HR professionals in forecasting external changes and proactively adjusting policies, talent management, and workforce strategies. Additionally, PESTLE can identify opportunities and threats related to workforce planning, recruitment, and employee engagement, both locally and internationally, helping HR managers tailor strategies for different markets.</w:t>
      </w:r>
    </w:p>
    <w:p w14:paraId="3B788514" w14:textId="73716C50" w:rsidR="009115DB" w:rsidRPr="009115DB" w:rsidRDefault="009115DB" w:rsidP="009677ED">
      <w:pPr>
        <w:pStyle w:val="Heading2"/>
      </w:pPr>
      <w:bookmarkStart w:id="4" w:name="_Toc237948682"/>
      <w:r w:rsidRPr="009115DB">
        <w:lastRenderedPageBreak/>
        <w:t>2.2 Limitations of the Framework</w:t>
      </w:r>
      <w:bookmarkEnd w:id="4"/>
    </w:p>
    <w:p w14:paraId="0E1810D1" w14:textId="51CF75EA" w:rsidR="00945B26" w:rsidRDefault="009677ED" w:rsidP="009115DB">
      <w:r>
        <w:t xml:space="preserve">While the PESTLE model is helpful, it has certain limitations. It provides a snapshot analysis that might overlook rapid environmental changes. Additionally, the framework can lead to information overload if it fails to prioritize key factors. Moreover, PESTLE analysis often remains quite broad and does not capture industry-specific nuances or the complex interconnections between factors (Anderson, 2025). </w:t>
      </w:r>
    </w:p>
    <w:p w14:paraId="2EAF5871" w14:textId="00B07F80" w:rsidR="009115DB" w:rsidRPr="009115DB" w:rsidRDefault="009115DB" w:rsidP="009677ED">
      <w:pPr>
        <w:pStyle w:val="Heading2"/>
      </w:pPr>
      <w:bookmarkStart w:id="5" w:name="_Toc237948683"/>
      <w:r w:rsidRPr="009115DB">
        <w:t>2.3 Linking PESTLE to HR Functions</w:t>
      </w:r>
      <w:bookmarkEnd w:id="5"/>
    </w:p>
    <w:p w14:paraId="1C06A7D1" w14:textId="6906CD16" w:rsidR="001D7366" w:rsidRDefault="009677ED" w:rsidP="00945B26">
      <w:r>
        <w:t xml:space="preserve">Connecting PESTLE factors with HR functions requires a systematic analysis of how each dimension impacts HR. Political factors like policies, stability, and government stance influence global talent acquisition, union relations, and employee mobility across borders (Ansari, 2025). HR must navigate varying immigration and employment laws in different countries. Economic aspects such as inflation, labor markets, and economic growth directly affect recruitment, compensation, and workforce restructuring. During economic downturns, HR may implement hiring freezes or layoffs, while growth periods demand difficult hiring decisions (Johnstone, 2023). Social factors like changing demographics, work-life expectations, and employee values shape organizational culture, employer branding, and engagement strategies. For example, many firms now focus on flexibility and sustainability as Generation Z joins the workforce. AI impacts HR through talent management, digital learning, and digital work experiences (Khatoon et al., 2025). Legal compliance involves labor laws, privacy regulations like GDPR, and immigration rules (Lim and Oh, 2025). Environmental concerns are increasingly part of employer branding and CSR, as employees seek companies committed to sustainability (CIPD, 2024). </w:t>
      </w:r>
    </w:p>
    <w:p w14:paraId="030307AD" w14:textId="74C09AFC" w:rsidR="000137D4" w:rsidRDefault="000137D4" w:rsidP="009677ED">
      <w:pPr>
        <w:pStyle w:val="Heading2"/>
      </w:pPr>
      <w:bookmarkStart w:id="6" w:name="_Toc237948684"/>
      <w:r w:rsidRPr="004E4E7E">
        <w:t xml:space="preserve">2.4 </w:t>
      </w:r>
      <w:r w:rsidR="004E4E7E" w:rsidRPr="004E4E7E">
        <w:t>Internal Environmental Factors</w:t>
      </w:r>
      <w:bookmarkEnd w:id="6"/>
    </w:p>
    <w:p w14:paraId="794C7EC2" w14:textId="0ABC5381" w:rsidR="00695D97" w:rsidRPr="00695D97" w:rsidRDefault="009677ED" w:rsidP="009115DB">
      <w:r>
        <w:t>Numerous internal environmental factors significantly influence HR practices at Waitrose. The partnership model fosters a unique culture of employee ownership and shared responsibility, shaping recruitment, engagement, and management approaches (Lewis, 2025). HR policies align with the ‘every voice matters' philosophy due to leadership's commitment to democratic values. The diverse workforce, comprising various generations and skills, requires flexible HR strategies. Structures like the Partnership Council and Local Partner Forums (Digital Health and Care Wales, 2021) facilitate employee voice. These internal factors interact with external influences, creating complex dynamics for HR managers to navigate—ensuring organizational effectiveness while honoring the partnership culture and adapting to evolving business needs.</w:t>
      </w:r>
    </w:p>
    <w:p w14:paraId="22B9AEFF" w14:textId="558F6618" w:rsidR="009115DB" w:rsidRPr="000B7195" w:rsidRDefault="009115DB" w:rsidP="009677ED">
      <w:pPr>
        <w:pStyle w:val="Heading1"/>
      </w:pPr>
      <w:bookmarkStart w:id="7" w:name="_Toc237948685"/>
      <w:r w:rsidRPr="000B7195">
        <w:lastRenderedPageBreak/>
        <w:t>3. Organisation Application: Waitrose</w:t>
      </w:r>
      <w:bookmarkEnd w:id="7"/>
    </w:p>
    <w:p w14:paraId="487B2D86" w14:textId="77777777" w:rsidR="009115DB" w:rsidRPr="000B7195" w:rsidRDefault="009115DB" w:rsidP="009677ED">
      <w:pPr>
        <w:pStyle w:val="Heading2"/>
      </w:pPr>
      <w:bookmarkStart w:id="8" w:name="_Toc237948686"/>
      <w:r w:rsidRPr="000B7195">
        <w:t>3.1 Organisation Overview</w:t>
      </w:r>
      <w:bookmarkEnd w:id="8"/>
    </w:p>
    <w:p w14:paraId="777CB7A0" w14:textId="2876EFA8" w:rsidR="00FB3932" w:rsidRPr="000B7195" w:rsidRDefault="009677ED" w:rsidP="009115DB">
      <w:r>
        <w:t>Waitrose is the supermarket arm of John Lewis Partnership, a business owned by its staff, known as Partners, who share in the responsibilities and rewards of the business. Waitrose values fairness, transparency and ethical business practices and has a strong footprint in the UK, with considerable international operations through its supply chains, spanning Europe, Africa and South America. The Partnership includes more than 2,000 fresh produce growers worldwide, from Spain, Italy, Peru and Chile (Lewis, 2025).</w:t>
      </w:r>
    </w:p>
    <w:p w14:paraId="6FEFAC3B" w14:textId="77777777" w:rsidR="00FB3932" w:rsidRPr="00FB3932" w:rsidRDefault="00FB3932" w:rsidP="009677ED">
      <w:pPr>
        <w:pStyle w:val="Heading2"/>
      </w:pPr>
      <w:bookmarkStart w:id="9" w:name="_Toc237948687"/>
      <w:r w:rsidRPr="00FB3932">
        <w:t>3.2 Waitrose HR Practices</w:t>
      </w:r>
      <w:bookmarkEnd w:id="9"/>
    </w:p>
    <w:p w14:paraId="5FD2E6F1" w14:textId="021FEED2" w:rsidR="000B7195" w:rsidRPr="009677ED" w:rsidRDefault="009677ED" w:rsidP="009677ED">
      <w:r w:rsidRPr="009677ED">
        <w:t>The partnership model affects Waitrose's HR practices, including the Human Rights Programme for operations and the supply chain (Lewis, 2025).</w:t>
      </w:r>
    </w:p>
    <w:p w14:paraId="59DD7DE3" w14:textId="1A87BD26" w:rsidR="00FB3932" w:rsidRPr="00FB3932" w:rsidRDefault="00FB3932" w:rsidP="00FB3932">
      <w:pPr>
        <w:rPr>
          <w:b/>
          <w:bCs/>
        </w:rPr>
      </w:pPr>
      <w:r w:rsidRPr="00FB3932">
        <w:rPr>
          <w:b/>
          <w:bCs/>
        </w:rPr>
        <w:t>Recruitment: </w:t>
      </w:r>
      <w:r w:rsidR="009677ED">
        <w:t>In the UK, online platforms and competency-based interviews rooted in partnership values are utilized during recruitment. In the Middle East, franchise operations depend heavily on local sponsorship rules, while in Asia, markets require adaptation to Western retail standards to align with cultural expectations (Lewis, 2025).</w:t>
      </w:r>
    </w:p>
    <w:p w14:paraId="157605F4" w14:textId="034BF7A6" w:rsidR="002C1E60" w:rsidRDefault="00FB3932" w:rsidP="00FB3932">
      <w:pPr>
        <w:rPr>
          <w:b/>
          <w:bCs/>
        </w:rPr>
      </w:pPr>
      <w:r w:rsidRPr="00FB3932">
        <w:rPr>
          <w:b/>
          <w:bCs/>
        </w:rPr>
        <w:t>Training and Development: </w:t>
      </w:r>
      <w:r w:rsidR="009677ED">
        <w:t>Blended learning plays a crucial role in delivering apprenticeship, leadership, and customer service training, with a target of 5,000 apprenticeship starts by 2025 (Lewis, 2025). Worldwide, training must account for language barriers and diverse educational backgrounds.</w:t>
      </w:r>
    </w:p>
    <w:p w14:paraId="6EFAD557" w14:textId="5729068B" w:rsidR="002C1E60" w:rsidRDefault="00FB3932" w:rsidP="009115DB">
      <w:pPr>
        <w:rPr>
          <w:b/>
          <w:bCs/>
        </w:rPr>
      </w:pPr>
      <w:r w:rsidRPr="00FB3932">
        <w:rPr>
          <w:b/>
          <w:bCs/>
        </w:rPr>
        <w:t>Performance Management: </w:t>
      </w:r>
      <w:r w:rsidR="009677ED">
        <w:t>This includes annual appraisals, objective-setting aligned with partnership values, and 360-degree feedback, as well as measures of customer experience and efficiency (John Lewis Partnership, 2024b). Ensuring global consistency is difficult because of differing employment norms across regions.</w:t>
      </w:r>
    </w:p>
    <w:p w14:paraId="556EE2F8" w14:textId="6A6954B9" w:rsidR="002C1E60" w:rsidRDefault="00FB3932" w:rsidP="009115DB">
      <w:pPr>
        <w:rPr>
          <w:b/>
          <w:bCs/>
        </w:rPr>
      </w:pPr>
      <w:r w:rsidRPr="00FB3932">
        <w:rPr>
          <w:b/>
          <w:bCs/>
        </w:rPr>
        <w:t>Employee Relations: </w:t>
      </w:r>
      <w:r w:rsidR="009677ED">
        <w:t xml:space="preserve">Partnership Council and Local Partner Forums (Waitrose, 2026). Internationally, staff relations differ: in Italy, unions are absent, making it harder to access formal channels for raising employee concerns; in Peru, unions are less prevalent, so alternative ways to provide feedback are required (Di Federico, 2022). </w:t>
      </w:r>
    </w:p>
    <w:p w14:paraId="1C9C1C7A" w14:textId="2165B21E" w:rsidR="009115DB" w:rsidRPr="009115DB" w:rsidRDefault="009115DB" w:rsidP="009677ED">
      <w:pPr>
        <w:pStyle w:val="Heading1"/>
      </w:pPr>
      <w:bookmarkStart w:id="10" w:name="_Toc237948688"/>
      <w:r w:rsidRPr="009115DB">
        <w:lastRenderedPageBreak/>
        <w:t>4. Application of PESTLE Model to Waitrose</w:t>
      </w:r>
      <w:bookmarkEnd w:id="10"/>
    </w:p>
    <w:p w14:paraId="2BFD3416" w14:textId="77777777" w:rsidR="009115DB" w:rsidRPr="009115DB" w:rsidRDefault="009115DB" w:rsidP="009677ED">
      <w:pPr>
        <w:pStyle w:val="Heading2"/>
      </w:pPr>
      <w:bookmarkStart w:id="11" w:name="_Toc237948689"/>
      <w:r w:rsidRPr="009115DB">
        <w:t>4.1 Political Factors</w:t>
      </w:r>
      <w:bookmarkEnd w:id="11"/>
    </w:p>
    <w:p w14:paraId="7796E544" w14:textId="30A04AD2" w:rsidR="002C1E60" w:rsidRPr="002C1E60" w:rsidRDefault="00ED6DC6" w:rsidP="009115DB">
      <w:r>
        <w:t xml:space="preserve">HR policies are shaped by politics, especially concerning supply chain management for Waitrose. The Partnership's monitoring programs reflect the development of human rights due diligence laws (Ansari, 2025). Waitrose hosts forums like the Seasonal Workers Scheme Taskforce (Waitrose, 2025). HR adaptation is crucial following Brexit and UK employment legislation, particularly regarding immigration laws affecting international talent and supply chain workers (Žilinskaitė et al., 2025). These factors influence Waitrose's ability to enforce HR standards in sourcing countries, especially where union relations are tense and political stability is low, such as in Southern Europe and South America. </w:t>
      </w:r>
    </w:p>
    <w:p w14:paraId="733DC3D6" w14:textId="555D4E6F" w:rsidR="009115DB" w:rsidRPr="009115DB" w:rsidRDefault="009115DB" w:rsidP="009677ED">
      <w:pPr>
        <w:pStyle w:val="Heading2"/>
      </w:pPr>
      <w:bookmarkStart w:id="12" w:name="_Toc237948690"/>
      <w:r w:rsidRPr="009115DB">
        <w:t>4.2 Economic Factors</w:t>
      </w:r>
      <w:bookmarkEnd w:id="12"/>
    </w:p>
    <w:p w14:paraId="7660EC86" w14:textId="65B7503B" w:rsidR="001D7366" w:rsidRDefault="00ED6DC6" w:rsidP="009115DB">
      <w:r>
        <w:t xml:space="preserve">The current economic climate has heavily influenced Waitrose's compensation approach. The Partnership chose to forgo annual bonuses for staff for the third year running, despite posting a pre-tax profit of £126 million, three times higher than before, and instead allocated £114 million towards enhancing base pay (IADS, 2025). This decision reflects HR's response to economic challenges and shifting workforce expectations. The emphasis on "regular monthly support rather than annual bonuses" marks a notable shift in Waitrose's employee compensation strategy (Mahato and Kaur, 2023). </w:t>
      </w:r>
    </w:p>
    <w:p w14:paraId="3E2BA45F" w14:textId="0661F0D6" w:rsidR="009115DB" w:rsidRPr="009115DB" w:rsidRDefault="009115DB" w:rsidP="009677ED">
      <w:pPr>
        <w:pStyle w:val="Heading2"/>
      </w:pPr>
      <w:bookmarkStart w:id="13" w:name="_Toc237948691"/>
      <w:r w:rsidRPr="009115DB">
        <w:t>4.3 Social Factors</w:t>
      </w:r>
      <w:bookmarkEnd w:id="13"/>
    </w:p>
    <w:p w14:paraId="0E4B61A4" w14:textId="0088C7A4" w:rsidR="00695D97" w:rsidRDefault="00ED6DC6" w:rsidP="009115DB">
      <w:r>
        <w:t xml:space="preserve">Several changes have been made within HR at Waitrose as a result of social factors, particularly shifting workforce expectations. Local Partner Forums have been revived after their closure in 2019, recognising employees' desire for a greater voice in workplace decision-making (Waitrose, 2026). Diversity planning and demographic changes have affected HR practices, particularly in how workers are treated across supply chains. The Partnership's Human Rights Policy acknowledges the value of clean water, sanitation and a healthy environment, as well as land rights, aligning with evolving societal expectations of corporate responsibility (Loeffen, Turner and Mendes Borba, 2021). </w:t>
      </w:r>
    </w:p>
    <w:p w14:paraId="728FB89E" w14:textId="331A2D5F" w:rsidR="009115DB" w:rsidRPr="009115DB" w:rsidRDefault="009115DB" w:rsidP="009677ED">
      <w:pPr>
        <w:pStyle w:val="Heading2"/>
      </w:pPr>
      <w:bookmarkStart w:id="14" w:name="_Toc237948692"/>
      <w:r w:rsidRPr="009115DB">
        <w:t>4.4 Technological Factors</w:t>
      </w:r>
      <w:bookmarkEnd w:id="14"/>
    </w:p>
    <w:p w14:paraId="2C5F1050" w14:textId="204093EF" w:rsidR="00F82502" w:rsidRDefault="00ED6DC6" w:rsidP="009115DB">
      <w:r>
        <w:t xml:space="preserve">Technology plays an increasingly vital role in Waitrose's HR functions. The Partnership must manage the "integration of technology in the workplace' while maintaining core human values (Lewis, 2025). Although HR systems enhance engagement and support flexible work options, it is essential to balance these with the company's retail and supply chain operations. </w:t>
      </w:r>
      <w:r>
        <w:lastRenderedPageBreak/>
        <w:t xml:space="preserve">Deploying technology to ensure ethical standards, such as conducting modern slavery risk assessments across 37 sites in Spain, Italy, Peru, and Chile, demonstrates technology's potential to strengthen supply chain governance (Khatoon et al., 2025). </w:t>
      </w:r>
    </w:p>
    <w:p w14:paraId="664CFCF3" w14:textId="12CF0E2A" w:rsidR="009115DB" w:rsidRPr="009115DB" w:rsidRDefault="009115DB" w:rsidP="009677ED">
      <w:pPr>
        <w:pStyle w:val="Heading2"/>
      </w:pPr>
      <w:bookmarkStart w:id="15" w:name="_Toc237948693"/>
      <w:r w:rsidRPr="009115DB">
        <w:t>4.5 Legal Factors</w:t>
      </w:r>
      <w:bookmarkEnd w:id="15"/>
    </w:p>
    <w:p w14:paraId="4D1A5721" w14:textId="33E06BB8" w:rsidR="00F82502" w:rsidRDefault="00ED6DC6" w:rsidP="009115DB">
      <w:r>
        <w:t xml:space="preserve">Compliance with the law is fundamental to Waitrose's HR policy. The Ethical Compliance Policy sets out the process for in-scope supply chains to self-assess through questionnaires and inspections (John Lewis Partnership, 2024). This due diligence approach will help identify inconsistencies in understanding or application of standards. Waitrose will need to navigate different legal frameworks (Newborne, 2022). For instance, in Peru, worker loans are subject to strict regulations and are legally recognised, with economic evaluations and interest-free repayment terms. On the other hand, due to the lack of trade union representatives at most suppliers in Italy, further HR interventions to enhance grievance procedures and worker feedback were identified. </w:t>
      </w:r>
    </w:p>
    <w:p w14:paraId="0DA3BF8B" w14:textId="212615AD" w:rsidR="009115DB" w:rsidRPr="009115DB" w:rsidRDefault="009115DB" w:rsidP="009677ED">
      <w:pPr>
        <w:pStyle w:val="Heading2"/>
      </w:pPr>
      <w:bookmarkStart w:id="16" w:name="_Toc237948694"/>
      <w:r w:rsidRPr="009115DB">
        <w:t>4.6 Environmental Factors</w:t>
      </w:r>
      <w:bookmarkEnd w:id="16"/>
    </w:p>
    <w:p w14:paraId="0026B5E6" w14:textId="5C797C20" w:rsidR="002C1E60" w:rsidRPr="002C1E60" w:rsidRDefault="00ED6DC6" w:rsidP="009115DB">
      <w:r>
        <w:t>Waitrose's employer branding and employee engagement efforts are becoming more environmentally sustainable. HR's sourcing strategy is ‘ethical sourcing and sustainability' (John Lewis Partnership, 2024). Agricultural supply chains are affected by climate change; HR must take into account workplace safety and environmental compliance. Greater environmental awareness has led to HR work, such as the Wilberforce Institute on modern slavery risks (University of Hull, 2026).</w:t>
      </w:r>
    </w:p>
    <w:p w14:paraId="7F7445B3" w14:textId="4E9D35D3" w:rsidR="009115DB" w:rsidRPr="009115DB" w:rsidRDefault="009115DB" w:rsidP="009677ED">
      <w:pPr>
        <w:pStyle w:val="Heading2"/>
      </w:pPr>
      <w:bookmarkStart w:id="17" w:name="_Toc237948695"/>
      <w:r w:rsidRPr="009115DB">
        <w:t>4.7 Country Differences in Environmental Impact</w:t>
      </w:r>
      <w:bookmarkEnd w:id="17"/>
    </w:p>
    <w:p w14:paraId="5EF4CD4A" w14:textId="16E8D8A4" w:rsidR="002C1E60" w:rsidRPr="002C1E60" w:rsidRDefault="00ED6DC6" w:rsidP="009115DB">
      <w:r>
        <w:t xml:space="preserve">Managing HR practices in Waitrose's international operations is challenging, as country-specific factors have a significant impact. In the UK, strong legal and trade union structures ensure effective employee representation through Partnership Councils and Local Partner Forums (Buchanan and Brione, 2024). HR managers deploying voice channels face challenges in Italy because cultural differences mean 6 out of 7 assessed locations have poor complaint mechanisms (Di Federico, 2022). Monitoring working conditions is constrained by relatively weak trade union activity in Peru (Schalkowski, 2025). HR's main concern is balancing global values with local practicality, as seen in the economic context that creates HR issues in Chile, such as Haitians working on exploitatively owned land. To realise partnership values across these differences, organisations need culturally sensitive strategies. </w:t>
      </w:r>
      <w:r>
        <w:lastRenderedPageBreak/>
        <w:t>To implement a successful international HR strategy, one needs to understand the country's laws, customs, and economy.</w:t>
      </w:r>
    </w:p>
    <w:p w14:paraId="5C477A22" w14:textId="6A23154B" w:rsidR="009115DB" w:rsidRPr="009115DB" w:rsidRDefault="009115DB" w:rsidP="009677ED">
      <w:pPr>
        <w:pStyle w:val="Heading1"/>
      </w:pPr>
      <w:bookmarkStart w:id="18" w:name="_Toc237948696"/>
      <w:r w:rsidRPr="009115DB">
        <w:t>5. Conclusion</w:t>
      </w:r>
      <w:bookmarkEnd w:id="18"/>
    </w:p>
    <w:p w14:paraId="31A2EBBD" w14:textId="38EAA44A" w:rsidR="00F82502" w:rsidRDefault="00ED6DC6" w:rsidP="00940E1E">
      <w:r>
        <w:t xml:space="preserve">The PESTLE tool is useful for conducting a political, economic, social, technological, legal and environmental analysis of the forces affecting HR practices. Waitrose's unique structure offers a good example of how EO companies can adopt ethical standards across different geographical locations. Several factors, including political pressure on human rights due diligence, economic pressure on compensation strategies, social pressure on workers' voice, and legal and cultural contexts in individual countries, affect HR practices. </w:t>
      </w:r>
    </w:p>
    <w:p w14:paraId="5EEDB2CF" w14:textId="5F236080" w:rsidR="00ED6DC6" w:rsidRDefault="00ED6DC6" w:rsidP="00E03D2B">
      <w:r>
        <w:t>Global human resource managers need to develop the skills to analyse the environment and adapt to it across cultures. First, the use of technology in HR processes will continue to ramp up, and HR teams will need to balance technology with the human aspect of operations. Secondly, with greater attention to the visibility of supply chains, more advanced compliance and monitoring will be required. Thirdly, new employee expectations around work-life balance, sustainability and workplace democracy will demand ongoing adaptation of employee engagement strategies. Ongoing conflict between modernising employment and traditional partnership beliefs (the bonus debate) will be a key issue. HR managers therefore need strategic thinking skills and the ability to anticipate environmental changes and create proactive, rather than reactive, HR plans.</w:t>
      </w:r>
    </w:p>
    <w:p w14:paraId="7660D5CC" w14:textId="527CE3BF" w:rsidR="002C1E60" w:rsidRPr="002C1E60" w:rsidRDefault="00ED6DC6" w:rsidP="00E03D2B">
      <w:r>
        <w:t>Ultimately, Waitrose's ability to remain loyal to its partnership past while staying prepared to move forward will determine its ongoing success. Combining environmental intelligence with its ethical principles allows the organisation to maintain a competitive edge, strengthen partner relationships and overcome the challenges of global expansion while keeping its fundamental identity intact.</w:t>
      </w:r>
    </w:p>
    <w:p w14:paraId="6602914E" w14:textId="1D998A7D" w:rsidR="001B3314" w:rsidRPr="009677ED" w:rsidRDefault="00567490" w:rsidP="009677ED">
      <w:pPr>
        <w:pStyle w:val="Heading1"/>
      </w:pPr>
      <w:r>
        <w:br w:type="column"/>
      </w:r>
      <w:bookmarkStart w:id="19" w:name="_Toc237948697"/>
      <w:r w:rsidR="009677ED">
        <w:lastRenderedPageBreak/>
        <w:t xml:space="preserve">6. </w:t>
      </w:r>
      <w:r w:rsidR="004C497D" w:rsidRPr="009677ED">
        <w:t>Reference</w:t>
      </w:r>
      <w:bookmarkEnd w:id="19"/>
    </w:p>
    <w:p w14:paraId="0B8D3CF3" w14:textId="77777777" w:rsidR="001B3314" w:rsidRPr="00940E1E" w:rsidRDefault="001B3314" w:rsidP="00940E1E">
      <w:pPr>
        <w:ind w:left="720" w:hanging="720"/>
      </w:pPr>
      <w:r w:rsidRPr="007B2E00">
        <w:t>‌</w:t>
      </w:r>
      <w:r w:rsidRPr="00940E1E">
        <w:t xml:space="preserve">Anderson, P. (2025). The </w:t>
      </w:r>
      <w:r>
        <w:t>PESTEL</w:t>
      </w:r>
      <w:r w:rsidRPr="00940E1E">
        <w:t xml:space="preserve"> framework and its variants for analysing the strategic environment: Evolution, limitations and adoption in energy policy research. </w:t>
      </w:r>
      <w:r w:rsidRPr="00940E1E">
        <w:rPr>
          <w:i/>
          <w:iCs/>
        </w:rPr>
        <w:t>SSRN</w:t>
      </w:r>
      <w:r w:rsidRPr="00940E1E">
        <w:t>. [online] doi:10.2139/ssrn.5266562.</w:t>
      </w:r>
    </w:p>
    <w:p w14:paraId="4467E110" w14:textId="77777777" w:rsidR="001B3314" w:rsidRPr="00940E1E" w:rsidRDefault="001B3314" w:rsidP="00940E1E">
      <w:pPr>
        <w:ind w:left="720" w:hanging="720"/>
      </w:pPr>
      <w:r w:rsidRPr="00940E1E">
        <w:t>Ansari, M.S. (2025). Global talent management: Strategies for attracting and retaining top talent in multinational corporations. doi:10.13140/rg.2.2.11301.97761.</w:t>
      </w:r>
    </w:p>
    <w:p w14:paraId="6031F1C9" w14:textId="77777777" w:rsidR="001B3314" w:rsidRPr="00940E1E" w:rsidRDefault="001B3314" w:rsidP="00940E1E">
      <w:pPr>
        <w:ind w:left="720" w:hanging="720"/>
      </w:pPr>
      <w:r w:rsidRPr="00940E1E">
        <w:t xml:space="preserve">Buchanan, I. and Brione, P. (2024). </w:t>
      </w:r>
      <w:r w:rsidRPr="00940E1E">
        <w:rPr>
          <w:i/>
          <w:iCs/>
        </w:rPr>
        <w:t>Trade unions and industrial relations</w:t>
      </w:r>
      <w:r w:rsidRPr="00940E1E">
        <w:t xml:space="preserve">. [online] </w:t>
      </w:r>
      <w:r w:rsidRPr="00940E1E">
        <w:rPr>
          <w:i/>
          <w:iCs/>
        </w:rPr>
        <w:t>House of Commons Library</w:t>
      </w:r>
      <w:r w:rsidRPr="00940E1E">
        <w:t xml:space="preserve">. Available at: </w:t>
      </w:r>
      <w:hyperlink r:id="rId9" w:history="1">
        <w:r w:rsidRPr="00940E1E">
          <w:rPr>
            <w:rStyle w:val="Hyperlink"/>
          </w:rPr>
          <w:t>https://commonslibrary.parliament.uk/research-briefings/cbp-9785/</w:t>
        </w:r>
      </w:hyperlink>
      <w:r>
        <w:t xml:space="preserve"> </w:t>
      </w:r>
    </w:p>
    <w:p w14:paraId="77159717" w14:textId="77777777" w:rsidR="001B3314" w:rsidRPr="00940E1E" w:rsidRDefault="001B3314" w:rsidP="00940E1E">
      <w:pPr>
        <w:ind w:left="720" w:hanging="720"/>
      </w:pPr>
      <w:r w:rsidRPr="00940E1E">
        <w:t xml:space="preserve">Buye, R. (2021). </w:t>
      </w:r>
      <w:r w:rsidRPr="00940E1E">
        <w:rPr>
          <w:i/>
          <w:iCs/>
        </w:rPr>
        <w:t>Critical examination of the PESTEL analysis model</w:t>
      </w:r>
      <w:r w:rsidRPr="00940E1E">
        <w:t xml:space="preserve">. [online] </w:t>
      </w:r>
      <w:r w:rsidRPr="00940E1E">
        <w:rPr>
          <w:i/>
          <w:iCs/>
        </w:rPr>
        <w:t>ResearchGate</w:t>
      </w:r>
      <w:r w:rsidRPr="00940E1E">
        <w:t xml:space="preserve">. Available at: </w:t>
      </w:r>
      <w:hyperlink r:id="rId10" w:history="1">
        <w:r w:rsidRPr="00940E1E">
          <w:rPr>
            <w:rStyle w:val="Hyperlink"/>
          </w:rPr>
          <w:t>https://www.researchgate.net/publication/349506325_Critical_examination_of_the_PESTEL_Analysis_Model</w:t>
        </w:r>
      </w:hyperlink>
      <w:r>
        <w:t xml:space="preserve"> </w:t>
      </w:r>
    </w:p>
    <w:p w14:paraId="12523CDA" w14:textId="77777777" w:rsidR="001B3314" w:rsidRPr="00E03D2B" w:rsidRDefault="001B3314" w:rsidP="00940E1E">
      <w:pPr>
        <w:ind w:left="720" w:hanging="720"/>
      </w:pPr>
      <w:r w:rsidRPr="00E03D2B">
        <w:t>Cassidy, P., Harrison, D. and Jackson, P. (2025). Examining the Effect of Human Resource Management Practices on Employee Performance in Public Sector Organisations: A Systematic Review. </w:t>
      </w:r>
      <w:r w:rsidRPr="00E03D2B">
        <w:rPr>
          <w:i/>
          <w:iCs/>
        </w:rPr>
        <w:t>International Journal of Innovative Science and Research Technology</w:t>
      </w:r>
      <w:r w:rsidRPr="00E03D2B">
        <w:t>, [online] p.3012. doi:10.38124/ijisrt/25nov1238.</w:t>
      </w:r>
    </w:p>
    <w:p w14:paraId="77F53575" w14:textId="77777777" w:rsidR="001B3314" w:rsidRPr="00940E1E" w:rsidRDefault="001B3314" w:rsidP="00940E1E">
      <w:pPr>
        <w:ind w:left="720" w:hanging="720"/>
      </w:pPr>
      <w:r w:rsidRPr="00940E1E">
        <w:t xml:space="preserve">CIPD (2023). </w:t>
      </w:r>
      <w:r w:rsidRPr="00940E1E">
        <w:rPr>
          <w:i/>
          <w:iCs/>
        </w:rPr>
        <w:t>CIPD | organisational culture resources</w:t>
      </w:r>
      <w:r w:rsidRPr="00940E1E">
        <w:t xml:space="preserve">. [online] </w:t>
      </w:r>
      <w:r w:rsidRPr="00940E1E">
        <w:rPr>
          <w:i/>
          <w:iCs/>
        </w:rPr>
        <w:t>CIPD</w:t>
      </w:r>
      <w:r w:rsidRPr="00940E1E">
        <w:t xml:space="preserve">. Available at: </w:t>
      </w:r>
      <w:hyperlink r:id="rId11" w:history="1">
        <w:r w:rsidRPr="00940E1E">
          <w:rPr>
            <w:rStyle w:val="Hyperlink"/>
          </w:rPr>
          <w:t>https://www.cipd.org/en/topics/organisational-culture/</w:t>
        </w:r>
      </w:hyperlink>
      <w:r>
        <w:t xml:space="preserve"> </w:t>
      </w:r>
    </w:p>
    <w:p w14:paraId="1510C789" w14:textId="77777777" w:rsidR="001B3314" w:rsidRPr="00940E1E" w:rsidRDefault="001B3314" w:rsidP="00940E1E">
      <w:pPr>
        <w:ind w:left="720" w:hanging="720"/>
      </w:pPr>
      <w:r w:rsidRPr="00940E1E">
        <w:t xml:space="preserve">CIPD (2024). </w:t>
      </w:r>
      <w:r w:rsidRPr="00940E1E">
        <w:rPr>
          <w:i/>
          <w:iCs/>
        </w:rPr>
        <w:t>CIPD | employer branding | factsheets</w:t>
      </w:r>
      <w:r w:rsidRPr="00940E1E">
        <w:t xml:space="preserve">. [online] </w:t>
      </w:r>
      <w:r w:rsidRPr="00940E1E">
        <w:rPr>
          <w:i/>
          <w:iCs/>
        </w:rPr>
        <w:t>CIPD</w:t>
      </w:r>
      <w:r w:rsidRPr="00940E1E">
        <w:t xml:space="preserve">. Available at: </w:t>
      </w:r>
      <w:hyperlink r:id="rId12" w:history="1">
        <w:r w:rsidRPr="00940E1E">
          <w:rPr>
            <w:rStyle w:val="Hyperlink"/>
          </w:rPr>
          <w:t>https://www.cipd.org/en/knowledge/factsheets/recruitment-brand-factsheet/</w:t>
        </w:r>
      </w:hyperlink>
      <w:r>
        <w:t xml:space="preserve"> </w:t>
      </w:r>
    </w:p>
    <w:p w14:paraId="3FC39A54" w14:textId="77777777" w:rsidR="001B3314" w:rsidRPr="007B2E00" w:rsidRDefault="001B3314" w:rsidP="00940E1E">
      <w:pPr>
        <w:ind w:left="720" w:hanging="720"/>
      </w:pPr>
      <w:r w:rsidRPr="00E03D2B">
        <w:t>‌</w:t>
      </w:r>
      <w:r w:rsidRPr="007B2E00">
        <w:t xml:space="preserve">Di Federico, R. (2022). Human resource management in </w:t>
      </w:r>
      <w:r>
        <w:t>Italian</w:t>
      </w:r>
      <w:r w:rsidRPr="007B2E00">
        <w:t xml:space="preserve"> SMEs after </w:t>
      </w:r>
      <w:r>
        <w:t>COVID-19</w:t>
      </w:r>
      <w:r w:rsidRPr="007B2E00">
        <w:t>: an opportunity for growth? </w:t>
      </w:r>
      <w:r w:rsidRPr="007B2E00">
        <w:rPr>
          <w:i/>
          <w:iCs/>
        </w:rPr>
        <w:t>STUDI ORGANIZZATIVI</w:t>
      </w:r>
      <w:r w:rsidRPr="007B2E00">
        <w:t>, [online] (1), pp.177–198. doi:10.3280/so2022-001008.</w:t>
      </w:r>
    </w:p>
    <w:p w14:paraId="4E044DE6" w14:textId="77777777" w:rsidR="001B3314" w:rsidRPr="004E4E7E" w:rsidRDefault="001B3314" w:rsidP="001B3314">
      <w:pPr>
        <w:ind w:left="720" w:hanging="720"/>
      </w:pPr>
      <w:r w:rsidRPr="004E4E7E">
        <w:t xml:space="preserve">Digital Health and Care Wales (2021). </w:t>
      </w:r>
      <w:r w:rsidRPr="004E4E7E">
        <w:rPr>
          <w:i/>
          <w:iCs/>
        </w:rPr>
        <w:t>Local partnership forum</w:t>
      </w:r>
      <w:r w:rsidRPr="004E4E7E">
        <w:t xml:space="preserve">. [online] Digital Health and Care Wales. Available at: </w:t>
      </w:r>
      <w:hyperlink r:id="rId13" w:history="1">
        <w:r w:rsidRPr="004E4E7E">
          <w:rPr>
            <w:rStyle w:val="Hyperlink"/>
          </w:rPr>
          <w:t>https://dhcw.nhs.wales/about-us/board-committee-and-advisory-boards/local-partnership-forum/</w:t>
        </w:r>
      </w:hyperlink>
      <w:r w:rsidRPr="004E4E7E">
        <w:t xml:space="preserve"> </w:t>
      </w:r>
    </w:p>
    <w:p w14:paraId="162D520A" w14:textId="77777777" w:rsidR="001B3314" w:rsidRPr="00940E1E" w:rsidRDefault="001B3314" w:rsidP="00940E1E">
      <w:pPr>
        <w:ind w:left="720" w:hanging="720"/>
      </w:pPr>
      <w:r w:rsidRPr="00940E1E">
        <w:t xml:space="preserve">IADS (2025). </w:t>
      </w:r>
      <w:r w:rsidRPr="00940E1E">
        <w:rPr>
          <w:i/>
          <w:iCs/>
        </w:rPr>
        <w:t>John Lewis chair: ‘We want to help staff every month rather than once a year’ | member news | member site | International Association of Department Stores</w:t>
      </w:r>
      <w:r w:rsidRPr="00940E1E">
        <w:t xml:space="preserve">. </w:t>
      </w:r>
      <w:r w:rsidRPr="00940E1E">
        <w:lastRenderedPageBreak/>
        <w:t xml:space="preserve">[online] Iads.org. Available at: </w:t>
      </w:r>
      <w:hyperlink r:id="rId14" w:history="1">
        <w:r w:rsidRPr="00940E1E">
          <w:rPr>
            <w:rStyle w:val="Hyperlink"/>
          </w:rPr>
          <w:t>https://www.iads.org/iads-member-news/john-lewis-chair-we-want-to-help-staff-every-month-rather-than-once-a-year-f15c0</w:t>
        </w:r>
      </w:hyperlink>
      <w:r>
        <w:t xml:space="preserve"> </w:t>
      </w:r>
    </w:p>
    <w:p w14:paraId="63B1092C" w14:textId="77777777" w:rsidR="001B3314" w:rsidRPr="00940E1E" w:rsidRDefault="001B3314" w:rsidP="00940E1E">
      <w:pPr>
        <w:ind w:left="720" w:hanging="720"/>
      </w:pPr>
      <w:r w:rsidRPr="00940E1E">
        <w:t xml:space="preserve">John Lewis Partnership (2024). </w:t>
      </w:r>
      <w:r w:rsidRPr="00940E1E">
        <w:rPr>
          <w:i/>
          <w:iCs/>
        </w:rPr>
        <w:t>Ethics &amp; sustainability reporting</w:t>
      </w:r>
      <w:r w:rsidRPr="00940E1E">
        <w:t xml:space="preserve">. [online] </w:t>
      </w:r>
      <w:r w:rsidRPr="00940E1E">
        <w:rPr>
          <w:i/>
          <w:iCs/>
        </w:rPr>
        <w:t>John Lewis Partnership</w:t>
      </w:r>
      <w:r w:rsidRPr="00940E1E">
        <w:t xml:space="preserve">. Available at: </w:t>
      </w:r>
      <w:hyperlink r:id="rId15" w:history="1">
        <w:r w:rsidRPr="00940E1E">
          <w:rPr>
            <w:rStyle w:val="Hyperlink"/>
          </w:rPr>
          <w:t>https://www.johnlewispartnership.co.uk/ethics-sustainability/sustainability-reporting</w:t>
        </w:r>
      </w:hyperlink>
      <w:r>
        <w:t xml:space="preserve"> </w:t>
      </w:r>
    </w:p>
    <w:p w14:paraId="19B9B806" w14:textId="77777777" w:rsidR="001B3314" w:rsidRPr="00940E1E" w:rsidRDefault="001B3314" w:rsidP="00940E1E">
      <w:pPr>
        <w:ind w:left="720" w:hanging="720"/>
      </w:pPr>
      <w:r w:rsidRPr="00940E1E">
        <w:t xml:space="preserve">John Lewis Partnership (2024b). </w:t>
      </w:r>
      <w:r w:rsidRPr="00940E1E">
        <w:rPr>
          <w:i/>
          <w:iCs/>
        </w:rPr>
        <w:t>Never knowingly undersold returns for the modern age</w:t>
      </w:r>
      <w:r w:rsidRPr="00940E1E">
        <w:t xml:space="preserve">. [online] </w:t>
      </w:r>
      <w:r w:rsidRPr="00940E1E">
        <w:rPr>
          <w:i/>
          <w:iCs/>
        </w:rPr>
        <w:t>John Lewis Partnership</w:t>
      </w:r>
      <w:r w:rsidRPr="00940E1E">
        <w:t xml:space="preserve">. Available at: </w:t>
      </w:r>
      <w:hyperlink r:id="rId16" w:history="1">
        <w:r w:rsidRPr="00940E1E">
          <w:rPr>
            <w:rStyle w:val="Hyperlink"/>
          </w:rPr>
          <w:t>https://www.johnlewispartnership.co.uk/media-centre/latest-news/2024/20676</w:t>
        </w:r>
      </w:hyperlink>
      <w:r>
        <w:t xml:space="preserve"> </w:t>
      </w:r>
    </w:p>
    <w:p w14:paraId="04D58C42" w14:textId="77777777" w:rsidR="001B3314" w:rsidRPr="00940E1E" w:rsidRDefault="001B3314" w:rsidP="00940E1E">
      <w:pPr>
        <w:ind w:left="720" w:hanging="720"/>
      </w:pPr>
      <w:r w:rsidRPr="00940E1E">
        <w:t xml:space="preserve">Johnstone, S. (2023). Human resource management in recession: Restructuring and alternatives to downsizing in times of crisis. </w:t>
      </w:r>
      <w:r w:rsidRPr="00940E1E">
        <w:rPr>
          <w:i/>
          <w:iCs/>
        </w:rPr>
        <w:t>Human Resource Management Journal</w:t>
      </w:r>
      <w:r w:rsidRPr="00940E1E">
        <w:t>, [online] 34(1), pp.138–157. doi:10.1111/1748-8583.12512.</w:t>
      </w:r>
    </w:p>
    <w:p w14:paraId="0F727DCC" w14:textId="77777777" w:rsidR="001B3314" w:rsidRPr="00940E1E" w:rsidRDefault="001B3314" w:rsidP="00940E1E">
      <w:pPr>
        <w:ind w:left="720" w:hanging="720"/>
      </w:pPr>
      <w:r w:rsidRPr="00940E1E">
        <w:t xml:space="preserve">Khatoon, U.T., Babgi, M., Hadi, N.T., Mir, R.N. and Velidandi, A. (2025). Technology-driven change in human resource management: Reshaping talent management and </w:t>
      </w:r>
      <w:r>
        <w:t>organisational</w:t>
      </w:r>
      <w:r w:rsidRPr="00940E1E">
        <w:t xml:space="preserve"> design. </w:t>
      </w:r>
      <w:r w:rsidRPr="00940E1E">
        <w:rPr>
          <w:i/>
          <w:iCs/>
        </w:rPr>
        <w:t>Administrative Sciences</w:t>
      </w:r>
      <w:r w:rsidRPr="00940E1E">
        <w:t>, [online] 15(11), p.452. doi:10.3390/admsci15110452.</w:t>
      </w:r>
    </w:p>
    <w:p w14:paraId="3650A8F7" w14:textId="77777777" w:rsidR="001B3314" w:rsidRPr="00940E1E" w:rsidRDefault="001B3314" w:rsidP="00940E1E">
      <w:pPr>
        <w:ind w:left="720" w:hanging="720"/>
      </w:pPr>
      <w:r>
        <w:t>Lewis</w:t>
      </w:r>
      <w:r w:rsidRPr="00940E1E">
        <w:t xml:space="preserve">, J. (2025). </w:t>
      </w:r>
      <w:r w:rsidRPr="00940E1E">
        <w:rPr>
          <w:i/>
          <w:iCs/>
        </w:rPr>
        <w:t>John Lewis Partnership</w:t>
      </w:r>
      <w:r w:rsidRPr="00940E1E">
        <w:t xml:space="preserve">. [online] </w:t>
      </w:r>
      <w:r w:rsidRPr="00940E1E">
        <w:rPr>
          <w:i/>
          <w:iCs/>
        </w:rPr>
        <w:t>Johnlewispartnership.co.uk</w:t>
      </w:r>
      <w:r w:rsidRPr="00940E1E">
        <w:t xml:space="preserve">. Available at: </w:t>
      </w:r>
      <w:hyperlink r:id="rId17" w:history="1">
        <w:r w:rsidRPr="00940E1E">
          <w:rPr>
            <w:rStyle w:val="Hyperlink"/>
          </w:rPr>
          <w:t>https://www.johnlewispartnership.co.uk/</w:t>
        </w:r>
      </w:hyperlink>
      <w:r>
        <w:t xml:space="preserve"> </w:t>
      </w:r>
    </w:p>
    <w:p w14:paraId="4F6EEBDD" w14:textId="77777777" w:rsidR="001B3314" w:rsidRPr="00940E1E" w:rsidRDefault="001B3314" w:rsidP="00940E1E">
      <w:pPr>
        <w:ind w:left="720" w:hanging="720"/>
      </w:pPr>
      <w:r w:rsidRPr="00940E1E">
        <w:t xml:space="preserve">Lewis, J. (2025). </w:t>
      </w:r>
      <w:r w:rsidRPr="00940E1E">
        <w:rPr>
          <w:i/>
          <w:iCs/>
        </w:rPr>
        <w:t>Partnership model</w:t>
      </w:r>
      <w:r w:rsidRPr="00940E1E">
        <w:t xml:space="preserve">. [online] </w:t>
      </w:r>
      <w:r w:rsidRPr="00940E1E">
        <w:rPr>
          <w:i/>
          <w:iCs/>
        </w:rPr>
        <w:t>John Lewis Partnership</w:t>
      </w:r>
      <w:r w:rsidRPr="00940E1E">
        <w:t xml:space="preserve">. Available at: </w:t>
      </w:r>
      <w:hyperlink r:id="rId18" w:history="1">
        <w:r w:rsidRPr="00940E1E">
          <w:rPr>
            <w:rStyle w:val="Hyperlink"/>
          </w:rPr>
          <w:t>https://www.johnlewispartnership.co.uk/our-company/partnership-model</w:t>
        </w:r>
      </w:hyperlink>
      <w:r>
        <w:t xml:space="preserve"> </w:t>
      </w:r>
    </w:p>
    <w:p w14:paraId="6D5B58D8" w14:textId="77777777" w:rsidR="001B3314" w:rsidRPr="00940E1E" w:rsidRDefault="001B3314" w:rsidP="00940E1E">
      <w:pPr>
        <w:ind w:left="720" w:hanging="720"/>
      </w:pPr>
      <w:r w:rsidRPr="00940E1E">
        <w:t xml:space="preserve">Lim, S. and Oh, J. (2025). Navigating privacy: A global comparative analysis of data protection laws. </w:t>
      </w:r>
      <w:r w:rsidRPr="00940E1E">
        <w:rPr>
          <w:i/>
          <w:iCs/>
        </w:rPr>
        <w:t>IET Information Security</w:t>
      </w:r>
      <w:r w:rsidRPr="00940E1E">
        <w:t>, 2025(1). doi:10.1049/ise2/5536763.</w:t>
      </w:r>
    </w:p>
    <w:p w14:paraId="646C5552" w14:textId="77777777" w:rsidR="001B3314" w:rsidRPr="00E03D2B" w:rsidRDefault="001B3314" w:rsidP="00940E1E">
      <w:pPr>
        <w:ind w:left="720" w:hanging="720"/>
      </w:pPr>
      <w:r w:rsidRPr="00E03D2B">
        <w:t>‌</w:t>
      </w:r>
      <w:r w:rsidRPr="004C497D">
        <w:t>‌</w:t>
      </w:r>
      <w:r w:rsidRPr="00E03D2B">
        <w:t xml:space="preserve">Loeffen, A.J., Turner, R. and Mendes Borba, G.C. (2021). A Human </w:t>
      </w:r>
      <w:r>
        <w:t>Rights-Based</w:t>
      </w:r>
      <w:r w:rsidRPr="00E03D2B">
        <w:t xml:space="preserve"> Approach</w:t>
      </w:r>
      <w:r>
        <w:t>:</w:t>
      </w:r>
      <w:r w:rsidRPr="00E03D2B">
        <w:t xml:space="preserve"> A practical guide for the realisation of the human rights to water and... </w:t>
      </w:r>
      <w:r w:rsidRPr="00E03D2B">
        <w:rPr>
          <w:i/>
          <w:iCs/>
        </w:rPr>
        <w:t>ResearchGate</w:t>
      </w:r>
      <w:r w:rsidRPr="00E03D2B">
        <w:t>. [online] doi:10.13140/RG.2.2.33800.84488.</w:t>
      </w:r>
      <w:r>
        <w:t xml:space="preserve"> </w:t>
      </w:r>
    </w:p>
    <w:p w14:paraId="2B121890" w14:textId="77777777" w:rsidR="001B3314" w:rsidRPr="00940E1E" w:rsidRDefault="001B3314" w:rsidP="00940E1E">
      <w:pPr>
        <w:ind w:left="720" w:hanging="720"/>
      </w:pPr>
      <w:r w:rsidRPr="00940E1E">
        <w:t xml:space="preserve">Mahato, S. and Kaur, J. (2023). The impact of compensation and reward system on the performance of employees. </w:t>
      </w:r>
      <w:r w:rsidRPr="00940E1E">
        <w:rPr>
          <w:i/>
          <w:iCs/>
        </w:rPr>
        <w:t xml:space="preserve">Shanlax </w:t>
      </w:r>
      <w:r>
        <w:rPr>
          <w:i/>
          <w:iCs/>
        </w:rPr>
        <w:t>International Journal</w:t>
      </w:r>
      <w:r w:rsidRPr="00940E1E">
        <w:rPr>
          <w:i/>
          <w:iCs/>
        </w:rPr>
        <w:t xml:space="preserve"> of </w:t>
      </w:r>
      <w:r>
        <w:rPr>
          <w:i/>
          <w:iCs/>
        </w:rPr>
        <w:t>Management</w:t>
      </w:r>
      <w:r w:rsidRPr="00940E1E">
        <w:t>, 10(4), pp.10–16. doi:10.34293/management.v10i4.6177.</w:t>
      </w:r>
    </w:p>
    <w:p w14:paraId="704503C2" w14:textId="77777777" w:rsidR="001B3314" w:rsidRPr="00940E1E" w:rsidRDefault="001B3314" w:rsidP="00940E1E">
      <w:pPr>
        <w:ind w:left="720" w:hanging="720"/>
      </w:pPr>
      <w:r w:rsidRPr="00940E1E">
        <w:lastRenderedPageBreak/>
        <w:t xml:space="preserve">Murfat, Moh.Z., Mohamad, M. and Nasir, M. (2025). Effectiveness of recruitment policies in attracting and retaining qualified talent in the company. </w:t>
      </w:r>
      <w:r w:rsidRPr="00940E1E">
        <w:rPr>
          <w:i/>
          <w:iCs/>
        </w:rPr>
        <w:t>Advances in Human Resource Management Research</w:t>
      </w:r>
      <w:r w:rsidRPr="00940E1E">
        <w:t>, [online] 3(1), pp.60–72. doi:10.60079/ahrmr.v3i1.421.</w:t>
      </w:r>
    </w:p>
    <w:p w14:paraId="22AE1334" w14:textId="77777777" w:rsidR="001B3314" w:rsidRPr="00940E1E" w:rsidRDefault="001B3314" w:rsidP="00940E1E">
      <w:pPr>
        <w:ind w:left="720" w:hanging="720"/>
      </w:pPr>
      <w:r w:rsidRPr="00940E1E">
        <w:t xml:space="preserve">Newborne, P. (2022). Crossed wires: Public regulation and private action for Water Stewardship and sustainable farming. </w:t>
      </w:r>
      <w:r w:rsidRPr="00940E1E">
        <w:rPr>
          <w:i/>
          <w:iCs/>
        </w:rPr>
        <w:t>Water International</w:t>
      </w:r>
      <w:r w:rsidRPr="00940E1E">
        <w:t>, 47(7), pp.1169–1186. doi:10.1080/02508060.2022.2133798.</w:t>
      </w:r>
    </w:p>
    <w:p w14:paraId="69A98529" w14:textId="77777777" w:rsidR="001B3314" w:rsidRPr="00940E1E" w:rsidRDefault="001B3314" w:rsidP="00940E1E">
      <w:pPr>
        <w:ind w:left="720" w:hanging="720"/>
      </w:pPr>
      <w:r w:rsidRPr="00940E1E">
        <w:t xml:space="preserve">University of Hull (2026). </w:t>
      </w:r>
      <w:r w:rsidRPr="00940E1E">
        <w:rPr>
          <w:i/>
          <w:iCs/>
        </w:rPr>
        <w:t>Wilberforce Institute | University of Hull</w:t>
      </w:r>
      <w:r w:rsidRPr="00940E1E">
        <w:t xml:space="preserve">. [online] </w:t>
      </w:r>
      <w:r w:rsidRPr="00940E1E">
        <w:rPr>
          <w:i/>
          <w:iCs/>
        </w:rPr>
        <w:t>Hull.ac.uk</w:t>
      </w:r>
      <w:r w:rsidRPr="00940E1E">
        <w:t xml:space="preserve">. Available at: </w:t>
      </w:r>
      <w:hyperlink r:id="rId19" w:history="1">
        <w:r w:rsidRPr="00940E1E">
          <w:rPr>
            <w:rStyle w:val="Hyperlink"/>
          </w:rPr>
          <w:t>https://www.hull.ac.uk/research/institutes/wilberforce-institute</w:t>
        </w:r>
      </w:hyperlink>
      <w:r>
        <w:t xml:space="preserve"> </w:t>
      </w:r>
    </w:p>
    <w:p w14:paraId="27666910" w14:textId="77777777" w:rsidR="001B3314" w:rsidRPr="00940E1E" w:rsidRDefault="001B3314" w:rsidP="00940E1E">
      <w:pPr>
        <w:ind w:left="720" w:hanging="720"/>
      </w:pPr>
      <w:r w:rsidRPr="00940E1E">
        <w:t xml:space="preserve">Vandenbroucke, S. (2022). Codes of conduct, a tool to regulate supply chain </w:t>
      </w:r>
      <w:r>
        <w:t>labour</w:t>
      </w:r>
      <w:r w:rsidRPr="00940E1E">
        <w:t xml:space="preserve"> practices? Codes of conduct, a tool to regulate supply chain </w:t>
      </w:r>
      <w:r>
        <w:t>labour</w:t>
      </w:r>
      <w:r w:rsidRPr="00940E1E">
        <w:t xml:space="preserve"> practices? [online] Available at: </w:t>
      </w:r>
      <w:hyperlink r:id="rId20" w:history="1">
        <w:r w:rsidRPr="00940E1E">
          <w:rPr>
            <w:rStyle w:val="Hyperlink"/>
          </w:rPr>
          <w:t>https://scholarlypublications.universiteitleiden.nl/access/item%3A3721934/download</w:t>
        </w:r>
      </w:hyperlink>
      <w:r>
        <w:t xml:space="preserve"> </w:t>
      </w:r>
    </w:p>
    <w:p w14:paraId="1ED94542" w14:textId="77777777" w:rsidR="001B3314" w:rsidRPr="00940E1E" w:rsidRDefault="001B3314" w:rsidP="00940E1E">
      <w:pPr>
        <w:ind w:left="720" w:hanging="720"/>
      </w:pPr>
      <w:r w:rsidRPr="00940E1E">
        <w:t xml:space="preserve">Waitrose (2025). </w:t>
      </w:r>
      <w:r w:rsidRPr="00940E1E">
        <w:rPr>
          <w:i/>
          <w:iCs/>
        </w:rPr>
        <w:t xml:space="preserve">Waitrose &amp; </w:t>
      </w:r>
      <w:r>
        <w:rPr>
          <w:i/>
          <w:iCs/>
        </w:rPr>
        <w:t>Partners</w:t>
      </w:r>
      <w:r w:rsidRPr="00940E1E">
        <w:t xml:space="preserve">. [online] Waitrose.com. Available at: </w:t>
      </w:r>
      <w:hyperlink r:id="rId21" w:history="1">
        <w:r w:rsidRPr="00940E1E">
          <w:rPr>
            <w:rStyle w:val="Hyperlink"/>
          </w:rPr>
          <w:t>https://www.waitrose.com/ecom/content/sustainability/responsible-sourcing/waitrose-foundation?srsltid=AfmBOoparlH6V3G2BDtFafJzB37dqGDZSbqH3x7ePLSzfZmY6KMw2EmW</w:t>
        </w:r>
      </w:hyperlink>
      <w:r>
        <w:t xml:space="preserve"> </w:t>
      </w:r>
    </w:p>
    <w:p w14:paraId="1042C288" w14:textId="77777777" w:rsidR="001B3314" w:rsidRPr="00940E1E" w:rsidRDefault="001B3314" w:rsidP="00940E1E">
      <w:pPr>
        <w:ind w:left="720" w:hanging="720"/>
      </w:pPr>
      <w:r w:rsidRPr="00940E1E">
        <w:t xml:space="preserve">Waitrose (2026). </w:t>
      </w:r>
      <w:r w:rsidRPr="00940E1E">
        <w:rPr>
          <w:i/>
          <w:iCs/>
        </w:rPr>
        <w:t>Waitrose Foundation | Waitrose &amp; Partners | Waitrose &amp; Partners</w:t>
      </w:r>
      <w:r w:rsidRPr="00940E1E">
        <w:t xml:space="preserve">. [online] Waitrose.com. Available at: </w:t>
      </w:r>
      <w:hyperlink r:id="rId22" w:history="1">
        <w:r w:rsidRPr="00940E1E">
          <w:rPr>
            <w:rStyle w:val="Hyperlink"/>
          </w:rPr>
          <w:t>https://www.waitrose.com/ecom/content/sustainability/responsible-sourcing/waitrose-foundation?srsltid=AfmBOopLpMzKA7cHP0Mc93gbK-q6bQhv4QeENNk_Yc3wweGS1yHEys09</w:t>
        </w:r>
      </w:hyperlink>
      <w:r>
        <w:t xml:space="preserve"> </w:t>
      </w:r>
    </w:p>
    <w:p w14:paraId="6C2D8ECE" w14:textId="77777777" w:rsidR="001B3314" w:rsidRPr="00940E1E" w:rsidRDefault="001B3314" w:rsidP="00940E1E">
      <w:pPr>
        <w:ind w:left="720" w:hanging="720"/>
      </w:pPr>
      <w:r w:rsidRPr="00940E1E">
        <w:t xml:space="preserve">Žilinskaitė, M., Hajro, A., Baldassari, P. and Miska, C. (2025). Migration, human supply chains, and the multinational enterprise: Confronting an overlooked global mobility challenge. </w:t>
      </w:r>
      <w:r w:rsidRPr="00940E1E">
        <w:rPr>
          <w:i/>
          <w:iCs/>
        </w:rPr>
        <w:t>Human Resource Management Journal</w:t>
      </w:r>
      <w:r w:rsidRPr="00940E1E">
        <w:t>. doi:10.1111/1748-8583.12592.</w:t>
      </w:r>
    </w:p>
    <w:p w14:paraId="0B8B4D46" w14:textId="438766BB" w:rsidR="004C497D" w:rsidRPr="004C497D" w:rsidRDefault="004C497D" w:rsidP="004C497D"/>
    <w:p w14:paraId="5B55167C" w14:textId="77777777" w:rsidR="004C497D" w:rsidRDefault="004C497D"/>
    <w:sectPr w:rsidR="004C497D" w:rsidSect="00E96FCF">
      <w:footerReference w:type="default" r:id="rId23"/>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A68B6B" w14:textId="77777777" w:rsidR="00C341C3" w:rsidRDefault="00C341C3" w:rsidP="00E96FCF">
      <w:pPr>
        <w:spacing w:after="0" w:line="240" w:lineRule="auto"/>
      </w:pPr>
      <w:r>
        <w:separator/>
      </w:r>
    </w:p>
  </w:endnote>
  <w:endnote w:type="continuationSeparator" w:id="0">
    <w:p w14:paraId="52E8080F" w14:textId="77777777" w:rsidR="00C341C3" w:rsidRDefault="00C341C3" w:rsidP="00E96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Arial MT">
    <w:altName w:val="Arial"/>
    <w:charset w:val="01"/>
    <w:family w:val="swiss"/>
    <w:pitch w:val="variable"/>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292816865"/>
      <w:docPartObj>
        <w:docPartGallery w:val="Page Numbers (Bottom of Page)"/>
        <w:docPartUnique/>
      </w:docPartObj>
    </w:sdtPr>
    <w:sdtEndPr>
      <w:rPr>
        <w:noProof/>
      </w:rPr>
    </w:sdtEndPr>
    <w:sdtContent>
      <w:p w14:paraId="534C1831" w14:textId="6CE4ADFF" w:rsidR="00E96FCF" w:rsidRDefault="00E96FCF">
        <w:pPr>
          <w:pStyle w:val="Footer"/>
          <w:jc w:val="right"/>
        </w:pPr>
        <w:r>
          <w:rPr>
            <w:noProof w:val="0"/>
          </w:rPr>
          <w:fldChar w:fldCharType="begin"/>
        </w:r>
        <w:r>
          <w:instrText xml:space="preserve"> PAGE   \* MERGEFORMAT </w:instrText>
        </w:r>
        <w:r>
          <w:rPr>
            <w:noProof w:val="0"/>
          </w:rPr>
          <w:fldChar w:fldCharType="separate"/>
        </w:r>
        <w:r w:rsidR="00541467">
          <w:t>4</w:t>
        </w:r>
        <w:r>
          <w:fldChar w:fldCharType="end"/>
        </w:r>
      </w:p>
    </w:sdtContent>
  </w:sdt>
  <w:p w14:paraId="37DC8C90" w14:textId="77777777" w:rsidR="00E96FCF" w:rsidRDefault="00E96F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2E12EE" w14:textId="77777777" w:rsidR="00C341C3" w:rsidRDefault="00C341C3" w:rsidP="00E96FCF">
      <w:pPr>
        <w:spacing w:after="0" w:line="240" w:lineRule="auto"/>
      </w:pPr>
      <w:r>
        <w:separator/>
      </w:r>
    </w:p>
  </w:footnote>
  <w:footnote w:type="continuationSeparator" w:id="0">
    <w:p w14:paraId="175CC479" w14:textId="77777777" w:rsidR="00C341C3" w:rsidRDefault="00C341C3" w:rsidP="00E96F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DB"/>
    <w:rsid w:val="0000407E"/>
    <w:rsid w:val="000137D4"/>
    <w:rsid w:val="0004713B"/>
    <w:rsid w:val="00080448"/>
    <w:rsid w:val="000B7195"/>
    <w:rsid w:val="000B7E0D"/>
    <w:rsid w:val="00137835"/>
    <w:rsid w:val="001A02F1"/>
    <w:rsid w:val="001B3314"/>
    <w:rsid w:val="001D1045"/>
    <w:rsid w:val="001D43F4"/>
    <w:rsid w:val="001D7366"/>
    <w:rsid w:val="00200EF8"/>
    <w:rsid w:val="00276D62"/>
    <w:rsid w:val="002C1E60"/>
    <w:rsid w:val="002D7874"/>
    <w:rsid w:val="00311FD5"/>
    <w:rsid w:val="003307C0"/>
    <w:rsid w:val="003449CB"/>
    <w:rsid w:val="003A354A"/>
    <w:rsid w:val="003C04C5"/>
    <w:rsid w:val="004350DC"/>
    <w:rsid w:val="004C497D"/>
    <w:rsid w:val="004E4E7E"/>
    <w:rsid w:val="00541467"/>
    <w:rsid w:val="005417CA"/>
    <w:rsid w:val="00567490"/>
    <w:rsid w:val="005B7337"/>
    <w:rsid w:val="00654C99"/>
    <w:rsid w:val="00695D97"/>
    <w:rsid w:val="006F2850"/>
    <w:rsid w:val="00745CE4"/>
    <w:rsid w:val="007A34C8"/>
    <w:rsid w:val="007B2E00"/>
    <w:rsid w:val="00872BED"/>
    <w:rsid w:val="0087493E"/>
    <w:rsid w:val="008E0743"/>
    <w:rsid w:val="009010B9"/>
    <w:rsid w:val="009115DB"/>
    <w:rsid w:val="00940E1E"/>
    <w:rsid w:val="00945B26"/>
    <w:rsid w:val="0095272D"/>
    <w:rsid w:val="009677ED"/>
    <w:rsid w:val="00A05366"/>
    <w:rsid w:val="00A32EDD"/>
    <w:rsid w:val="00A4562A"/>
    <w:rsid w:val="00AC28E2"/>
    <w:rsid w:val="00AC3C28"/>
    <w:rsid w:val="00AC5361"/>
    <w:rsid w:val="00AF2D33"/>
    <w:rsid w:val="00B476F6"/>
    <w:rsid w:val="00BA14D6"/>
    <w:rsid w:val="00BC10EF"/>
    <w:rsid w:val="00BE5B25"/>
    <w:rsid w:val="00C0206E"/>
    <w:rsid w:val="00C24832"/>
    <w:rsid w:val="00C25147"/>
    <w:rsid w:val="00C2570F"/>
    <w:rsid w:val="00C341C3"/>
    <w:rsid w:val="00CD5623"/>
    <w:rsid w:val="00CE5007"/>
    <w:rsid w:val="00CF3357"/>
    <w:rsid w:val="00D02713"/>
    <w:rsid w:val="00D05681"/>
    <w:rsid w:val="00D40147"/>
    <w:rsid w:val="00D71F8F"/>
    <w:rsid w:val="00DB047E"/>
    <w:rsid w:val="00E03D2B"/>
    <w:rsid w:val="00E113EB"/>
    <w:rsid w:val="00E6167A"/>
    <w:rsid w:val="00E96FCF"/>
    <w:rsid w:val="00ED6DC6"/>
    <w:rsid w:val="00F05848"/>
    <w:rsid w:val="00F70F2A"/>
    <w:rsid w:val="00F82502"/>
    <w:rsid w:val="00FB3932"/>
    <w:rsid w:val="00FE309E"/>
    <w:rsid w:val="00FE4C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C1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4E7E"/>
    <w:pPr>
      <w:spacing w:after="200" w:line="360" w:lineRule="auto"/>
      <w:jc w:val="both"/>
    </w:pPr>
    <w:rPr>
      <w:rFonts w:ascii="Times New Roman" w:hAnsi="Times New Roman"/>
      <w:noProof/>
      <w:sz w:val="24"/>
      <w14:ligatures w14:val="none"/>
    </w:rPr>
  </w:style>
  <w:style w:type="paragraph" w:styleId="Heading1">
    <w:name w:val="heading 1"/>
    <w:basedOn w:val="Normal"/>
    <w:next w:val="Normal"/>
    <w:link w:val="Heading1Char"/>
    <w:uiPriority w:val="9"/>
    <w:qFormat/>
    <w:rsid w:val="00BA14D6"/>
    <w:pPr>
      <w:keepNext/>
      <w:keepLines/>
      <w:spacing w:before="240" w:after="0"/>
      <w:outlineLvl w:val="0"/>
    </w:pPr>
    <w:rPr>
      <w:rFonts w:eastAsiaTheme="majorEastAsia" w:cstheme="majorBidi"/>
      <w:b/>
      <w:szCs w:val="32"/>
      <w14:ligatures w14:val="standardContextual"/>
    </w:rPr>
  </w:style>
  <w:style w:type="paragraph" w:styleId="Heading2">
    <w:name w:val="heading 2"/>
    <w:basedOn w:val="Normal"/>
    <w:next w:val="Normal"/>
    <w:link w:val="Heading2Char"/>
    <w:uiPriority w:val="9"/>
    <w:unhideWhenUsed/>
    <w:qFormat/>
    <w:rsid w:val="00BA14D6"/>
    <w:pPr>
      <w:keepNext/>
      <w:keepLines/>
      <w:spacing w:before="40" w:after="0"/>
      <w:outlineLvl w:val="1"/>
    </w:pPr>
    <w:rPr>
      <w:rFonts w:eastAsiaTheme="majorEastAsia" w:cstheme="majorBidi"/>
      <w:b/>
      <w:i/>
      <w:szCs w:val="26"/>
      <w14:ligatures w14:val="standardContextual"/>
    </w:rPr>
  </w:style>
  <w:style w:type="paragraph" w:styleId="Heading3">
    <w:name w:val="heading 3"/>
    <w:basedOn w:val="Normal"/>
    <w:next w:val="Normal"/>
    <w:link w:val="Heading3Char"/>
    <w:uiPriority w:val="9"/>
    <w:unhideWhenUsed/>
    <w:qFormat/>
    <w:rsid w:val="003449CB"/>
    <w:pPr>
      <w:keepNext/>
      <w:keepLines/>
      <w:spacing w:before="40" w:after="0"/>
      <w:outlineLvl w:val="2"/>
    </w:pPr>
    <w:rPr>
      <w:rFonts w:eastAsiaTheme="majorEastAsia" w:cstheme="majorBidi"/>
      <w:b/>
      <w:szCs w:val="24"/>
      <w14:ligatures w14:val="standardContextual"/>
    </w:rPr>
  </w:style>
  <w:style w:type="paragraph" w:styleId="Heading4">
    <w:name w:val="heading 4"/>
    <w:basedOn w:val="Normal"/>
    <w:next w:val="Normal"/>
    <w:link w:val="Heading4Char"/>
    <w:uiPriority w:val="9"/>
    <w:semiHidden/>
    <w:unhideWhenUsed/>
    <w:qFormat/>
    <w:rsid w:val="009115D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115D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115D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115D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115D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115D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4D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BA14D6"/>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3449CB"/>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9115DB"/>
    <w:rPr>
      <w:rFonts w:eastAsiaTheme="majorEastAsia" w:cstheme="majorBidi"/>
      <w:i/>
      <w:iCs/>
      <w:noProof/>
      <w:color w:val="2F5496" w:themeColor="accent1" w:themeShade="BF"/>
      <w:sz w:val="24"/>
      <w14:ligatures w14:val="none"/>
    </w:rPr>
  </w:style>
  <w:style w:type="character" w:customStyle="1" w:styleId="Heading5Char">
    <w:name w:val="Heading 5 Char"/>
    <w:basedOn w:val="DefaultParagraphFont"/>
    <w:link w:val="Heading5"/>
    <w:uiPriority w:val="9"/>
    <w:semiHidden/>
    <w:rsid w:val="009115DB"/>
    <w:rPr>
      <w:rFonts w:eastAsiaTheme="majorEastAsia" w:cstheme="majorBidi"/>
      <w:noProof/>
      <w:color w:val="2F5496" w:themeColor="accent1" w:themeShade="BF"/>
      <w:sz w:val="24"/>
      <w14:ligatures w14:val="none"/>
    </w:rPr>
  </w:style>
  <w:style w:type="character" w:customStyle="1" w:styleId="Heading6Char">
    <w:name w:val="Heading 6 Char"/>
    <w:basedOn w:val="DefaultParagraphFont"/>
    <w:link w:val="Heading6"/>
    <w:uiPriority w:val="9"/>
    <w:semiHidden/>
    <w:rsid w:val="009115DB"/>
    <w:rPr>
      <w:rFonts w:eastAsiaTheme="majorEastAsia" w:cstheme="majorBidi"/>
      <w:i/>
      <w:iCs/>
      <w:noProof/>
      <w:color w:val="595959" w:themeColor="text1" w:themeTint="A6"/>
      <w:sz w:val="24"/>
      <w14:ligatures w14:val="none"/>
    </w:rPr>
  </w:style>
  <w:style w:type="character" w:customStyle="1" w:styleId="Heading7Char">
    <w:name w:val="Heading 7 Char"/>
    <w:basedOn w:val="DefaultParagraphFont"/>
    <w:link w:val="Heading7"/>
    <w:uiPriority w:val="9"/>
    <w:semiHidden/>
    <w:rsid w:val="009115DB"/>
    <w:rPr>
      <w:rFonts w:eastAsiaTheme="majorEastAsia" w:cstheme="majorBidi"/>
      <w:noProof/>
      <w:color w:val="595959" w:themeColor="text1" w:themeTint="A6"/>
      <w:sz w:val="24"/>
      <w14:ligatures w14:val="none"/>
    </w:rPr>
  </w:style>
  <w:style w:type="character" w:customStyle="1" w:styleId="Heading8Char">
    <w:name w:val="Heading 8 Char"/>
    <w:basedOn w:val="DefaultParagraphFont"/>
    <w:link w:val="Heading8"/>
    <w:uiPriority w:val="9"/>
    <w:semiHidden/>
    <w:rsid w:val="009115DB"/>
    <w:rPr>
      <w:rFonts w:eastAsiaTheme="majorEastAsia" w:cstheme="majorBidi"/>
      <w:i/>
      <w:iCs/>
      <w:noProof/>
      <w:color w:val="272727" w:themeColor="text1" w:themeTint="D8"/>
      <w:sz w:val="24"/>
      <w14:ligatures w14:val="none"/>
    </w:rPr>
  </w:style>
  <w:style w:type="character" w:customStyle="1" w:styleId="Heading9Char">
    <w:name w:val="Heading 9 Char"/>
    <w:basedOn w:val="DefaultParagraphFont"/>
    <w:link w:val="Heading9"/>
    <w:uiPriority w:val="9"/>
    <w:semiHidden/>
    <w:rsid w:val="009115DB"/>
    <w:rPr>
      <w:rFonts w:eastAsiaTheme="majorEastAsia" w:cstheme="majorBidi"/>
      <w:noProof/>
      <w:color w:val="272727" w:themeColor="text1" w:themeTint="D8"/>
      <w:sz w:val="24"/>
      <w14:ligatures w14:val="none"/>
    </w:rPr>
  </w:style>
  <w:style w:type="paragraph" w:styleId="Title">
    <w:name w:val="Title"/>
    <w:basedOn w:val="Normal"/>
    <w:next w:val="Normal"/>
    <w:link w:val="TitleChar"/>
    <w:uiPriority w:val="10"/>
    <w:qFormat/>
    <w:rsid w:val="009115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5DB"/>
    <w:rPr>
      <w:rFonts w:asciiTheme="majorHAnsi" w:eastAsiaTheme="majorEastAsia" w:hAnsiTheme="majorHAnsi" w:cstheme="majorBidi"/>
      <w:noProof/>
      <w:spacing w:val="-10"/>
      <w:kern w:val="28"/>
      <w:sz w:val="56"/>
      <w:szCs w:val="56"/>
      <w14:ligatures w14:val="none"/>
    </w:rPr>
  </w:style>
  <w:style w:type="paragraph" w:styleId="Subtitle">
    <w:name w:val="Subtitle"/>
    <w:basedOn w:val="Normal"/>
    <w:next w:val="Normal"/>
    <w:link w:val="SubtitleChar"/>
    <w:uiPriority w:val="11"/>
    <w:qFormat/>
    <w:rsid w:val="009115D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5DB"/>
    <w:rPr>
      <w:rFonts w:eastAsiaTheme="majorEastAsia" w:cstheme="majorBidi"/>
      <w:noProof/>
      <w:color w:val="595959" w:themeColor="text1" w:themeTint="A6"/>
      <w:spacing w:val="15"/>
      <w:sz w:val="28"/>
      <w:szCs w:val="28"/>
      <w14:ligatures w14:val="none"/>
    </w:rPr>
  </w:style>
  <w:style w:type="paragraph" w:styleId="Quote">
    <w:name w:val="Quote"/>
    <w:basedOn w:val="Normal"/>
    <w:next w:val="Normal"/>
    <w:link w:val="QuoteChar"/>
    <w:uiPriority w:val="29"/>
    <w:qFormat/>
    <w:rsid w:val="009115D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115DB"/>
    <w:rPr>
      <w:rFonts w:ascii="Times New Roman" w:hAnsi="Times New Roman"/>
      <w:i/>
      <w:iCs/>
      <w:noProof/>
      <w:color w:val="404040" w:themeColor="text1" w:themeTint="BF"/>
      <w:sz w:val="24"/>
      <w14:ligatures w14:val="none"/>
    </w:rPr>
  </w:style>
  <w:style w:type="paragraph" w:styleId="ListParagraph">
    <w:name w:val="List Paragraph"/>
    <w:basedOn w:val="Normal"/>
    <w:uiPriority w:val="34"/>
    <w:qFormat/>
    <w:rsid w:val="009115DB"/>
    <w:pPr>
      <w:ind w:left="720"/>
      <w:contextualSpacing/>
    </w:pPr>
  </w:style>
  <w:style w:type="character" w:styleId="IntenseEmphasis">
    <w:name w:val="Intense Emphasis"/>
    <w:basedOn w:val="DefaultParagraphFont"/>
    <w:uiPriority w:val="21"/>
    <w:qFormat/>
    <w:rsid w:val="009115DB"/>
    <w:rPr>
      <w:i/>
      <w:iCs/>
      <w:color w:val="2F5496" w:themeColor="accent1" w:themeShade="BF"/>
    </w:rPr>
  </w:style>
  <w:style w:type="paragraph" w:styleId="IntenseQuote">
    <w:name w:val="Intense Quote"/>
    <w:basedOn w:val="Normal"/>
    <w:next w:val="Normal"/>
    <w:link w:val="IntenseQuoteChar"/>
    <w:uiPriority w:val="30"/>
    <w:qFormat/>
    <w:rsid w:val="009115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15DB"/>
    <w:rPr>
      <w:rFonts w:ascii="Times New Roman" w:hAnsi="Times New Roman"/>
      <w:i/>
      <w:iCs/>
      <w:noProof/>
      <w:color w:val="2F5496" w:themeColor="accent1" w:themeShade="BF"/>
      <w:sz w:val="24"/>
      <w14:ligatures w14:val="none"/>
    </w:rPr>
  </w:style>
  <w:style w:type="character" w:styleId="IntenseReference">
    <w:name w:val="Intense Reference"/>
    <w:basedOn w:val="DefaultParagraphFont"/>
    <w:uiPriority w:val="32"/>
    <w:qFormat/>
    <w:rsid w:val="009115DB"/>
    <w:rPr>
      <w:b/>
      <w:bCs/>
      <w:smallCaps/>
      <w:color w:val="2F5496" w:themeColor="accent1" w:themeShade="BF"/>
      <w:spacing w:val="5"/>
    </w:rPr>
  </w:style>
  <w:style w:type="paragraph" w:styleId="NormalWeb">
    <w:name w:val="Normal (Web)"/>
    <w:basedOn w:val="Normal"/>
    <w:uiPriority w:val="99"/>
    <w:semiHidden/>
    <w:unhideWhenUsed/>
    <w:rsid w:val="00940E1E"/>
    <w:rPr>
      <w:rFonts w:cs="Times New Roman"/>
      <w:szCs w:val="24"/>
    </w:rPr>
  </w:style>
  <w:style w:type="character" w:styleId="Hyperlink">
    <w:name w:val="Hyperlink"/>
    <w:basedOn w:val="DefaultParagraphFont"/>
    <w:uiPriority w:val="99"/>
    <w:unhideWhenUsed/>
    <w:rsid w:val="00940E1E"/>
    <w:rPr>
      <w:color w:val="0563C1" w:themeColor="hyperlink"/>
      <w:u w:val="single"/>
    </w:rPr>
  </w:style>
  <w:style w:type="character" w:customStyle="1" w:styleId="UnresolvedMention">
    <w:name w:val="Unresolved Mention"/>
    <w:basedOn w:val="DefaultParagraphFont"/>
    <w:uiPriority w:val="99"/>
    <w:semiHidden/>
    <w:unhideWhenUsed/>
    <w:rsid w:val="00940E1E"/>
    <w:rPr>
      <w:color w:val="605E5C"/>
      <w:shd w:val="clear" w:color="auto" w:fill="E1DFDD"/>
    </w:rPr>
  </w:style>
  <w:style w:type="paragraph" w:styleId="BodyText">
    <w:name w:val="Body Text"/>
    <w:basedOn w:val="Normal"/>
    <w:link w:val="BodyTextChar"/>
    <w:uiPriority w:val="1"/>
    <w:qFormat/>
    <w:rsid w:val="00F82502"/>
    <w:pPr>
      <w:widowControl w:val="0"/>
      <w:autoSpaceDE w:val="0"/>
      <w:autoSpaceDN w:val="0"/>
      <w:spacing w:after="0" w:line="240" w:lineRule="auto"/>
      <w:jc w:val="left"/>
    </w:pPr>
    <w:rPr>
      <w:rFonts w:ascii="Arial MT" w:eastAsia="Arial MT" w:hAnsi="Arial MT" w:cs="Arial MT"/>
      <w:noProof w:val="0"/>
      <w:sz w:val="22"/>
      <w:lang w:val="en-US"/>
    </w:rPr>
  </w:style>
  <w:style w:type="character" w:customStyle="1" w:styleId="BodyTextChar">
    <w:name w:val="Body Text Char"/>
    <w:basedOn w:val="DefaultParagraphFont"/>
    <w:link w:val="BodyText"/>
    <w:uiPriority w:val="1"/>
    <w:rsid w:val="00F82502"/>
    <w:rPr>
      <w:rFonts w:ascii="Arial MT" w:eastAsia="Arial MT" w:hAnsi="Arial MT" w:cs="Arial MT"/>
      <w:lang w:val="en-US"/>
      <w14:ligatures w14:val="none"/>
    </w:rPr>
  </w:style>
  <w:style w:type="paragraph" w:customStyle="1" w:styleId="TableParagraph">
    <w:name w:val="Table Paragraph"/>
    <w:basedOn w:val="Normal"/>
    <w:uiPriority w:val="1"/>
    <w:qFormat/>
    <w:rsid w:val="00F82502"/>
    <w:pPr>
      <w:widowControl w:val="0"/>
      <w:autoSpaceDE w:val="0"/>
      <w:autoSpaceDN w:val="0"/>
      <w:spacing w:after="0" w:line="240" w:lineRule="auto"/>
      <w:ind w:left="107"/>
      <w:jc w:val="left"/>
    </w:pPr>
    <w:rPr>
      <w:rFonts w:ascii="Arial MT" w:eastAsia="Arial MT" w:hAnsi="Arial MT" w:cs="Arial MT"/>
      <w:noProof w:val="0"/>
      <w:sz w:val="22"/>
      <w:lang w:val="en-US"/>
    </w:rPr>
  </w:style>
  <w:style w:type="paragraph" w:styleId="Header">
    <w:name w:val="header"/>
    <w:basedOn w:val="Normal"/>
    <w:link w:val="HeaderChar"/>
    <w:uiPriority w:val="99"/>
    <w:unhideWhenUsed/>
    <w:rsid w:val="00E96F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6FCF"/>
    <w:rPr>
      <w:rFonts w:ascii="Times New Roman" w:hAnsi="Times New Roman"/>
      <w:noProof/>
      <w:sz w:val="24"/>
      <w14:ligatures w14:val="none"/>
    </w:rPr>
  </w:style>
  <w:style w:type="paragraph" w:styleId="Footer">
    <w:name w:val="footer"/>
    <w:basedOn w:val="Normal"/>
    <w:link w:val="FooterChar"/>
    <w:uiPriority w:val="99"/>
    <w:unhideWhenUsed/>
    <w:rsid w:val="00E96F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FCF"/>
    <w:rPr>
      <w:rFonts w:ascii="Times New Roman" w:hAnsi="Times New Roman"/>
      <w:noProof/>
      <w:sz w:val="24"/>
      <w14:ligatures w14:val="none"/>
    </w:rPr>
  </w:style>
  <w:style w:type="character" w:styleId="CommentReference">
    <w:name w:val="annotation reference"/>
    <w:basedOn w:val="DefaultParagraphFont"/>
    <w:uiPriority w:val="99"/>
    <w:semiHidden/>
    <w:unhideWhenUsed/>
    <w:rsid w:val="00AC28E2"/>
    <w:rPr>
      <w:sz w:val="16"/>
      <w:szCs w:val="16"/>
    </w:rPr>
  </w:style>
  <w:style w:type="paragraph" w:styleId="CommentText">
    <w:name w:val="annotation text"/>
    <w:basedOn w:val="Normal"/>
    <w:link w:val="CommentTextChar"/>
    <w:uiPriority w:val="99"/>
    <w:semiHidden/>
    <w:unhideWhenUsed/>
    <w:rsid w:val="00AC28E2"/>
    <w:pPr>
      <w:spacing w:line="240" w:lineRule="auto"/>
    </w:pPr>
    <w:rPr>
      <w:sz w:val="20"/>
      <w:szCs w:val="20"/>
    </w:rPr>
  </w:style>
  <w:style w:type="character" w:customStyle="1" w:styleId="CommentTextChar">
    <w:name w:val="Comment Text Char"/>
    <w:basedOn w:val="DefaultParagraphFont"/>
    <w:link w:val="CommentText"/>
    <w:uiPriority w:val="99"/>
    <w:semiHidden/>
    <w:rsid w:val="00AC28E2"/>
    <w:rPr>
      <w:rFonts w:ascii="Times New Roman" w:hAnsi="Times New Roman"/>
      <w:noProof/>
      <w:sz w:val="20"/>
      <w:szCs w:val="20"/>
      <w14:ligatures w14:val="none"/>
    </w:rPr>
  </w:style>
  <w:style w:type="paragraph" w:styleId="CommentSubject">
    <w:name w:val="annotation subject"/>
    <w:basedOn w:val="CommentText"/>
    <w:next w:val="CommentText"/>
    <w:link w:val="CommentSubjectChar"/>
    <w:uiPriority w:val="99"/>
    <w:semiHidden/>
    <w:unhideWhenUsed/>
    <w:rsid w:val="00AC28E2"/>
    <w:rPr>
      <w:b/>
      <w:bCs/>
    </w:rPr>
  </w:style>
  <w:style w:type="character" w:customStyle="1" w:styleId="CommentSubjectChar">
    <w:name w:val="Comment Subject Char"/>
    <w:basedOn w:val="CommentTextChar"/>
    <w:link w:val="CommentSubject"/>
    <w:uiPriority w:val="99"/>
    <w:semiHidden/>
    <w:rsid w:val="00AC28E2"/>
    <w:rPr>
      <w:rFonts w:ascii="Times New Roman" w:hAnsi="Times New Roman"/>
      <w:b/>
      <w:bCs/>
      <w:noProof/>
      <w:sz w:val="20"/>
      <w:szCs w:val="20"/>
      <w14:ligatures w14:val="none"/>
    </w:rPr>
  </w:style>
  <w:style w:type="paragraph" w:styleId="TOCHeading">
    <w:name w:val="TOC Heading"/>
    <w:basedOn w:val="Heading1"/>
    <w:next w:val="Normal"/>
    <w:uiPriority w:val="39"/>
    <w:unhideWhenUsed/>
    <w:qFormat/>
    <w:rsid w:val="009677ED"/>
    <w:pPr>
      <w:spacing w:line="259" w:lineRule="auto"/>
      <w:jc w:val="left"/>
      <w:outlineLvl w:val="9"/>
    </w:pPr>
    <w:rPr>
      <w:rFonts w:asciiTheme="majorHAnsi" w:hAnsiTheme="majorHAnsi"/>
      <w:b w:val="0"/>
      <w:noProof w:val="0"/>
      <w:color w:val="2F5496" w:themeColor="accent1" w:themeShade="BF"/>
      <w:sz w:val="32"/>
      <w:lang w:val="en-US"/>
      <w14:ligatures w14:val="none"/>
    </w:rPr>
  </w:style>
  <w:style w:type="paragraph" w:styleId="TOC1">
    <w:name w:val="toc 1"/>
    <w:basedOn w:val="Normal"/>
    <w:next w:val="Normal"/>
    <w:autoRedefine/>
    <w:uiPriority w:val="39"/>
    <w:unhideWhenUsed/>
    <w:rsid w:val="009677ED"/>
    <w:pPr>
      <w:spacing w:after="100"/>
    </w:pPr>
  </w:style>
  <w:style w:type="paragraph" w:styleId="TOC2">
    <w:name w:val="toc 2"/>
    <w:basedOn w:val="Normal"/>
    <w:next w:val="Normal"/>
    <w:autoRedefine/>
    <w:uiPriority w:val="39"/>
    <w:unhideWhenUsed/>
    <w:rsid w:val="009677ED"/>
    <w:pPr>
      <w:spacing w:after="100"/>
      <w:ind w:left="240"/>
    </w:pPr>
  </w:style>
  <w:style w:type="character" w:styleId="BookTitle">
    <w:name w:val="Book Title"/>
    <w:basedOn w:val="DefaultParagraphFont"/>
    <w:uiPriority w:val="33"/>
    <w:qFormat/>
    <w:rsid w:val="009677ED"/>
    <w:rPr>
      <w:b/>
      <w:bCs/>
      <w:i/>
      <w:iCs/>
      <w:spacing w:val="5"/>
    </w:rPr>
  </w:style>
  <w:style w:type="paragraph" w:styleId="BalloonText">
    <w:name w:val="Balloon Text"/>
    <w:basedOn w:val="Normal"/>
    <w:link w:val="BalloonTextChar"/>
    <w:uiPriority w:val="99"/>
    <w:semiHidden/>
    <w:unhideWhenUsed/>
    <w:rsid w:val="005414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1467"/>
    <w:rPr>
      <w:rFonts w:ascii="Tahoma" w:hAnsi="Tahoma" w:cs="Tahoma"/>
      <w:noProof/>
      <w:sz w:val="16"/>
      <w:szCs w:val="1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4E7E"/>
    <w:pPr>
      <w:spacing w:after="200" w:line="360" w:lineRule="auto"/>
      <w:jc w:val="both"/>
    </w:pPr>
    <w:rPr>
      <w:rFonts w:ascii="Times New Roman" w:hAnsi="Times New Roman"/>
      <w:noProof/>
      <w:sz w:val="24"/>
      <w14:ligatures w14:val="none"/>
    </w:rPr>
  </w:style>
  <w:style w:type="paragraph" w:styleId="Heading1">
    <w:name w:val="heading 1"/>
    <w:basedOn w:val="Normal"/>
    <w:next w:val="Normal"/>
    <w:link w:val="Heading1Char"/>
    <w:uiPriority w:val="9"/>
    <w:qFormat/>
    <w:rsid w:val="00BA14D6"/>
    <w:pPr>
      <w:keepNext/>
      <w:keepLines/>
      <w:spacing w:before="240" w:after="0"/>
      <w:outlineLvl w:val="0"/>
    </w:pPr>
    <w:rPr>
      <w:rFonts w:eastAsiaTheme="majorEastAsia" w:cstheme="majorBidi"/>
      <w:b/>
      <w:szCs w:val="32"/>
      <w14:ligatures w14:val="standardContextual"/>
    </w:rPr>
  </w:style>
  <w:style w:type="paragraph" w:styleId="Heading2">
    <w:name w:val="heading 2"/>
    <w:basedOn w:val="Normal"/>
    <w:next w:val="Normal"/>
    <w:link w:val="Heading2Char"/>
    <w:uiPriority w:val="9"/>
    <w:unhideWhenUsed/>
    <w:qFormat/>
    <w:rsid w:val="00BA14D6"/>
    <w:pPr>
      <w:keepNext/>
      <w:keepLines/>
      <w:spacing w:before="40" w:after="0"/>
      <w:outlineLvl w:val="1"/>
    </w:pPr>
    <w:rPr>
      <w:rFonts w:eastAsiaTheme="majorEastAsia" w:cstheme="majorBidi"/>
      <w:b/>
      <w:i/>
      <w:szCs w:val="26"/>
      <w14:ligatures w14:val="standardContextual"/>
    </w:rPr>
  </w:style>
  <w:style w:type="paragraph" w:styleId="Heading3">
    <w:name w:val="heading 3"/>
    <w:basedOn w:val="Normal"/>
    <w:next w:val="Normal"/>
    <w:link w:val="Heading3Char"/>
    <w:uiPriority w:val="9"/>
    <w:unhideWhenUsed/>
    <w:qFormat/>
    <w:rsid w:val="003449CB"/>
    <w:pPr>
      <w:keepNext/>
      <w:keepLines/>
      <w:spacing w:before="40" w:after="0"/>
      <w:outlineLvl w:val="2"/>
    </w:pPr>
    <w:rPr>
      <w:rFonts w:eastAsiaTheme="majorEastAsia" w:cstheme="majorBidi"/>
      <w:b/>
      <w:szCs w:val="24"/>
      <w14:ligatures w14:val="standardContextual"/>
    </w:rPr>
  </w:style>
  <w:style w:type="paragraph" w:styleId="Heading4">
    <w:name w:val="heading 4"/>
    <w:basedOn w:val="Normal"/>
    <w:next w:val="Normal"/>
    <w:link w:val="Heading4Char"/>
    <w:uiPriority w:val="9"/>
    <w:semiHidden/>
    <w:unhideWhenUsed/>
    <w:qFormat/>
    <w:rsid w:val="009115D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115D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115D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115D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115D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115D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4D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BA14D6"/>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3449CB"/>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9115DB"/>
    <w:rPr>
      <w:rFonts w:eastAsiaTheme="majorEastAsia" w:cstheme="majorBidi"/>
      <w:i/>
      <w:iCs/>
      <w:noProof/>
      <w:color w:val="2F5496" w:themeColor="accent1" w:themeShade="BF"/>
      <w:sz w:val="24"/>
      <w14:ligatures w14:val="none"/>
    </w:rPr>
  </w:style>
  <w:style w:type="character" w:customStyle="1" w:styleId="Heading5Char">
    <w:name w:val="Heading 5 Char"/>
    <w:basedOn w:val="DefaultParagraphFont"/>
    <w:link w:val="Heading5"/>
    <w:uiPriority w:val="9"/>
    <w:semiHidden/>
    <w:rsid w:val="009115DB"/>
    <w:rPr>
      <w:rFonts w:eastAsiaTheme="majorEastAsia" w:cstheme="majorBidi"/>
      <w:noProof/>
      <w:color w:val="2F5496" w:themeColor="accent1" w:themeShade="BF"/>
      <w:sz w:val="24"/>
      <w14:ligatures w14:val="none"/>
    </w:rPr>
  </w:style>
  <w:style w:type="character" w:customStyle="1" w:styleId="Heading6Char">
    <w:name w:val="Heading 6 Char"/>
    <w:basedOn w:val="DefaultParagraphFont"/>
    <w:link w:val="Heading6"/>
    <w:uiPriority w:val="9"/>
    <w:semiHidden/>
    <w:rsid w:val="009115DB"/>
    <w:rPr>
      <w:rFonts w:eastAsiaTheme="majorEastAsia" w:cstheme="majorBidi"/>
      <w:i/>
      <w:iCs/>
      <w:noProof/>
      <w:color w:val="595959" w:themeColor="text1" w:themeTint="A6"/>
      <w:sz w:val="24"/>
      <w14:ligatures w14:val="none"/>
    </w:rPr>
  </w:style>
  <w:style w:type="character" w:customStyle="1" w:styleId="Heading7Char">
    <w:name w:val="Heading 7 Char"/>
    <w:basedOn w:val="DefaultParagraphFont"/>
    <w:link w:val="Heading7"/>
    <w:uiPriority w:val="9"/>
    <w:semiHidden/>
    <w:rsid w:val="009115DB"/>
    <w:rPr>
      <w:rFonts w:eastAsiaTheme="majorEastAsia" w:cstheme="majorBidi"/>
      <w:noProof/>
      <w:color w:val="595959" w:themeColor="text1" w:themeTint="A6"/>
      <w:sz w:val="24"/>
      <w14:ligatures w14:val="none"/>
    </w:rPr>
  </w:style>
  <w:style w:type="character" w:customStyle="1" w:styleId="Heading8Char">
    <w:name w:val="Heading 8 Char"/>
    <w:basedOn w:val="DefaultParagraphFont"/>
    <w:link w:val="Heading8"/>
    <w:uiPriority w:val="9"/>
    <w:semiHidden/>
    <w:rsid w:val="009115DB"/>
    <w:rPr>
      <w:rFonts w:eastAsiaTheme="majorEastAsia" w:cstheme="majorBidi"/>
      <w:i/>
      <w:iCs/>
      <w:noProof/>
      <w:color w:val="272727" w:themeColor="text1" w:themeTint="D8"/>
      <w:sz w:val="24"/>
      <w14:ligatures w14:val="none"/>
    </w:rPr>
  </w:style>
  <w:style w:type="character" w:customStyle="1" w:styleId="Heading9Char">
    <w:name w:val="Heading 9 Char"/>
    <w:basedOn w:val="DefaultParagraphFont"/>
    <w:link w:val="Heading9"/>
    <w:uiPriority w:val="9"/>
    <w:semiHidden/>
    <w:rsid w:val="009115DB"/>
    <w:rPr>
      <w:rFonts w:eastAsiaTheme="majorEastAsia" w:cstheme="majorBidi"/>
      <w:noProof/>
      <w:color w:val="272727" w:themeColor="text1" w:themeTint="D8"/>
      <w:sz w:val="24"/>
      <w14:ligatures w14:val="none"/>
    </w:rPr>
  </w:style>
  <w:style w:type="paragraph" w:styleId="Title">
    <w:name w:val="Title"/>
    <w:basedOn w:val="Normal"/>
    <w:next w:val="Normal"/>
    <w:link w:val="TitleChar"/>
    <w:uiPriority w:val="10"/>
    <w:qFormat/>
    <w:rsid w:val="009115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5DB"/>
    <w:rPr>
      <w:rFonts w:asciiTheme="majorHAnsi" w:eastAsiaTheme="majorEastAsia" w:hAnsiTheme="majorHAnsi" w:cstheme="majorBidi"/>
      <w:noProof/>
      <w:spacing w:val="-10"/>
      <w:kern w:val="28"/>
      <w:sz w:val="56"/>
      <w:szCs w:val="56"/>
      <w14:ligatures w14:val="none"/>
    </w:rPr>
  </w:style>
  <w:style w:type="paragraph" w:styleId="Subtitle">
    <w:name w:val="Subtitle"/>
    <w:basedOn w:val="Normal"/>
    <w:next w:val="Normal"/>
    <w:link w:val="SubtitleChar"/>
    <w:uiPriority w:val="11"/>
    <w:qFormat/>
    <w:rsid w:val="009115D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5DB"/>
    <w:rPr>
      <w:rFonts w:eastAsiaTheme="majorEastAsia" w:cstheme="majorBidi"/>
      <w:noProof/>
      <w:color w:val="595959" w:themeColor="text1" w:themeTint="A6"/>
      <w:spacing w:val="15"/>
      <w:sz w:val="28"/>
      <w:szCs w:val="28"/>
      <w14:ligatures w14:val="none"/>
    </w:rPr>
  </w:style>
  <w:style w:type="paragraph" w:styleId="Quote">
    <w:name w:val="Quote"/>
    <w:basedOn w:val="Normal"/>
    <w:next w:val="Normal"/>
    <w:link w:val="QuoteChar"/>
    <w:uiPriority w:val="29"/>
    <w:qFormat/>
    <w:rsid w:val="009115D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115DB"/>
    <w:rPr>
      <w:rFonts w:ascii="Times New Roman" w:hAnsi="Times New Roman"/>
      <w:i/>
      <w:iCs/>
      <w:noProof/>
      <w:color w:val="404040" w:themeColor="text1" w:themeTint="BF"/>
      <w:sz w:val="24"/>
      <w14:ligatures w14:val="none"/>
    </w:rPr>
  </w:style>
  <w:style w:type="paragraph" w:styleId="ListParagraph">
    <w:name w:val="List Paragraph"/>
    <w:basedOn w:val="Normal"/>
    <w:uiPriority w:val="34"/>
    <w:qFormat/>
    <w:rsid w:val="009115DB"/>
    <w:pPr>
      <w:ind w:left="720"/>
      <w:contextualSpacing/>
    </w:pPr>
  </w:style>
  <w:style w:type="character" w:styleId="IntenseEmphasis">
    <w:name w:val="Intense Emphasis"/>
    <w:basedOn w:val="DefaultParagraphFont"/>
    <w:uiPriority w:val="21"/>
    <w:qFormat/>
    <w:rsid w:val="009115DB"/>
    <w:rPr>
      <w:i/>
      <w:iCs/>
      <w:color w:val="2F5496" w:themeColor="accent1" w:themeShade="BF"/>
    </w:rPr>
  </w:style>
  <w:style w:type="paragraph" w:styleId="IntenseQuote">
    <w:name w:val="Intense Quote"/>
    <w:basedOn w:val="Normal"/>
    <w:next w:val="Normal"/>
    <w:link w:val="IntenseQuoteChar"/>
    <w:uiPriority w:val="30"/>
    <w:qFormat/>
    <w:rsid w:val="009115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15DB"/>
    <w:rPr>
      <w:rFonts w:ascii="Times New Roman" w:hAnsi="Times New Roman"/>
      <w:i/>
      <w:iCs/>
      <w:noProof/>
      <w:color w:val="2F5496" w:themeColor="accent1" w:themeShade="BF"/>
      <w:sz w:val="24"/>
      <w14:ligatures w14:val="none"/>
    </w:rPr>
  </w:style>
  <w:style w:type="character" w:styleId="IntenseReference">
    <w:name w:val="Intense Reference"/>
    <w:basedOn w:val="DefaultParagraphFont"/>
    <w:uiPriority w:val="32"/>
    <w:qFormat/>
    <w:rsid w:val="009115DB"/>
    <w:rPr>
      <w:b/>
      <w:bCs/>
      <w:smallCaps/>
      <w:color w:val="2F5496" w:themeColor="accent1" w:themeShade="BF"/>
      <w:spacing w:val="5"/>
    </w:rPr>
  </w:style>
  <w:style w:type="paragraph" w:styleId="NormalWeb">
    <w:name w:val="Normal (Web)"/>
    <w:basedOn w:val="Normal"/>
    <w:uiPriority w:val="99"/>
    <w:semiHidden/>
    <w:unhideWhenUsed/>
    <w:rsid w:val="00940E1E"/>
    <w:rPr>
      <w:rFonts w:cs="Times New Roman"/>
      <w:szCs w:val="24"/>
    </w:rPr>
  </w:style>
  <w:style w:type="character" w:styleId="Hyperlink">
    <w:name w:val="Hyperlink"/>
    <w:basedOn w:val="DefaultParagraphFont"/>
    <w:uiPriority w:val="99"/>
    <w:unhideWhenUsed/>
    <w:rsid w:val="00940E1E"/>
    <w:rPr>
      <w:color w:val="0563C1" w:themeColor="hyperlink"/>
      <w:u w:val="single"/>
    </w:rPr>
  </w:style>
  <w:style w:type="character" w:customStyle="1" w:styleId="UnresolvedMention">
    <w:name w:val="Unresolved Mention"/>
    <w:basedOn w:val="DefaultParagraphFont"/>
    <w:uiPriority w:val="99"/>
    <w:semiHidden/>
    <w:unhideWhenUsed/>
    <w:rsid w:val="00940E1E"/>
    <w:rPr>
      <w:color w:val="605E5C"/>
      <w:shd w:val="clear" w:color="auto" w:fill="E1DFDD"/>
    </w:rPr>
  </w:style>
  <w:style w:type="paragraph" w:styleId="BodyText">
    <w:name w:val="Body Text"/>
    <w:basedOn w:val="Normal"/>
    <w:link w:val="BodyTextChar"/>
    <w:uiPriority w:val="1"/>
    <w:qFormat/>
    <w:rsid w:val="00F82502"/>
    <w:pPr>
      <w:widowControl w:val="0"/>
      <w:autoSpaceDE w:val="0"/>
      <w:autoSpaceDN w:val="0"/>
      <w:spacing w:after="0" w:line="240" w:lineRule="auto"/>
      <w:jc w:val="left"/>
    </w:pPr>
    <w:rPr>
      <w:rFonts w:ascii="Arial MT" w:eastAsia="Arial MT" w:hAnsi="Arial MT" w:cs="Arial MT"/>
      <w:noProof w:val="0"/>
      <w:sz w:val="22"/>
      <w:lang w:val="en-US"/>
    </w:rPr>
  </w:style>
  <w:style w:type="character" w:customStyle="1" w:styleId="BodyTextChar">
    <w:name w:val="Body Text Char"/>
    <w:basedOn w:val="DefaultParagraphFont"/>
    <w:link w:val="BodyText"/>
    <w:uiPriority w:val="1"/>
    <w:rsid w:val="00F82502"/>
    <w:rPr>
      <w:rFonts w:ascii="Arial MT" w:eastAsia="Arial MT" w:hAnsi="Arial MT" w:cs="Arial MT"/>
      <w:lang w:val="en-US"/>
      <w14:ligatures w14:val="none"/>
    </w:rPr>
  </w:style>
  <w:style w:type="paragraph" w:customStyle="1" w:styleId="TableParagraph">
    <w:name w:val="Table Paragraph"/>
    <w:basedOn w:val="Normal"/>
    <w:uiPriority w:val="1"/>
    <w:qFormat/>
    <w:rsid w:val="00F82502"/>
    <w:pPr>
      <w:widowControl w:val="0"/>
      <w:autoSpaceDE w:val="0"/>
      <w:autoSpaceDN w:val="0"/>
      <w:spacing w:after="0" w:line="240" w:lineRule="auto"/>
      <w:ind w:left="107"/>
      <w:jc w:val="left"/>
    </w:pPr>
    <w:rPr>
      <w:rFonts w:ascii="Arial MT" w:eastAsia="Arial MT" w:hAnsi="Arial MT" w:cs="Arial MT"/>
      <w:noProof w:val="0"/>
      <w:sz w:val="22"/>
      <w:lang w:val="en-US"/>
    </w:rPr>
  </w:style>
  <w:style w:type="paragraph" w:styleId="Header">
    <w:name w:val="header"/>
    <w:basedOn w:val="Normal"/>
    <w:link w:val="HeaderChar"/>
    <w:uiPriority w:val="99"/>
    <w:unhideWhenUsed/>
    <w:rsid w:val="00E96F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6FCF"/>
    <w:rPr>
      <w:rFonts w:ascii="Times New Roman" w:hAnsi="Times New Roman"/>
      <w:noProof/>
      <w:sz w:val="24"/>
      <w14:ligatures w14:val="none"/>
    </w:rPr>
  </w:style>
  <w:style w:type="paragraph" w:styleId="Footer">
    <w:name w:val="footer"/>
    <w:basedOn w:val="Normal"/>
    <w:link w:val="FooterChar"/>
    <w:uiPriority w:val="99"/>
    <w:unhideWhenUsed/>
    <w:rsid w:val="00E96F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FCF"/>
    <w:rPr>
      <w:rFonts w:ascii="Times New Roman" w:hAnsi="Times New Roman"/>
      <w:noProof/>
      <w:sz w:val="24"/>
      <w14:ligatures w14:val="none"/>
    </w:rPr>
  </w:style>
  <w:style w:type="character" w:styleId="CommentReference">
    <w:name w:val="annotation reference"/>
    <w:basedOn w:val="DefaultParagraphFont"/>
    <w:uiPriority w:val="99"/>
    <w:semiHidden/>
    <w:unhideWhenUsed/>
    <w:rsid w:val="00AC28E2"/>
    <w:rPr>
      <w:sz w:val="16"/>
      <w:szCs w:val="16"/>
    </w:rPr>
  </w:style>
  <w:style w:type="paragraph" w:styleId="CommentText">
    <w:name w:val="annotation text"/>
    <w:basedOn w:val="Normal"/>
    <w:link w:val="CommentTextChar"/>
    <w:uiPriority w:val="99"/>
    <w:semiHidden/>
    <w:unhideWhenUsed/>
    <w:rsid w:val="00AC28E2"/>
    <w:pPr>
      <w:spacing w:line="240" w:lineRule="auto"/>
    </w:pPr>
    <w:rPr>
      <w:sz w:val="20"/>
      <w:szCs w:val="20"/>
    </w:rPr>
  </w:style>
  <w:style w:type="character" w:customStyle="1" w:styleId="CommentTextChar">
    <w:name w:val="Comment Text Char"/>
    <w:basedOn w:val="DefaultParagraphFont"/>
    <w:link w:val="CommentText"/>
    <w:uiPriority w:val="99"/>
    <w:semiHidden/>
    <w:rsid w:val="00AC28E2"/>
    <w:rPr>
      <w:rFonts w:ascii="Times New Roman" w:hAnsi="Times New Roman"/>
      <w:noProof/>
      <w:sz w:val="20"/>
      <w:szCs w:val="20"/>
      <w14:ligatures w14:val="none"/>
    </w:rPr>
  </w:style>
  <w:style w:type="paragraph" w:styleId="CommentSubject">
    <w:name w:val="annotation subject"/>
    <w:basedOn w:val="CommentText"/>
    <w:next w:val="CommentText"/>
    <w:link w:val="CommentSubjectChar"/>
    <w:uiPriority w:val="99"/>
    <w:semiHidden/>
    <w:unhideWhenUsed/>
    <w:rsid w:val="00AC28E2"/>
    <w:rPr>
      <w:b/>
      <w:bCs/>
    </w:rPr>
  </w:style>
  <w:style w:type="character" w:customStyle="1" w:styleId="CommentSubjectChar">
    <w:name w:val="Comment Subject Char"/>
    <w:basedOn w:val="CommentTextChar"/>
    <w:link w:val="CommentSubject"/>
    <w:uiPriority w:val="99"/>
    <w:semiHidden/>
    <w:rsid w:val="00AC28E2"/>
    <w:rPr>
      <w:rFonts w:ascii="Times New Roman" w:hAnsi="Times New Roman"/>
      <w:b/>
      <w:bCs/>
      <w:noProof/>
      <w:sz w:val="20"/>
      <w:szCs w:val="20"/>
      <w14:ligatures w14:val="none"/>
    </w:rPr>
  </w:style>
  <w:style w:type="paragraph" w:styleId="TOCHeading">
    <w:name w:val="TOC Heading"/>
    <w:basedOn w:val="Heading1"/>
    <w:next w:val="Normal"/>
    <w:uiPriority w:val="39"/>
    <w:unhideWhenUsed/>
    <w:qFormat/>
    <w:rsid w:val="009677ED"/>
    <w:pPr>
      <w:spacing w:line="259" w:lineRule="auto"/>
      <w:jc w:val="left"/>
      <w:outlineLvl w:val="9"/>
    </w:pPr>
    <w:rPr>
      <w:rFonts w:asciiTheme="majorHAnsi" w:hAnsiTheme="majorHAnsi"/>
      <w:b w:val="0"/>
      <w:noProof w:val="0"/>
      <w:color w:val="2F5496" w:themeColor="accent1" w:themeShade="BF"/>
      <w:sz w:val="32"/>
      <w:lang w:val="en-US"/>
      <w14:ligatures w14:val="none"/>
    </w:rPr>
  </w:style>
  <w:style w:type="paragraph" w:styleId="TOC1">
    <w:name w:val="toc 1"/>
    <w:basedOn w:val="Normal"/>
    <w:next w:val="Normal"/>
    <w:autoRedefine/>
    <w:uiPriority w:val="39"/>
    <w:unhideWhenUsed/>
    <w:rsid w:val="009677ED"/>
    <w:pPr>
      <w:spacing w:after="100"/>
    </w:pPr>
  </w:style>
  <w:style w:type="paragraph" w:styleId="TOC2">
    <w:name w:val="toc 2"/>
    <w:basedOn w:val="Normal"/>
    <w:next w:val="Normal"/>
    <w:autoRedefine/>
    <w:uiPriority w:val="39"/>
    <w:unhideWhenUsed/>
    <w:rsid w:val="009677ED"/>
    <w:pPr>
      <w:spacing w:after="100"/>
      <w:ind w:left="240"/>
    </w:pPr>
  </w:style>
  <w:style w:type="character" w:styleId="BookTitle">
    <w:name w:val="Book Title"/>
    <w:basedOn w:val="DefaultParagraphFont"/>
    <w:uiPriority w:val="33"/>
    <w:qFormat/>
    <w:rsid w:val="009677ED"/>
    <w:rPr>
      <w:b/>
      <w:bCs/>
      <w:i/>
      <w:iCs/>
      <w:spacing w:val="5"/>
    </w:rPr>
  </w:style>
  <w:style w:type="paragraph" w:styleId="BalloonText">
    <w:name w:val="Balloon Text"/>
    <w:basedOn w:val="Normal"/>
    <w:link w:val="BalloonTextChar"/>
    <w:uiPriority w:val="99"/>
    <w:semiHidden/>
    <w:unhideWhenUsed/>
    <w:rsid w:val="005414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1467"/>
    <w:rPr>
      <w:rFonts w:ascii="Tahoma" w:hAnsi="Tahoma" w:cs="Tahoma"/>
      <w:noProof/>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hcw.nhs.wales/about-us/board-committee-and-advisory-boards/local-partnership-forum/" TargetMode="External"/><Relationship Id="rId18" Type="http://schemas.openxmlformats.org/officeDocument/2006/relationships/hyperlink" Target="https://www.johnlewispartnership.co.uk/our-company/partnership-model" TargetMode="External"/><Relationship Id="rId3" Type="http://schemas.microsoft.com/office/2007/relationships/stylesWithEffects" Target="stylesWithEffects.xml"/><Relationship Id="rId21" Type="http://schemas.openxmlformats.org/officeDocument/2006/relationships/hyperlink" Target="https://www.waitrose.com/ecom/content/sustainability/responsible-sourcing/waitrose-foundation?srsltid=AfmBOoparlH6V3G2BDtFafJzB37dqGDZSbqH3x7ePLSzfZmY6KMw2EmW" TargetMode="External"/><Relationship Id="rId7" Type="http://schemas.openxmlformats.org/officeDocument/2006/relationships/endnotes" Target="endnotes.xml"/><Relationship Id="rId12" Type="http://schemas.openxmlformats.org/officeDocument/2006/relationships/hyperlink" Target="https://www.cipd.org/en/knowledge/factsheets/recruitment-brand-factsheet/" TargetMode="External"/><Relationship Id="rId17" Type="http://schemas.openxmlformats.org/officeDocument/2006/relationships/hyperlink" Target="https://www.johnlewispartnership.co.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johnlewispartnership.co.uk/media-centre/latest-news/2024/20676" TargetMode="External"/><Relationship Id="rId20" Type="http://schemas.openxmlformats.org/officeDocument/2006/relationships/hyperlink" Target="https://scholarlypublications.universiteitleiden.nl/access/item%3A3721934/downloa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en/topics/organisational-cultur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johnlewispartnership.co.uk/ethics-sustainability/sustainability-reporting" TargetMode="External"/><Relationship Id="rId23" Type="http://schemas.openxmlformats.org/officeDocument/2006/relationships/footer" Target="footer1.xml"/><Relationship Id="rId10" Type="http://schemas.openxmlformats.org/officeDocument/2006/relationships/hyperlink" Target="https://www.researchgate.net/publication/349506325_Critical_examination_of_the_PESTEL_Analysis_Model" TargetMode="External"/><Relationship Id="rId19" Type="http://schemas.openxmlformats.org/officeDocument/2006/relationships/hyperlink" Target="https://www.hull.ac.uk/research/institutes/wilberforce-institute" TargetMode="External"/><Relationship Id="rId4" Type="http://schemas.openxmlformats.org/officeDocument/2006/relationships/settings" Target="settings.xml"/><Relationship Id="rId9" Type="http://schemas.openxmlformats.org/officeDocument/2006/relationships/hyperlink" Target="https://commonslibrary.parliament.uk/research-briefings/cbp-9785/" TargetMode="External"/><Relationship Id="rId14" Type="http://schemas.openxmlformats.org/officeDocument/2006/relationships/hyperlink" Target="https://www.iads.org/iads-member-news/john-lewis-chair-we-want-to-help-staff-every-month-rather-than-once-a-year-f15c0" TargetMode="External"/><Relationship Id="rId22" Type="http://schemas.openxmlformats.org/officeDocument/2006/relationships/hyperlink" Target="https://www.waitrose.com/ecom/content/sustainability/responsible-sourcing/waitrose-foundation?srsltid=AfmBOopLpMzKA7cHP0Mc93gbK-q6bQhv4QeENNk_Yc3wweGS1yHEys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13094BF-4E3C-452E-8F67-36646C6E0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3361</Words>
  <Characters>19494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MT_Prod-05</dc:creator>
  <cp:keywords/>
  <dc:description/>
  <cp:lastModifiedBy>Paul</cp:lastModifiedBy>
  <cp:revision>3</cp:revision>
  <dcterms:created xsi:type="dcterms:W3CDTF">2026-08-18T11:44:00Z</dcterms:created>
  <dcterms:modified xsi:type="dcterms:W3CDTF">2026-08-18T20:38:00Z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ec64b36c-bb4a-4431-8fd5-0588df6bd59e</vt:lpwstr>
  </property>
</Properties>
</file>