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34A8F03" w14:textId="77777777" w:rsidR="00C2461E" w:rsidRDefault="00C2461E">
      <w:pPr>
        <w:jc w:val="center"/>
        <w:rPr>
          <w:b/>
          <w:bCs/>
          <w:i/>
          <w:iCs/>
          <w:sz w:val="96"/>
          <w:szCs w:val="96"/>
        </w:rPr>
      </w:pPr>
      <w:bookmarkStart w:id="0" w:name="_GoBack"/>
      <w:bookmarkEnd w:id="0"/>
    </w:p>
    <w:p w14:paraId="7E5D3A15" w14:textId="77777777" w:rsidR="00C2461E" w:rsidRPr="00877C32" w:rsidRDefault="00C2461E">
      <w:pPr>
        <w:jc w:val="center"/>
        <w:rPr>
          <w:sz w:val="96"/>
          <w:szCs w:val="96"/>
        </w:rPr>
      </w:pPr>
    </w:p>
    <w:p w14:paraId="598A2938" w14:textId="26FC31B5" w:rsidR="00C2461E" w:rsidRDefault="004D7A01">
      <w:pPr>
        <w:jc w:val="center"/>
        <w:rPr>
          <w:rFonts w:ascii="Arial" w:hAnsi="Arial" w:cs="Arial"/>
          <w:b/>
          <w:bCs/>
          <w:sz w:val="52"/>
          <w:szCs w:val="52"/>
        </w:rPr>
      </w:pPr>
      <w:r w:rsidRPr="0041331C">
        <w:rPr>
          <w:rFonts w:ascii="Arial" w:hAnsi="Arial" w:cs="Arial"/>
          <w:b/>
          <w:bCs/>
          <w:sz w:val="52"/>
          <w:szCs w:val="52"/>
        </w:rPr>
        <w:t>Academic and Employability Skills</w:t>
      </w:r>
    </w:p>
    <w:p w14:paraId="340BB908" w14:textId="77777777" w:rsidR="0041331C" w:rsidRPr="0041331C" w:rsidRDefault="0041331C">
      <w:pPr>
        <w:jc w:val="center"/>
        <w:rPr>
          <w:rFonts w:ascii="Arial" w:hAnsi="Arial" w:cs="Arial"/>
          <w:b/>
          <w:bCs/>
          <w:sz w:val="52"/>
          <w:szCs w:val="52"/>
        </w:rPr>
      </w:pPr>
    </w:p>
    <w:p w14:paraId="245C3145" w14:textId="77777777" w:rsidR="00C2461E" w:rsidRPr="0041331C" w:rsidRDefault="00E515C1">
      <w:pPr>
        <w:jc w:val="center"/>
        <w:rPr>
          <w:rFonts w:ascii="Arial" w:hAnsi="Arial" w:cs="Arial"/>
          <w:b/>
          <w:bCs/>
          <w:sz w:val="52"/>
          <w:szCs w:val="52"/>
        </w:rPr>
      </w:pPr>
      <w:r w:rsidRPr="0041331C">
        <w:rPr>
          <w:rFonts w:ascii="Arial" w:hAnsi="Arial" w:cs="Arial"/>
          <w:b/>
          <w:bCs/>
          <w:sz w:val="52"/>
          <w:szCs w:val="52"/>
        </w:rPr>
        <w:t xml:space="preserve">Reflective </w:t>
      </w:r>
    </w:p>
    <w:p w14:paraId="7FDAFB6E" w14:textId="40C63E4D" w:rsidR="00C2461E" w:rsidRDefault="00E515C1">
      <w:pPr>
        <w:jc w:val="center"/>
        <w:rPr>
          <w:rFonts w:ascii="Arial" w:hAnsi="Arial" w:cs="Arial"/>
          <w:b/>
          <w:bCs/>
          <w:sz w:val="52"/>
          <w:szCs w:val="52"/>
        </w:rPr>
      </w:pPr>
      <w:r w:rsidRPr="0041331C">
        <w:rPr>
          <w:rFonts w:ascii="Arial" w:hAnsi="Arial" w:cs="Arial"/>
          <w:b/>
          <w:bCs/>
          <w:sz w:val="52"/>
          <w:szCs w:val="52"/>
        </w:rPr>
        <w:t>Report</w:t>
      </w:r>
    </w:p>
    <w:p w14:paraId="1050D403" w14:textId="77777777" w:rsidR="0041331C" w:rsidRPr="0041331C" w:rsidRDefault="0041331C">
      <w:pPr>
        <w:jc w:val="center"/>
        <w:rPr>
          <w:rFonts w:ascii="Arial" w:hAnsi="Arial" w:cs="Arial"/>
          <w:b/>
          <w:bCs/>
          <w:sz w:val="52"/>
          <w:szCs w:val="52"/>
        </w:rPr>
      </w:pPr>
    </w:p>
    <w:p w14:paraId="0EECA339" w14:textId="2AB3F8F4" w:rsidR="00C2461E" w:rsidRPr="00236ABC" w:rsidRDefault="004D7A01">
      <w:pPr>
        <w:jc w:val="center"/>
        <w:rPr>
          <w:rFonts w:ascii="Arial" w:hAnsi="Arial" w:cs="Arial"/>
          <w:sz w:val="40"/>
          <w:szCs w:val="40"/>
        </w:rPr>
      </w:pPr>
      <w:r w:rsidRPr="00236ABC">
        <w:rPr>
          <w:rFonts w:ascii="Arial" w:hAnsi="Arial" w:cs="Arial"/>
          <w:sz w:val="40"/>
          <w:szCs w:val="40"/>
        </w:rPr>
        <w:t xml:space="preserve">CLASS: </w:t>
      </w:r>
      <w:r w:rsidR="007C71E2" w:rsidRPr="00236ABC">
        <w:rPr>
          <w:rFonts w:ascii="Arial" w:hAnsi="Arial" w:cs="Arial"/>
          <w:sz w:val="40"/>
          <w:szCs w:val="40"/>
        </w:rPr>
        <w:t>BMSW4001</w:t>
      </w:r>
    </w:p>
    <w:p w14:paraId="273E89B7" w14:textId="07E227DF" w:rsidR="0028024D" w:rsidRDefault="004D7A01">
      <w:pPr>
        <w:jc w:val="center"/>
        <w:rPr>
          <w:rFonts w:ascii="Arial" w:hAnsi="Arial" w:cs="Arial"/>
          <w:sz w:val="40"/>
          <w:szCs w:val="40"/>
        </w:rPr>
      </w:pPr>
      <w:r w:rsidRPr="00236ABC">
        <w:rPr>
          <w:rFonts w:ascii="Arial" w:hAnsi="Arial" w:cs="Arial"/>
          <w:sz w:val="40"/>
          <w:szCs w:val="40"/>
        </w:rPr>
        <w:t xml:space="preserve">STUDENT NAME: </w:t>
      </w:r>
      <w:r w:rsidR="00236ABC" w:rsidRPr="00236ABC">
        <w:rPr>
          <w:rFonts w:ascii="Arial" w:hAnsi="Arial" w:cs="Arial"/>
          <w:sz w:val="40"/>
          <w:szCs w:val="40"/>
        </w:rPr>
        <w:t>Marinela Camelia Craciunel</w:t>
      </w:r>
    </w:p>
    <w:p w14:paraId="0A205302" w14:textId="03FC6C60" w:rsidR="0041331C" w:rsidRPr="00236ABC" w:rsidRDefault="0041331C">
      <w:pPr>
        <w:jc w:val="center"/>
        <w:rPr>
          <w:rFonts w:ascii="Arial" w:hAnsi="Arial" w:cs="Arial"/>
          <w:sz w:val="40"/>
          <w:szCs w:val="40"/>
        </w:rPr>
      </w:pPr>
      <w:r>
        <w:rPr>
          <w:rFonts w:ascii="Arial" w:hAnsi="Arial" w:cs="Arial"/>
          <w:sz w:val="40"/>
          <w:szCs w:val="40"/>
        </w:rPr>
        <w:t>S</w:t>
      </w:r>
      <w:r w:rsidR="003135AB">
        <w:rPr>
          <w:rFonts w:ascii="Arial" w:hAnsi="Arial" w:cs="Arial"/>
          <w:sz w:val="40"/>
          <w:szCs w:val="40"/>
        </w:rPr>
        <w:t>tudent ID: 1818825</w:t>
      </w:r>
    </w:p>
    <w:p w14:paraId="2535FA50" w14:textId="003C5E07" w:rsidR="00DD1E70" w:rsidRPr="00236ABC" w:rsidRDefault="00DD1E70">
      <w:pPr>
        <w:jc w:val="center"/>
        <w:rPr>
          <w:rFonts w:ascii="Arial" w:hAnsi="Arial" w:cs="Arial"/>
          <w:sz w:val="40"/>
          <w:szCs w:val="40"/>
        </w:rPr>
      </w:pPr>
      <w:r w:rsidRPr="00236ABC">
        <w:rPr>
          <w:rFonts w:ascii="Arial" w:hAnsi="Arial" w:cs="Arial"/>
          <w:sz w:val="40"/>
          <w:szCs w:val="40"/>
        </w:rPr>
        <w:t>Lecturer</w:t>
      </w:r>
      <w:r w:rsidR="00236ABC" w:rsidRPr="00236ABC">
        <w:rPr>
          <w:rFonts w:ascii="Arial" w:hAnsi="Arial" w:cs="Arial"/>
          <w:sz w:val="40"/>
          <w:szCs w:val="40"/>
        </w:rPr>
        <w:t>:</w:t>
      </w:r>
      <w:r w:rsidRPr="00236ABC">
        <w:rPr>
          <w:rFonts w:ascii="Arial" w:hAnsi="Arial" w:cs="Arial"/>
          <w:sz w:val="40"/>
          <w:szCs w:val="40"/>
        </w:rPr>
        <w:t xml:space="preserve"> Silvia Hoffman</w:t>
      </w:r>
    </w:p>
    <w:p w14:paraId="22D097D2" w14:textId="2F170EA1" w:rsidR="009D04BB" w:rsidRPr="00236ABC" w:rsidRDefault="009D04BB" w:rsidP="007F1960">
      <w:pPr>
        <w:rPr>
          <w:rFonts w:ascii="Arial" w:hAnsi="Arial" w:cs="Arial"/>
          <w:sz w:val="40"/>
          <w:szCs w:val="40"/>
        </w:rPr>
      </w:pPr>
    </w:p>
    <w:p w14:paraId="375D1514" w14:textId="77777777" w:rsidR="00C2461E" w:rsidRPr="0005798D" w:rsidRDefault="00C2461E">
      <w:pPr>
        <w:jc w:val="center"/>
        <w:rPr>
          <w:b/>
          <w:bCs/>
          <w:sz w:val="88"/>
          <w:szCs w:val="88"/>
        </w:rPr>
      </w:pPr>
    </w:p>
    <w:p w14:paraId="08FE662D" w14:textId="77777777" w:rsidR="00C2461E" w:rsidRDefault="00C2461E">
      <w:pPr>
        <w:jc w:val="center"/>
        <w:rPr>
          <w:b/>
          <w:bCs/>
          <w:i/>
          <w:iCs/>
          <w:sz w:val="88"/>
          <w:szCs w:val="88"/>
        </w:rPr>
      </w:pPr>
    </w:p>
    <w:p w14:paraId="22A291E2" w14:textId="77777777" w:rsidR="00C2461E" w:rsidRDefault="00E515C1">
      <w:pPr>
        <w:pStyle w:val="ContentsHeading"/>
      </w:pPr>
      <w:r>
        <w:t>Table of Contents</w:t>
      </w:r>
    </w:p>
    <w:p w14:paraId="51C35428" w14:textId="77777777" w:rsidR="00ED4D98" w:rsidRDefault="00ED4D98">
      <w:pPr>
        <w:pStyle w:val="ContentsHeading"/>
      </w:pPr>
    </w:p>
    <w:p w14:paraId="4D806031" w14:textId="77777777" w:rsidR="00C2461E" w:rsidRDefault="00E515C1">
      <w:pPr>
        <w:pStyle w:val="TOC1"/>
      </w:pPr>
      <w:r>
        <w:fldChar w:fldCharType="begin"/>
      </w:r>
      <w:r>
        <w:instrText xml:space="preserve"> TOC \f \o "1-9" \o "1-9" </w:instrText>
      </w:r>
      <w:r>
        <w:fldChar w:fldCharType="separate"/>
      </w:r>
      <w:r>
        <w:t xml:space="preserve">INTRODUCTION </w:t>
      </w:r>
      <w:r>
        <w:tab/>
      </w:r>
      <w:hyperlink w:anchor="__RefHeading__221_1126410955" w:history="1">
        <w:r>
          <w:rPr>
            <w:rStyle w:val="IndexLink"/>
          </w:rPr>
          <w:t>1</w:t>
        </w:r>
      </w:hyperlink>
    </w:p>
    <w:p w14:paraId="50F71396" w14:textId="77777777" w:rsidR="00C2461E" w:rsidRDefault="00E515C1">
      <w:pPr>
        <w:pStyle w:val="TOC1"/>
      </w:pPr>
      <w:r>
        <w:t xml:space="preserve">MAIN BODY </w:t>
      </w:r>
      <w:r>
        <w:tab/>
      </w:r>
      <w:hyperlink w:anchor="__RefHeading__223_1126410955" w:history="1">
        <w:r>
          <w:rPr>
            <w:rStyle w:val="IndexLink"/>
          </w:rPr>
          <w:t>1</w:t>
        </w:r>
      </w:hyperlink>
    </w:p>
    <w:p w14:paraId="31B74EE4" w14:textId="77777777" w:rsidR="00C2461E" w:rsidRDefault="00E515C1">
      <w:pPr>
        <w:pStyle w:val="TOC1"/>
      </w:pPr>
      <w:r>
        <w:t xml:space="preserve">CONCLUSION </w:t>
      </w:r>
      <w:r>
        <w:tab/>
      </w:r>
      <w:hyperlink w:anchor="__RefHeading__225_1126410955" w:history="1">
        <w:r>
          <w:rPr>
            <w:rStyle w:val="IndexLink"/>
          </w:rPr>
          <w:t>5</w:t>
        </w:r>
      </w:hyperlink>
    </w:p>
    <w:p w14:paraId="605A3BCC" w14:textId="77777777" w:rsidR="00C2461E" w:rsidRDefault="00E515C1">
      <w:pPr>
        <w:pStyle w:val="TOC1"/>
      </w:pPr>
      <w:r>
        <w:t>REFRENCES</w:t>
      </w:r>
      <w:r>
        <w:tab/>
      </w:r>
      <w:hyperlink w:anchor="__RefHeading__227_1126410955" w:history="1">
        <w:r>
          <w:rPr>
            <w:rStyle w:val="IndexLink"/>
          </w:rPr>
          <w:t>6</w:t>
        </w:r>
      </w:hyperlink>
    </w:p>
    <w:p w14:paraId="00B4D914" w14:textId="77777777" w:rsidR="00C2461E" w:rsidRDefault="00E515C1" w:rsidP="00ED4D98">
      <w:pPr>
        <w:jc w:val="left"/>
      </w:pPr>
      <w:r>
        <w:fldChar w:fldCharType="end"/>
      </w:r>
      <w:r w:rsidR="003D6809">
        <w:t>APENDIX .........................................................................................................................</w:t>
      </w:r>
      <w:r w:rsidR="00623FA1">
        <w:t>7</w:t>
      </w:r>
    </w:p>
    <w:p w14:paraId="34F8912F" w14:textId="77777777" w:rsidR="00623FA1" w:rsidRDefault="00623FA1" w:rsidP="00ED4D98">
      <w:pPr>
        <w:jc w:val="left"/>
      </w:pPr>
    </w:p>
    <w:p w14:paraId="3EE68567" w14:textId="77777777" w:rsidR="003D6809" w:rsidRDefault="003D6809" w:rsidP="00ED4D98">
      <w:pPr>
        <w:jc w:val="left"/>
        <w:rPr>
          <w:b/>
          <w:bCs/>
          <w:i/>
          <w:iCs/>
          <w:sz w:val="96"/>
          <w:szCs w:val="96"/>
        </w:rPr>
      </w:pPr>
    </w:p>
    <w:p w14:paraId="2C9890C8" w14:textId="77777777" w:rsidR="00C2461E" w:rsidRDefault="00C2461E">
      <w:pPr>
        <w:jc w:val="center"/>
        <w:rPr>
          <w:b/>
          <w:bCs/>
          <w:i/>
          <w:iCs/>
          <w:sz w:val="96"/>
          <w:szCs w:val="96"/>
        </w:rPr>
      </w:pPr>
    </w:p>
    <w:p w14:paraId="73F7080B" w14:textId="77777777" w:rsidR="00C2461E" w:rsidRDefault="00C2461E">
      <w:pPr>
        <w:jc w:val="center"/>
        <w:rPr>
          <w:b/>
          <w:bCs/>
          <w:i/>
          <w:iCs/>
          <w:sz w:val="96"/>
          <w:szCs w:val="96"/>
        </w:rPr>
      </w:pPr>
    </w:p>
    <w:p w14:paraId="66FC8175" w14:textId="77777777" w:rsidR="00C2461E" w:rsidRDefault="00C2461E">
      <w:pPr>
        <w:jc w:val="center"/>
      </w:pPr>
    </w:p>
    <w:p w14:paraId="7FFF6242" w14:textId="77777777" w:rsidR="00C2461E" w:rsidRDefault="00C2461E">
      <w:pPr>
        <w:jc w:val="center"/>
      </w:pPr>
    </w:p>
    <w:p w14:paraId="03696861" w14:textId="77777777" w:rsidR="00C2461E" w:rsidRDefault="00C2461E">
      <w:pPr>
        <w:sectPr w:rsidR="00C2461E">
          <w:pgSz w:w="12240" w:h="15840"/>
          <w:pgMar w:top="1440" w:right="1440" w:bottom="1440" w:left="1440" w:header="720" w:footer="720" w:gutter="0"/>
          <w:cols w:space="720"/>
          <w:docGrid w:linePitch="600" w:charSpace="32768"/>
        </w:sectPr>
      </w:pPr>
    </w:p>
    <w:p w14:paraId="7DD60203" w14:textId="77777777" w:rsidR="00C2461E" w:rsidRDefault="00E515C1">
      <w:pPr>
        <w:pStyle w:val="Heading1"/>
        <w:pageBreakBefore/>
      </w:pPr>
      <w:bookmarkStart w:id="1" w:name="__RefHeading__221_1126410955"/>
      <w:bookmarkEnd w:id="1"/>
      <w:r>
        <w:lastRenderedPageBreak/>
        <w:t xml:space="preserve">INTRODUCTION </w:t>
      </w:r>
    </w:p>
    <w:p w14:paraId="161836D0" w14:textId="77777777" w:rsidR="00C2461E" w:rsidRDefault="00E515C1">
      <w:r>
        <w:tab/>
        <w:t>Employability skills is defined as those skills which can be transferable and that must be needed by a person in order to make them employable. In this employer having good subject knowledge and technical understanding can outline skills set that they want from their employees (</w:t>
      </w:r>
      <w:r>
        <w:rPr>
          <w:color w:val="222222"/>
          <w:szCs w:val="24"/>
          <w:shd w:val="clear" w:color="auto" w:fill="FFFFFF"/>
        </w:rPr>
        <w:t>Dennison, 2012</w:t>
      </w:r>
      <w:r>
        <w:t xml:space="preserve">). There are several types of employability skills such as teamwork, problem solving, organizing, leadership, negotiation, confidence, motivated and many more. Respective report will include reflection related to how learning model help a person in developing their employability skills by considering their in class activities feedbacks. Along with this it will also include theory related to reflection like Gibbs reflection model in order to improve understanding. </w:t>
      </w:r>
    </w:p>
    <w:p w14:paraId="39FB77A5" w14:textId="77777777" w:rsidR="00C2461E" w:rsidRDefault="00E515C1">
      <w:pPr>
        <w:pStyle w:val="Heading1"/>
      </w:pPr>
      <w:bookmarkStart w:id="2" w:name="__RefHeading__223_1126410955"/>
      <w:bookmarkEnd w:id="2"/>
      <w:r>
        <w:t xml:space="preserve">MAIN BODY </w:t>
      </w:r>
    </w:p>
    <w:p w14:paraId="7F29C39D" w14:textId="77777777" w:rsidR="00C2461E" w:rsidRDefault="00E515C1">
      <w:r>
        <w:tab/>
        <w:t>For every person who want to develop their career in corporate world it is essential to have several employability skills, it refers to skills, attributes and knowledge which are required for gaining an employment. This types of skills are beneficial for employer, employees or individual and economy because through it all get grow as well as attain their desire goal (</w:t>
      </w:r>
      <w:r>
        <w:rPr>
          <w:color w:val="222222"/>
          <w:szCs w:val="24"/>
          <w:shd w:val="clear" w:color="auto" w:fill="FFFFFF"/>
        </w:rPr>
        <w:t>Fischer-Kern and et. al., 2015</w:t>
      </w:r>
      <w:r>
        <w:t xml:space="preserve">). There are numbers of employability skills such as communication, team work, application of IT, literacy, problem solving, world awareness, numeracy, self management, organizing and many more. While I am working at Madman Event Ltd., I conduct various works as well as I also go through numbers of experiences which help me in realising that some of my skills are strong and there are also several skills in which I am lacking behind. So it is essential for me to enhance those skills because that will help me in developing my career effectively as well as that will also provide me an opportunities to develop career in best company of event management. In addition to this I also get feedback related to my skills, attitude and knowledge when I was delivering presentation in front of my seniors on different </w:t>
      </w:r>
      <w:proofErr w:type="spellStart"/>
      <w:r>
        <w:t>different</w:t>
      </w:r>
      <w:proofErr w:type="spellEnd"/>
      <w:r>
        <w:t xml:space="preserve"> topics, through this feedback I able to analyse some of my skills denotes my strengths whereas some reflect my weakness which may negatively impact on my career plans and practices. So in order to enhance or improve my skill and attitude I can adopt numbers of methods such as attain training, adopt model analysis and many more. This is so because that help in develop proper guidelines for developing skills as well as abilities. While presenting my view point on different topics I know that I have different style of presentation which reflect my diverse strength and weakness such as in delivering first topic I have effective knowledge but when I am delivering third topic I have </w:t>
      </w:r>
      <w:r>
        <w:lastRenderedPageBreak/>
        <w:t xml:space="preserve">very limited or no knowledge of topic that impact on by presentation. But in all three presentation my performance is average which is rate as 3 out of 5. </w:t>
      </w:r>
    </w:p>
    <w:p w14:paraId="0042539A" w14:textId="77777777" w:rsidR="00C2461E" w:rsidRDefault="00E515C1">
      <w:r>
        <w:tab/>
        <w:t xml:space="preserve">While I am giving presentation of first topic </w:t>
      </w:r>
      <w:r>
        <w:tab/>
        <w:t xml:space="preserve">my senior rate presentation at 3 out of 5 and they provide some overall comments i.e. I need to enhance my information about the topic so that I can deliverer more effective informative presentation. This review is based on different aspects and their rating such as my content of presentation is rate as 4 but its concise and information is rated as 3 which is average. My content and modules relevancy is rated as 4 which mean it is very good. Along with when it come my enthusiastic level of topic, maintenance of eye contact and organizing skill I am ranked with 4 which is very good but I have 3 rating in several aspects like body language, time management, developing interest in presentation and many more. In addition to this when I am delivering second presentation on different topic my some strength and weakness get changes which also affect my presentation due to that I get 3 number out of 5 which is consider as average or good. I also get some overall comments in my favour i.e. I have great knowledge of topic area, I also maintain good eye contact while presenting this topic but I am bit louder which is not appropriate for a professional presentation. </w:t>
      </w:r>
    </w:p>
    <w:p w14:paraId="0B8DEE46" w14:textId="77777777" w:rsidR="00C2461E" w:rsidRDefault="00E515C1">
      <w:r>
        <w:tab/>
        <w:t>While conducting presentation on this topic I get know that my some skill are very appropriate and in that I get 5 rating out of 5, such as I presented this topic appropriately as well as I also related every thing properly to the issues. Moreover doing presentation I also maintain proper eye contact as well as I also do presentation without any helping notes, my topic is also relevant to the topics as well as it is also relevant to the module. In addition to this there are my some skills which I need to improve such as conduct presentation more concise and informative, deliver more clear introduction related to topic and many more. These are some skills and capabilities which I need to improve related to this topics so that I can deliver one of the most effective presentation which help me in gaining high numbers. This shows that skills, attitude and knowledge of a person's presentation is depend upon its selection of the topic for example if a topic is interesting then presenter also feel enthusiastic about it which help in delivering quality presentation (</w:t>
      </w:r>
      <w:r>
        <w:rPr>
          <w:color w:val="222222"/>
          <w:szCs w:val="24"/>
          <w:shd w:val="clear" w:color="auto" w:fill="FFFFFF"/>
        </w:rPr>
        <w:t>Gardner and Tang, 2014</w:t>
      </w:r>
      <w:r>
        <w:t xml:space="preserve">). On the other hand if the presentation topic will be not interesting then it will directly impact on the an individual's presentation quality because they didn't fell motivated as well as enthusiastic about the topic. Along with this which presenting this type of topic they also not able to develop connect with audience that affect quality of presentation. Same thing happen when I am delivering presentation on third topic. </w:t>
      </w:r>
    </w:p>
    <w:p w14:paraId="5EFAB72A" w14:textId="77777777" w:rsidR="00C2461E" w:rsidRDefault="00E515C1">
      <w:r>
        <w:lastRenderedPageBreak/>
        <w:tab/>
        <w:t xml:space="preserve">The overall rating which I get for delivering presentation on third topic is 3 out of 5 and that mean it is average. But according to feedbacks which is based on different perspective of  topics and presentation skill I analyse that there are several skills which are my strength and some are weakness. Such as skill which I need to enhance on priority basis are skills related to deciding interesting topic, present topic more concise and information, explanation with examples. Along with this I also need to enhance skill while presenting this type of topic are maintain proper eye contact, maintain proper body language, time management and I also need to study about the topic properly so that I can deliver presentation without helping notes. These skills are essential to improve for conducting presentation related to topic because in this I get 2 score out of 5 which mean these skills are poor in me. In addition to this I also need to enhance some of my skills because I get 3 ranked out of 5 such as clear understand of topic, develop knowledge about topic, be enthusiastic for all type of topics, conduct organized presentation, conduct clear introduction and conclusion and many more. This is essential to enhance these skills because their will be chance that I have to conduct presentation on same topic in future so I need to be prepare for it. </w:t>
      </w:r>
    </w:p>
    <w:p w14:paraId="5351B644" w14:textId="77777777" w:rsidR="00C2461E" w:rsidRDefault="00E515C1">
      <w:r>
        <w:tab/>
        <w:t>Furthermore, there are several method or practices which can be adopted by a person in order to enhance their skills, abilities and knowledge such as I can attain training and development programmes as well as I can also conduct learning through different reflective model such as Gibbs reflection model. This model is developed in year 1988 by American Sociologist as well as psychologist Graham Gibbs which is published in book i.e. Learning by doing. Through Gibbs reflective cycle a person able to encourage themselves to do work systematically so that they can conduct work effectively in each and every situation as well as phase. Along with this, it may also encourage a person to think about their experiences, event or activities in detailed manner in order to develop action plan in order to attain desire goal and target (</w:t>
      </w:r>
      <w:r>
        <w:rPr>
          <w:color w:val="222222"/>
          <w:szCs w:val="24"/>
          <w:shd w:val="clear" w:color="auto" w:fill="FFFFFF"/>
        </w:rPr>
        <w:t>Ha and et. al., 2013</w:t>
      </w:r>
      <w:r>
        <w:t xml:space="preserve">). The respective model is starts from description then continues clockwise and more to feeling then it goes to evaluation, analysis, summaries and it end at action plan, then after it return to description. </w:t>
      </w:r>
    </w:p>
    <w:p w14:paraId="00CA2E77" w14:textId="77777777" w:rsidR="00C2461E" w:rsidRDefault="00E515C1">
      <w:r>
        <w:tab/>
        <w:t xml:space="preserve">I can adopt Gibbs reflective cycle model in order to enhance my employability skills so that I can develop my career effectively as well as this will also help me in improving my presentation skills according to the topic. In this first stage is description in which I need to describe about the situation, activities and event in deep detail without developing any conclusion. In this there are some common questions which I need to evaluate in order to develop objective such as what happened, when did it take place, where did it take place, who are involved in that activity, </w:t>
      </w:r>
      <w:r>
        <w:lastRenderedPageBreak/>
        <w:t>what activities I done, what other did and what was the result of these action. In respect of this I will conduct analysis related to my presentations on all three topics as well as I also need to evaluate my experience at the Madman Event Ltd.. The next stage is related to feelings, in which evaluation will be done related to what someone think during a particular event, activity or program. In this stage awareness is consider as most essential objective which is essential to analyse, there are also several questions which are consider in this such as what a person feel during event, what did a person feel for leading up to event (</w:t>
      </w:r>
      <w:r>
        <w:rPr>
          <w:szCs w:val="24"/>
          <w:shd w:val="clear" w:color="auto" w:fill="FFFFFF"/>
        </w:rPr>
        <w:t xml:space="preserve">Hendricks, </w:t>
      </w:r>
      <w:r>
        <w:rPr>
          <w:color w:val="222222"/>
          <w:szCs w:val="24"/>
          <w:shd w:val="clear" w:color="auto" w:fill="FFFFFF"/>
        </w:rPr>
        <w:t>2017</w:t>
      </w:r>
      <w:r>
        <w:t xml:space="preserve">). Along with this it will also consider other questions like what an individual feel after accomplishment of event, how a person can look back on particular situation, analyse how a person feel or think during event. In respect of my experience I will analyse situation at the time of presentation because it will help me in determining what others things about my presentation as it will help me in conducting improvement. </w:t>
      </w:r>
    </w:p>
    <w:p w14:paraId="676543F3" w14:textId="796F9E3D" w:rsidR="00E64828" w:rsidRDefault="00E515C1">
      <w:r>
        <w:tab/>
        <w:t>Moreover, third stage is evaluation in which a person need to evaluate experiences of a particular event whether it is good or bad (</w:t>
      </w:r>
      <w:r>
        <w:rPr>
          <w:i/>
          <w:iCs/>
        </w:rPr>
        <w:t>Gibbs Reflective Cycle by Graham Gibbs,</w:t>
      </w:r>
      <w:r>
        <w:t xml:space="preserve"> 2019). In this stage I also need to evaluate situation through different questions such as evaluation of things which conducted effectively during event or activity and what are not, contribution of a person in conducting activities effectively, contribution of others and many more. In respect of my experience of presentation and working at Madman Event Ltd. I will conduct evaluation of all these question so that I can develop proper strategic plans or strategies. In addition to this, next stage will be analysis in which learner need to conduct analysis of situation, event or activities in which they are involving. This can be done in both negative as well as positive manner in order to analyse problems according to issues and problems. In respect of my situation which will be related to my presentation as well as working experiences at Madman Event Ltd.. I will analyse my working along with others in order to understand positive as well as negative experiences so that I can conduct changes accordingly. In  Gibbs reflection model, last stage will be conclusion at which a person can evaluate decision as well as ask team members for more effective decision. In this I will </w:t>
      </w:r>
      <w:r w:rsidR="00A04DE8">
        <w:t xml:space="preserve">interact </w:t>
      </w:r>
      <w:r w:rsidR="001D72DE">
        <w:t xml:space="preserve">with </w:t>
      </w:r>
      <w:r w:rsidR="00A04DE8">
        <w:t>more</w:t>
      </w:r>
      <w:r w:rsidR="00207078">
        <w:t xml:space="preserve"> people </w:t>
      </w:r>
      <w:r w:rsidR="00A04DE8">
        <w:t xml:space="preserve"> </w:t>
      </w:r>
      <w:r>
        <w:t xml:space="preserve"> so that I can know more effective strategies for improving my skills, abilities and capabilities. By implementation of this model I can improve my skills in which I am lacking behind as well as that will also help me in attaining my desire goal as well as target effectively. </w:t>
      </w:r>
    </w:p>
    <w:p w14:paraId="4A167682" w14:textId="77777777" w:rsidR="00E64828" w:rsidRDefault="00E64828">
      <w:pPr>
        <w:suppressAutoHyphens w:val="0"/>
        <w:spacing w:line="240" w:lineRule="auto"/>
        <w:jc w:val="left"/>
      </w:pPr>
      <w:r>
        <w:br w:type="page"/>
      </w:r>
    </w:p>
    <w:p w14:paraId="2E0B0FF3" w14:textId="77777777" w:rsidR="00C2461E" w:rsidRDefault="00C2461E"/>
    <w:p w14:paraId="32ECAE60" w14:textId="77777777" w:rsidR="00C2461E" w:rsidRDefault="00E515C1">
      <w:pPr>
        <w:pStyle w:val="Heading1"/>
      </w:pPr>
      <w:bookmarkStart w:id="3" w:name="__RefHeading__225_1126410955"/>
      <w:bookmarkEnd w:id="3"/>
      <w:r>
        <w:t xml:space="preserve">CONCLUSION </w:t>
      </w:r>
    </w:p>
    <w:p w14:paraId="3CEA69CC" w14:textId="6F252AD5" w:rsidR="00C2461E" w:rsidRDefault="00E515C1">
      <w:r>
        <w:tab/>
        <w:t xml:space="preserve">By above discussed point it can be conclude that for every person it is essential to improve or enhance their employability skills because that will help them in conducting their work in effective manner for the attainment of goal as well as target. There are numbers of employability skills which are essential to develop career in event industry such as presentation, communication, understanding, convincing and many more. This is so because through it an individual can effectively interact with their customers as well as it will also help in convincing them to take services from them. Along with this for the enhancement of several employability skills a person can adopt different theory like Gibbs reflection model because that will help in developing proper guideline for enhancing as well as polishing skills.  </w:t>
      </w:r>
    </w:p>
    <w:p w14:paraId="07E9978C" w14:textId="77777777" w:rsidR="00C2461E" w:rsidRDefault="00E515C1">
      <w:pPr>
        <w:pStyle w:val="Heading1"/>
        <w:pageBreakBefore/>
        <w:rPr>
          <w:u w:val="single"/>
        </w:rPr>
      </w:pPr>
      <w:bookmarkStart w:id="4" w:name="__RefHeading__227_1126410955"/>
      <w:bookmarkEnd w:id="4"/>
      <w:r>
        <w:lastRenderedPageBreak/>
        <w:t>REFRENCES</w:t>
      </w:r>
    </w:p>
    <w:p w14:paraId="27678092" w14:textId="252C8CB8" w:rsidR="00D14D6D" w:rsidRDefault="00D14D6D">
      <w:pPr>
        <w:rPr>
          <w:szCs w:val="24"/>
          <w:shd w:val="clear" w:color="auto" w:fill="FFFFFF"/>
        </w:rPr>
      </w:pPr>
    </w:p>
    <w:p w14:paraId="65CAE2D3"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Dennison, </w:t>
      </w:r>
      <w:proofErr w:type="gramStart"/>
      <w:r>
        <w:rPr>
          <w:szCs w:val="24"/>
          <w:shd w:val="clear" w:color="auto" w:fill="FFFFFF"/>
        </w:rPr>
        <w:t>P.,(</w:t>
      </w:r>
      <w:proofErr w:type="gramEnd"/>
      <w:r>
        <w:rPr>
          <w:szCs w:val="24"/>
          <w:shd w:val="clear" w:color="auto" w:fill="FFFFFF"/>
        </w:rPr>
        <w:t>2012). Reflective practice: The enduring influence of Kolb’s experiential learning theory. </w:t>
      </w:r>
      <w:r>
        <w:rPr>
          <w:i/>
          <w:szCs w:val="24"/>
          <w:shd w:val="clear" w:color="auto" w:fill="FFFFFF"/>
        </w:rPr>
        <w:t>Compass: Journal of Learning and Teaching</w:t>
      </w:r>
      <w:r>
        <w:rPr>
          <w:szCs w:val="24"/>
          <w:shd w:val="clear" w:color="auto" w:fill="FFFFFF"/>
        </w:rPr>
        <w:t>. 1(1).</w:t>
      </w:r>
    </w:p>
    <w:p w14:paraId="336C9FE8"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Fischer-Kern, M. and et. </w:t>
      </w:r>
      <w:proofErr w:type="gramStart"/>
      <w:r>
        <w:rPr>
          <w:szCs w:val="24"/>
          <w:shd w:val="clear" w:color="auto" w:fill="FFFFFF"/>
        </w:rPr>
        <w:t>al.,(</w:t>
      </w:r>
      <w:proofErr w:type="gramEnd"/>
      <w:r>
        <w:rPr>
          <w:szCs w:val="24"/>
          <w:shd w:val="clear" w:color="auto" w:fill="FFFFFF"/>
        </w:rPr>
        <w:t>2015). Transference-focused psychotherapy for borderline personality disorder: Change in reflective function. </w:t>
      </w:r>
      <w:r>
        <w:rPr>
          <w:i/>
          <w:szCs w:val="24"/>
          <w:shd w:val="clear" w:color="auto" w:fill="FFFFFF"/>
        </w:rPr>
        <w:t>The British Journal of Psychiatry</w:t>
      </w:r>
      <w:r>
        <w:rPr>
          <w:szCs w:val="24"/>
          <w:shd w:val="clear" w:color="auto" w:fill="FFFFFF"/>
        </w:rPr>
        <w:t>. 207(2). pp.173-174.</w:t>
      </w:r>
    </w:p>
    <w:p w14:paraId="693F464B"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Gardner, B. and Tang, </w:t>
      </w:r>
      <w:proofErr w:type="gramStart"/>
      <w:r>
        <w:rPr>
          <w:szCs w:val="24"/>
          <w:shd w:val="clear" w:color="auto" w:fill="FFFFFF"/>
        </w:rPr>
        <w:t>V.,(</w:t>
      </w:r>
      <w:proofErr w:type="gramEnd"/>
      <w:r>
        <w:rPr>
          <w:szCs w:val="24"/>
          <w:shd w:val="clear" w:color="auto" w:fill="FFFFFF"/>
        </w:rPr>
        <w:t>2014). Reflecting on non‐reflective action: An exploratory think‐aloud study of self‐report habit measures. </w:t>
      </w:r>
      <w:r>
        <w:rPr>
          <w:i/>
          <w:szCs w:val="24"/>
          <w:shd w:val="clear" w:color="auto" w:fill="FFFFFF"/>
        </w:rPr>
        <w:t>British Journal of Health Psychology</w:t>
      </w:r>
      <w:r>
        <w:rPr>
          <w:szCs w:val="24"/>
          <w:shd w:val="clear" w:color="auto" w:fill="FFFFFF"/>
        </w:rPr>
        <w:t>. 19(2). pp.258-273.</w:t>
      </w:r>
    </w:p>
    <w:p w14:paraId="3B78A23C"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Ha, C. and et. </w:t>
      </w:r>
      <w:proofErr w:type="gramStart"/>
      <w:r>
        <w:rPr>
          <w:szCs w:val="24"/>
          <w:shd w:val="clear" w:color="auto" w:fill="FFFFFF"/>
        </w:rPr>
        <w:t>al.,(</w:t>
      </w:r>
      <w:proofErr w:type="gramEnd"/>
      <w:r>
        <w:rPr>
          <w:szCs w:val="24"/>
          <w:shd w:val="clear" w:color="auto" w:fill="FFFFFF"/>
        </w:rPr>
        <w:t>2013). The measurement of reflective function in adolescents with and without borderline traits. </w:t>
      </w:r>
      <w:r>
        <w:rPr>
          <w:i/>
          <w:szCs w:val="24"/>
          <w:shd w:val="clear" w:color="auto" w:fill="FFFFFF"/>
        </w:rPr>
        <w:t>Journal of adolescence</w:t>
      </w:r>
      <w:r>
        <w:rPr>
          <w:szCs w:val="24"/>
          <w:shd w:val="clear" w:color="auto" w:fill="FFFFFF"/>
        </w:rPr>
        <w:t>. 36(6). pp.1215-1223.</w:t>
      </w:r>
    </w:p>
    <w:p w14:paraId="1DF49C5C"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Hendricks, </w:t>
      </w:r>
      <w:proofErr w:type="gramStart"/>
      <w:r>
        <w:rPr>
          <w:szCs w:val="24"/>
          <w:shd w:val="clear" w:color="auto" w:fill="FFFFFF"/>
        </w:rPr>
        <w:t>C.C.,(</w:t>
      </w:r>
      <w:proofErr w:type="gramEnd"/>
      <w:r>
        <w:rPr>
          <w:szCs w:val="24"/>
          <w:shd w:val="clear" w:color="auto" w:fill="FFFFFF"/>
        </w:rPr>
        <w:t>2017). </w:t>
      </w:r>
      <w:r>
        <w:rPr>
          <w:i/>
          <w:szCs w:val="24"/>
          <w:shd w:val="clear" w:color="auto" w:fill="FFFFFF"/>
        </w:rPr>
        <w:t>Improving schools through action research: A reflective practice approach</w:t>
      </w:r>
      <w:r>
        <w:rPr>
          <w:szCs w:val="24"/>
          <w:shd w:val="clear" w:color="auto" w:fill="FFFFFF"/>
        </w:rPr>
        <w:t>. Pearson. One Lake Street, Upper Saddle River, New Jersey 07458.</w:t>
      </w:r>
    </w:p>
    <w:p w14:paraId="4C1F309D"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McKinney, P. and Sen, </w:t>
      </w:r>
      <w:proofErr w:type="gramStart"/>
      <w:r>
        <w:rPr>
          <w:szCs w:val="24"/>
          <w:shd w:val="clear" w:color="auto" w:fill="FFFFFF"/>
        </w:rPr>
        <w:t>B.A.,(</w:t>
      </w:r>
      <w:proofErr w:type="gramEnd"/>
      <w:r>
        <w:rPr>
          <w:szCs w:val="24"/>
          <w:shd w:val="clear" w:color="auto" w:fill="FFFFFF"/>
        </w:rPr>
        <w:t>2012). Reflection for learning: understanding the value of reflective writing for information literacy development. </w:t>
      </w:r>
      <w:r>
        <w:rPr>
          <w:i/>
          <w:szCs w:val="24"/>
          <w:shd w:val="clear" w:color="auto" w:fill="FFFFFF"/>
        </w:rPr>
        <w:t>Journal of Information Literacy</w:t>
      </w:r>
      <w:r>
        <w:rPr>
          <w:szCs w:val="24"/>
          <w:shd w:val="clear" w:color="auto" w:fill="FFFFFF"/>
        </w:rPr>
        <w:t>. 6(2). pp.110-129.</w:t>
      </w:r>
    </w:p>
    <w:p w14:paraId="6398E3E7"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Mena-Marcos, J., García-Rodríguez, M.L. and </w:t>
      </w:r>
      <w:proofErr w:type="spellStart"/>
      <w:r>
        <w:rPr>
          <w:szCs w:val="24"/>
          <w:shd w:val="clear" w:color="auto" w:fill="FFFFFF"/>
        </w:rPr>
        <w:t>Tillema</w:t>
      </w:r>
      <w:proofErr w:type="spellEnd"/>
      <w:r>
        <w:rPr>
          <w:szCs w:val="24"/>
          <w:shd w:val="clear" w:color="auto" w:fill="FFFFFF"/>
        </w:rPr>
        <w:t xml:space="preserve">, </w:t>
      </w:r>
      <w:proofErr w:type="gramStart"/>
      <w:r>
        <w:rPr>
          <w:szCs w:val="24"/>
          <w:shd w:val="clear" w:color="auto" w:fill="FFFFFF"/>
        </w:rPr>
        <w:t>H.,(</w:t>
      </w:r>
      <w:proofErr w:type="gramEnd"/>
      <w:r>
        <w:rPr>
          <w:szCs w:val="24"/>
          <w:shd w:val="clear" w:color="auto" w:fill="FFFFFF"/>
        </w:rPr>
        <w:t xml:space="preserve">2013). Student teacher reflective writing: what does it </w:t>
      </w:r>
      <w:proofErr w:type="gramStart"/>
      <w:r>
        <w:rPr>
          <w:szCs w:val="24"/>
          <w:shd w:val="clear" w:color="auto" w:fill="FFFFFF"/>
        </w:rPr>
        <w:t>reveal?.</w:t>
      </w:r>
      <w:proofErr w:type="gramEnd"/>
      <w:r>
        <w:rPr>
          <w:szCs w:val="24"/>
          <w:shd w:val="clear" w:color="auto" w:fill="FFFFFF"/>
        </w:rPr>
        <w:t> </w:t>
      </w:r>
      <w:r>
        <w:rPr>
          <w:i/>
          <w:szCs w:val="24"/>
          <w:shd w:val="clear" w:color="auto" w:fill="FFFFFF"/>
        </w:rPr>
        <w:t>European Journal of Teacher Education</w:t>
      </w:r>
      <w:r>
        <w:rPr>
          <w:szCs w:val="24"/>
          <w:shd w:val="clear" w:color="auto" w:fill="FFFFFF"/>
        </w:rPr>
        <w:t>. 36(2). pp.147-163.</w:t>
      </w:r>
    </w:p>
    <w:p w14:paraId="7B6C1232"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Morel, K. and </w:t>
      </w:r>
      <w:proofErr w:type="spellStart"/>
      <w:r>
        <w:rPr>
          <w:szCs w:val="24"/>
          <w:shd w:val="clear" w:color="auto" w:fill="FFFFFF"/>
        </w:rPr>
        <w:t>Papouchis</w:t>
      </w:r>
      <w:proofErr w:type="spellEnd"/>
      <w:r>
        <w:rPr>
          <w:szCs w:val="24"/>
          <w:shd w:val="clear" w:color="auto" w:fill="FFFFFF"/>
        </w:rPr>
        <w:t xml:space="preserve">, </w:t>
      </w:r>
      <w:proofErr w:type="gramStart"/>
      <w:r>
        <w:rPr>
          <w:szCs w:val="24"/>
          <w:shd w:val="clear" w:color="auto" w:fill="FFFFFF"/>
        </w:rPr>
        <w:t>N.,(</w:t>
      </w:r>
      <w:proofErr w:type="gramEnd"/>
      <w:r>
        <w:rPr>
          <w:szCs w:val="24"/>
          <w:shd w:val="clear" w:color="auto" w:fill="FFFFFF"/>
        </w:rPr>
        <w:t>2015). The role of attachment and reflective functioning in emotion regulation. </w:t>
      </w:r>
      <w:r>
        <w:rPr>
          <w:i/>
          <w:szCs w:val="24"/>
          <w:shd w:val="clear" w:color="auto" w:fill="FFFFFF"/>
        </w:rPr>
        <w:t>Journal of the American Psychoanalytic Association</w:t>
      </w:r>
      <w:r>
        <w:rPr>
          <w:szCs w:val="24"/>
          <w:shd w:val="clear" w:color="auto" w:fill="FFFFFF"/>
        </w:rPr>
        <w:t>. 63(4). pp.NP15-NP20.</w:t>
      </w:r>
    </w:p>
    <w:p w14:paraId="7C02FCF9" w14:textId="77777777" w:rsidR="003B7B90" w:rsidRDefault="003B7B90" w:rsidP="003B7B90">
      <w:pPr>
        <w:spacing w:line="100" w:lineRule="atLeast"/>
        <w:ind w:left="845" w:hanging="845"/>
        <w:rPr>
          <w:szCs w:val="24"/>
          <w:shd w:val="clear" w:color="auto" w:fill="FFFFFF"/>
        </w:rPr>
      </w:pPr>
      <w:r>
        <w:rPr>
          <w:szCs w:val="24"/>
          <w:shd w:val="clear" w:color="auto" w:fill="FFFFFF"/>
        </w:rPr>
        <w:t xml:space="preserve">Schafer, A., Snider, L. and </w:t>
      </w:r>
      <w:proofErr w:type="spellStart"/>
      <w:r>
        <w:rPr>
          <w:szCs w:val="24"/>
          <w:shd w:val="clear" w:color="auto" w:fill="FFFFFF"/>
        </w:rPr>
        <w:t>Sammour</w:t>
      </w:r>
      <w:proofErr w:type="spellEnd"/>
      <w:r>
        <w:rPr>
          <w:szCs w:val="24"/>
          <w:shd w:val="clear" w:color="auto" w:fill="FFFFFF"/>
        </w:rPr>
        <w:t xml:space="preserve">, </w:t>
      </w:r>
      <w:proofErr w:type="gramStart"/>
      <w:r>
        <w:rPr>
          <w:szCs w:val="24"/>
          <w:shd w:val="clear" w:color="auto" w:fill="FFFFFF"/>
        </w:rPr>
        <w:t>R.,(</w:t>
      </w:r>
      <w:proofErr w:type="gramEnd"/>
      <w:r>
        <w:rPr>
          <w:szCs w:val="24"/>
          <w:shd w:val="clear" w:color="auto" w:fill="FFFFFF"/>
        </w:rPr>
        <w:t>2016). A reflective learning report about the implementation and impacts of Psychological First Aid (PFA) in Gaza. </w:t>
      </w:r>
      <w:r>
        <w:rPr>
          <w:i/>
          <w:szCs w:val="24"/>
          <w:shd w:val="clear" w:color="auto" w:fill="FFFFFF"/>
        </w:rPr>
        <w:t>Disaster health</w:t>
      </w:r>
      <w:r>
        <w:rPr>
          <w:szCs w:val="24"/>
          <w:shd w:val="clear" w:color="auto" w:fill="FFFFFF"/>
        </w:rPr>
        <w:t>. 3(1). pp.1-10.</w:t>
      </w:r>
    </w:p>
    <w:p w14:paraId="19AFE38E" w14:textId="77777777" w:rsidR="003B7B90" w:rsidRPr="00A16D9F" w:rsidRDefault="003B7B90" w:rsidP="003B7B90">
      <w:pPr>
        <w:spacing w:line="100" w:lineRule="atLeast"/>
        <w:ind w:left="845" w:hanging="845"/>
        <w:rPr>
          <w:u w:val="single"/>
        </w:rPr>
      </w:pPr>
      <w:r>
        <w:rPr>
          <w:szCs w:val="24"/>
          <w:shd w:val="clear" w:color="auto" w:fill="FFFFFF"/>
        </w:rPr>
        <w:t xml:space="preserve">TIERNEY, </w:t>
      </w:r>
      <w:proofErr w:type="gramStart"/>
      <w:r>
        <w:rPr>
          <w:szCs w:val="24"/>
          <w:shd w:val="clear" w:color="auto" w:fill="FFFFFF"/>
        </w:rPr>
        <w:t>W.G.,(</w:t>
      </w:r>
      <w:proofErr w:type="gramEnd"/>
      <w:r>
        <w:rPr>
          <w:szCs w:val="24"/>
          <w:shd w:val="clear" w:color="auto" w:fill="FFFFFF"/>
        </w:rPr>
        <w:t>2012). Reflective evaluation. </w:t>
      </w:r>
      <w:r>
        <w:rPr>
          <w:i/>
          <w:szCs w:val="24"/>
          <w:shd w:val="clear" w:color="auto" w:fill="FFFFFF"/>
        </w:rPr>
        <w:t>Increasing access to college: Extending possibilities for all students</w:t>
      </w:r>
      <w:r>
        <w:rPr>
          <w:szCs w:val="24"/>
          <w:shd w:val="clear" w:color="auto" w:fill="FFFFFF"/>
        </w:rPr>
        <w:t>, p.217.</w:t>
      </w:r>
    </w:p>
    <w:p w14:paraId="0BB9853F" w14:textId="77777777" w:rsidR="003B7B90" w:rsidRDefault="003B7B90" w:rsidP="003B7B90">
      <w:pPr>
        <w:spacing w:line="100" w:lineRule="atLeast"/>
        <w:ind w:left="845" w:hanging="845"/>
      </w:pPr>
      <w:r>
        <w:rPr>
          <w:i/>
          <w:iCs/>
        </w:rPr>
        <w:t>Gibbs Reflective Cycle by Graham Gibbs</w:t>
      </w:r>
      <w:proofErr w:type="gramStart"/>
      <w:r>
        <w:rPr>
          <w:i/>
          <w:iCs/>
        </w:rPr>
        <w:t>.</w:t>
      </w:r>
      <w:r>
        <w:t>,(</w:t>
      </w:r>
      <w:proofErr w:type="gramEnd"/>
      <w:r>
        <w:t>2019). Available at: https://www.toolshero.com/management/gibbs-reflective-cycle-graham-gibbs</w:t>
      </w:r>
    </w:p>
    <w:p w14:paraId="67398060" w14:textId="77777777" w:rsidR="003B7B90" w:rsidRDefault="003B7B90" w:rsidP="003B7B90">
      <w:pPr>
        <w:pStyle w:val="Heading1"/>
      </w:pPr>
    </w:p>
    <w:p w14:paraId="71806FDC" w14:textId="27524A80" w:rsidR="009F52C4" w:rsidRPr="009F52C4" w:rsidRDefault="00D14D6D" w:rsidP="003B7B90">
      <w:pPr>
        <w:suppressAutoHyphens w:val="0"/>
        <w:spacing w:line="240" w:lineRule="auto"/>
        <w:jc w:val="left"/>
        <w:rPr>
          <w:b/>
          <w:bCs/>
          <w:szCs w:val="24"/>
          <w:shd w:val="clear" w:color="auto" w:fill="FFFFFF"/>
        </w:rPr>
      </w:pPr>
      <w:r>
        <w:rPr>
          <w:szCs w:val="24"/>
          <w:shd w:val="clear" w:color="auto" w:fill="FFFFFF"/>
        </w:rPr>
        <w:br w:type="page"/>
      </w:r>
      <w:r w:rsidR="003B7B90" w:rsidRPr="009F52C4">
        <w:rPr>
          <w:b/>
          <w:bCs/>
          <w:szCs w:val="24"/>
          <w:shd w:val="clear" w:color="auto" w:fill="FFFFFF"/>
        </w:rPr>
        <w:lastRenderedPageBreak/>
        <w:t xml:space="preserve"> </w:t>
      </w:r>
    </w:p>
    <w:p w14:paraId="391F3EA5" w14:textId="124B9557" w:rsidR="00D14D6D" w:rsidRDefault="00240C3A">
      <w:pPr>
        <w:suppressAutoHyphens w:val="0"/>
        <w:spacing w:line="240" w:lineRule="auto"/>
        <w:jc w:val="left"/>
        <w:rPr>
          <w:szCs w:val="24"/>
          <w:shd w:val="clear" w:color="auto" w:fill="FFFFFF"/>
        </w:rPr>
      </w:pPr>
      <w:r>
        <w:rPr>
          <w:szCs w:val="24"/>
          <w:shd w:val="clear" w:color="auto" w:fill="FFFFFF"/>
        </w:rPr>
        <w:t>Appendix C:</w:t>
      </w:r>
    </w:p>
    <w:p w14:paraId="78ACF1B6" w14:textId="2C3FCBB8" w:rsidR="00240C3A" w:rsidRDefault="00240C3A">
      <w:pPr>
        <w:suppressAutoHyphens w:val="0"/>
        <w:spacing w:line="240" w:lineRule="auto"/>
        <w:jc w:val="left"/>
        <w:rPr>
          <w:szCs w:val="24"/>
          <w:shd w:val="clear" w:color="auto" w:fill="FFFFFF"/>
        </w:rPr>
      </w:pPr>
      <w:r>
        <w:rPr>
          <w:noProof/>
          <w:szCs w:val="24"/>
          <w:shd w:val="clear" w:color="auto" w:fill="FFFFFF"/>
        </w:rPr>
        <w:drawing>
          <wp:inline distT="0" distB="0" distL="0" distR="0" wp14:anchorId="26770F23" wp14:editId="5D72F021">
            <wp:extent cx="5762625" cy="5257800"/>
            <wp:effectExtent l="0" t="0" r="9525"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er3.jpg"/>
                    <pic:cNvPicPr/>
                  </pic:nvPicPr>
                  <pic:blipFill rotWithShape="1">
                    <a:blip r:embed="rId10">
                      <a:extLst>
                        <a:ext uri="{28A0092B-C50C-407E-A947-70E740481C1C}">
                          <a14:useLocalDpi xmlns:a14="http://schemas.microsoft.com/office/drawing/2010/main" val="0"/>
                        </a:ext>
                      </a:extLst>
                    </a:blip>
                    <a:srcRect l="14718" t="1" r="13469" b="-1714"/>
                    <a:stretch/>
                  </pic:blipFill>
                  <pic:spPr bwMode="auto">
                    <a:xfrm>
                      <a:off x="0" y="0"/>
                      <a:ext cx="5773597" cy="5267811"/>
                    </a:xfrm>
                    <a:prstGeom prst="rect">
                      <a:avLst/>
                    </a:prstGeom>
                    <a:ln>
                      <a:noFill/>
                    </a:ln>
                    <a:extLst>
                      <a:ext uri="{53640926-AAD7-44D8-BBD7-CCE9431645EC}">
                        <a14:shadowObscured xmlns:a14="http://schemas.microsoft.com/office/drawing/2010/main"/>
                      </a:ext>
                    </a:extLst>
                  </pic:spPr>
                </pic:pic>
              </a:graphicData>
            </a:graphic>
          </wp:inline>
        </w:drawing>
      </w:r>
    </w:p>
    <w:p w14:paraId="496AE6FE" w14:textId="344D3DE0" w:rsidR="00D14D6D" w:rsidRDefault="00240C3A" w:rsidP="00240C3A">
      <w:pPr>
        <w:suppressAutoHyphens w:val="0"/>
        <w:spacing w:line="240" w:lineRule="auto"/>
        <w:jc w:val="left"/>
        <w:rPr>
          <w:szCs w:val="24"/>
          <w:shd w:val="clear" w:color="auto" w:fill="FFFFFF"/>
        </w:rPr>
      </w:pPr>
      <w:r>
        <w:rPr>
          <w:noProof/>
          <w:szCs w:val="24"/>
          <w:shd w:val="clear" w:color="auto" w:fill="FFFFFF"/>
        </w:rPr>
        <w:lastRenderedPageBreak/>
        <w:t>Appendix A</w:t>
      </w:r>
      <w:r>
        <w:rPr>
          <w:szCs w:val="24"/>
          <w:shd w:val="clear" w:color="auto" w:fill="FFFFFF"/>
        </w:rPr>
        <w:t>:</w:t>
      </w:r>
      <w:r>
        <w:rPr>
          <w:noProof/>
          <w:szCs w:val="24"/>
          <w:shd w:val="clear" w:color="auto" w:fill="FFFFFF"/>
        </w:rPr>
        <w:drawing>
          <wp:inline distT="0" distB="0" distL="0" distR="0" wp14:anchorId="3D9DF36B" wp14:editId="03A5827F">
            <wp:extent cx="7924800" cy="5943600"/>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xer.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13A30536" w14:textId="6EAE1504" w:rsidR="00B30DC2" w:rsidRDefault="00240C3A">
      <w:pPr>
        <w:suppressAutoHyphens w:val="0"/>
        <w:spacing w:line="240" w:lineRule="auto"/>
        <w:jc w:val="left"/>
        <w:rPr>
          <w:szCs w:val="24"/>
          <w:shd w:val="clear" w:color="auto" w:fill="FFFFFF"/>
        </w:rPr>
      </w:pPr>
      <w:r>
        <w:rPr>
          <w:szCs w:val="24"/>
          <w:shd w:val="clear" w:color="auto" w:fill="FFFFFF"/>
        </w:rPr>
        <w:lastRenderedPageBreak/>
        <w:t>Appendix D:</w:t>
      </w:r>
    </w:p>
    <w:p w14:paraId="27693D34" w14:textId="287692EF" w:rsidR="0064470F" w:rsidRDefault="0064470F">
      <w:pPr>
        <w:suppressAutoHyphens w:val="0"/>
        <w:spacing w:line="240" w:lineRule="auto"/>
        <w:jc w:val="left"/>
        <w:rPr>
          <w:szCs w:val="24"/>
          <w:shd w:val="clear" w:color="auto" w:fill="FFFFFF"/>
        </w:rPr>
      </w:pPr>
      <w:r>
        <w:rPr>
          <w:noProof/>
          <w:szCs w:val="24"/>
          <w:shd w:val="clear" w:color="auto" w:fill="FFFFFF"/>
        </w:rPr>
        <w:drawing>
          <wp:inline distT="0" distB="0" distL="0" distR="0" wp14:anchorId="67EFB1AA" wp14:editId="4E378C22">
            <wp:extent cx="4248150" cy="5029200"/>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xer4.jpg"/>
                    <pic:cNvPicPr/>
                  </pic:nvPicPr>
                  <pic:blipFill rotWithShape="1">
                    <a:blip r:embed="rId12">
                      <a:extLst>
                        <a:ext uri="{28A0092B-C50C-407E-A947-70E740481C1C}">
                          <a14:useLocalDpi xmlns:a14="http://schemas.microsoft.com/office/drawing/2010/main" val="0"/>
                        </a:ext>
                      </a:extLst>
                    </a:blip>
                    <a:srcRect l="12821" r="15706" b="-2325"/>
                    <a:stretch/>
                  </pic:blipFill>
                  <pic:spPr bwMode="auto">
                    <a:xfrm>
                      <a:off x="0" y="0"/>
                      <a:ext cx="4248150" cy="5029200"/>
                    </a:xfrm>
                    <a:prstGeom prst="rect">
                      <a:avLst/>
                    </a:prstGeom>
                    <a:ln>
                      <a:noFill/>
                    </a:ln>
                    <a:extLst>
                      <a:ext uri="{53640926-AAD7-44D8-BBD7-CCE9431645EC}">
                        <a14:shadowObscured xmlns:a14="http://schemas.microsoft.com/office/drawing/2010/main"/>
                      </a:ext>
                    </a:extLst>
                  </pic:spPr>
                </pic:pic>
              </a:graphicData>
            </a:graphic>
          </wp:inline>
        </w:drawing>
      </w:r>
    </w:p>
    <w:p w14:paraId="0523C33D" w14:textId="3AE39746" w:rsidR="0064470F" w:rsidRDefault="0064470F">
      <w:pPr>
        <w:suppressAutoHyphens w:val="0"/>
        <w:spacing w:line="240" w:lineRule="auto"/>
        <w:jc w:val="left"/>
        <w:rPr>
          <w:szCs w:val="24"/>
          <w:shd w:val="clear" w:color="auto" w:fill="FFFFFF"/>
        </w:rPr>
      </w:pPr>
    </w:p>
    <w:p w14:paraId="0C2A6B75" w14:textId="72125132" w:rsidR="00B30DC2" w:rsidRDefault="00B30DC2">
      <w:pPr>
        <w:suppressAutoHyphens w:val="0"/>
        <w:spacing w:line="240" w:lineRule="auto"/>
        <w:jc w:val="left"/>
        <w:rPr>
          <w:szCs w:val="24"/>
          <w:shd w:val="clear" w:color="auto" w:fill="FFFFFF"/>
        </w:rPr>
      </w:pPr>
      <w:r>
        <w:rPr>
          <w:szCs w:val="24"/>
          <w:shd w:val="clear" w:color="auto" w:fill="FFFFFF"/>
        </w:rPr>
        <w:br w:type="page"/>
      </w:r>
      <w:r w:rsidR="0064470F">
        <w:rPr>
          <w:noProof/>
          <w:szCs w:val="24"/>
          <w:shd w:val="clear" w:color="auto" w:fill="FFFFFF"/>
        </w:rPr>
        <w:lastRenderedPageBreak/>
        <w:drawing>
          <wp:inline distT="0" distB="0" distL="0" distR="0" wp14:anchorId="43C1D364" wp14:editId="4B3FEE84">
            <wp:extent cx="5943600" cy="4600575"/>
            <wp:effectExtent l="0" t="0" r="0" b="952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xer2.jpg"/>
                    <pic:cNvPicPr/>
                  </pic:nvPicPr>
                  <pic:blipFill rotWithShape="1">
                    <a:blip r:embed="rId13" cstate="print">
                      <a:extLst>
                        <a:ext uri="{28A0092B-C50C-407E-A947-70E740481C1C}">
                          <a14:useLocalDpi xmlns:a14="http://schemas.microsoft.com/office/drawing/2010/main" val="0"/>
                        </a:ext>
                      </a:extLst>
                    </a:blip>
                    <a:srcRect l="11380" t="-3954" r="19229" b="-462"/>
                    <a:stretch/>
                  </pic:blipFill>
                  <pic:spPr bwMode="auto">
                    <a:xfrm>
                      <a:off x="0" y="0"/>
                      <a:ext cx="5943600" cy="4600575"/>
                    </a:xfrm>
                    <a:prstGeom prst="rect">
                      <a:avLst/>
                    </a:prstGeom>
                    <a:ln>
                      <a:noFill/>
                    </a:ln>
                    <a:extLst>
                      <a:ext uri="{53640926-AAD7-44D8-BBD7-CCE9431645EC}">
                        <a14:shadowObscured xmlns:a14="http://schemas.microsoft.com/office/drawing/2010/main"/>
                      </a:ext>
                    </a:extLst>
                  </pic:spPr>
                </pic:pic>
              </a:graphicData>
            </a:graphic>
          </wp:inline>
        </w:drawing>
      </w:r>
    </w:p>
    <w:p w14:paraId="364F32FF" w14:textId="3D973F4B" w:rsidR="00D14D6D" w:rsidRDefault="00B30DC2">
      <w:pPr>
        <w:suppressAutoHyphens w:val="0"/>
        <w:spacing w:line="240" w:lineRule="auto"/>
        <w:jc w:val="left"/>
        <w:rPr>
          <w:szCs w:val="24"/>
          <w:shd w:val="clear" w:color="auto" w:fill="FFFFFF"/>
        </w:rPr>
      </w:pPr>
      <w:r>
        <w:rPr>
          <w:szCs w:val="24"/>
          <w:shd w:val="clear" w:color="auto" w:fill="FFFFFF"/>
        </w:rPr>
        <w:lastRenderedPageBreak/>
        <w:t>A</w:t>
      </w:r>
      <w:r w:rsidR="00240C3A">
        <w:rPr>
          <w:szCs w:val="24"/>
          <w:shd w:val="clear" w:color="auto" w:fill="FFFFFF"/>
        </w:rPr>
        <w:t>ppendix B</w:t>
      </w:r>
      <w:r w:rsidR="00240C3A">
        <w:rPr>
          <w:noProof/>
          <w:szCs w:val="24"/>
          <w:shd w:val="clear" w:color="auto" w:fill="FFFFFF"/>
        </w:rPr>
        <w:drawing>
          <wp:inline distT="0" distB="0" distL="0" distR="0" wp14:anchorId="6E640339" wp14:editId="0D4285F6">
            <wp:extent cx="7924800" cy="5943600"/>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er1.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r w:rsidR="00D14D6D">
        <w:rPr>
          <w:szCs w:val="24"/>
          <w:shd w:val="clear" w:color="auto" w:fill="FFFFFF"/>
        </w:rPr>
        <w:br w:type="page"/>
      </w:r>
      <w:r w:rsidR="003B7B90">
        <w:rPr>
          <w:noProof/>
          <w:szCs w:val="24"/>
          <w:shd w:val="clear" w:color="auto" w:fill="FFFFFF"/>
        </w:rPr>
        <w:lastRenderedPageBreak/>
        <w:drawing>
          <wp:inline distT="0" distB="0" distL="0" distR="0" wp14:anchorId="35A932AF" wp14:editId="471A77FD">
            <wp:extent cx="5944235" cy="79254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7925435"/>
                    </a:xfrm>
                    <a:prstGeom prst="rect">
                      <a:avLst/>
                    </a:prstGeom>
                    <a:noFill/>
                  </pic:spPr>
                </pic:pic>
              </a:graphicData>
            </a:graphic>
          </wp:inline>
        </w:drawing>
      </w:r>
    </w:p>
    <w:p w14:paraId="34C363EE" w14:textId="51465B34" w:rsidR="00C2461E" w:rsidRPr="006C1122" w:rsidRDefault="00C2461E">
      <w:pPr>
        <w:rPr>
          <w:szCs w:val="24"/>
          <w:shd w:val="clear" w:color="auto" w:fill="FFFFFF"/>
        </w:rPr>
      </w:pPr>
    </w:p>
    <w:sectPr w:rsidR="00C2461E" w:rsidRPr="006C1122">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24911" w14:textId="77777777" w:rsidR="007372CF" w:rsidRDefault="007372CF">
      <w:pPr>
        <w:spacing w:line="240" w:lineRule="auto"/>
      </w:pPr>
      <w:r>
        <w:separator/>
      </w:r>
    </w:p>
  </w:endnote>
  <w:endnote w:type="continuationSeparator" w:id="0">
    <w:p w14:paraId="3B6EFCEF" w14:textId="77777777" w:rsidR="007372CF" w:rsidRDefault="007372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charset w:val="00"/>
    <w:family w:val="swiss"/>
    <w:pitch w:val="variable"/>
    <w:sig w:usb0="E7002EFF" w:usb1="D200FDFF" w:usb2="0A246029" w:usb3="00000000" w:csb0="000001FF" w:csb1="00000000"/>
  </w:font>
  <w:font w:name="Symbol">
    <w:panose1 w:val="05050102010706020507"/>
    <w:charset w:val="02"/>
    <w:family w:val="roman"/>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Tinos">
    <w:charset w:val="80"/>
    <w:family w:val="roman"/>
    <w:pitch w:val="variable"/>
  </w:font>
  <w:font w:name="DejaVu Sans Mono">
    <w:charset w:val="80"/>
    <w:family w:val="modern"/>
    <w:pitch w:val="default"/>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ACB79" w14:textId="77777777" w:rsidR="00C2461E" w:rsidRDefault="00E515C1">
    <w:pPr>
      <w:pStyle w:val="Footer"/>
      <w:jc w:val="center"/>
    </w:pPr>
    <w:r>
      <w:fldChar w:fldCharType="begin"/>
    </w:r>
    <w:r>
      <w:instrText xml:space="preserve"> PAGE </w:instrText>
    </w:r>
    <w:r>
      <w:fldChar w:fldCharType="separate"/>
    </w:r>
    <w:r>
      <w:t>6</w:t>
    </w:r>
    <w:r>
      <w:fldChar w:fldCharType="end"/>
    </w:r>
  </w:p>
  <w:p w14:paraId="59DCA25E" w14:textId="77777777" w:rsidR="00C2461E" w:rsidRDefault="00C24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00601" w14:textId="77777777" w:rsidR="007372CF" w:rsidRDefault="007372CF">
      <w:pPr>
        <w:spacing w:line="240" w:lineRule="auto"/>
      </w:pPr>
      <w:r>
        <w:separator/>
      </w:r>
    </w:p>
  </w:footnote>
  <w:footnote w:type="continuationSeparator" w:id="0">
    <w:p w14:paraId="18D622DC" w14:textId="77777777" w:rsidR="007372CF" w:rsidRDefault="007372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411"/>
    <w:rsid w:val="000135EB"/>
    <w:rsid w:val="0005798D"/>
    <w:rsid w:val="00096B73"/>
    <w:rsid w:val="000E1505"/>
    <w:rsid w:val="00165867"/>
    <w:rsid w:val="001B4AEC"/>
    <w:rsid w:val="001D72DE"/>
    <w:rsid w:val="0020064B"/>
    <w:rsid w:val="00207078"/>
    <w:rsid w:val="00236ABC"/>
    <w:rsid w:val="00240C3A"/>
    <w:rsid w:val="00243F15"/>
    <w:rsid w:val="0028024D"/>
    <w:rsid w:val="003135AB"/>
    <w:rsid w:val="003B7B90"/>
    <w:rsid w:val="003D6809"/>
    <w:rsid w:val="0041331C"/>
    <w:rsid w:val="00455385"/>
    <w:rsid w:val="00462343"/>
    <w:rsid w:val="00466BA0"/>
    <w:rsid w:val="004D7A01"/>
    <w:rsid w:val="0055109F"/>
    <w:rsid w:val="005D6813"/>
    <w:rsid w:val="005E4253"/>
    <w:rsid w:val="006043A0"/>
    <w:rsid w:val="006129BC"/>
    <w:rsid w:val="00623FA1"/>
    <w:rsid w:val="006341ED"/>
    <w:rsid w:val="00637ADE"/>
    <w:rsid w:val="0064470F"/>
    <w:rsid w:val="0067052C"/>
    <w:rsid w:val="00696DD2"/>
    <w:rsid w:val="00697593"/>
    <w:rsid w:val="006B6F09"/>
    <w:rsid w:val="006C0429"/>
    <w:rsid w:val="006C1122"/>
    <w:rsid w:val="006C7EE3"/>
    <w:rsid w:val="00702AF1"/>
    <w:rsid w:val="007372CF"/>
    <w:rsid w:val="00744CAD"/>
    <w:rsid w:val="007C71E2"/>
    <w:rsid w:val="007C71EE"/>
    <w:rsid w:val="007F1960"/>
    <w:rsid w:val="00877C32"/>
    <w:rsid w:val="00947193"/>
    <w:rsid w:val="009D04BB"/>
    <w:rsid w:val="009E0773"/>
    <w:rsid w:val="009F52C4"/>
    <w:rsid w:val="00A04DE8"/>
    <w:rsid w:val="00A11669"/>
    <w:rsid w:val="00A16D9F"/>
    <w:rsid w:val="00A37983"/>
    <w:rsid w:val="00B059F2"/>
    <w:rsid w:val="00B30DC2"/>
    <w:rsid w:val="00B573DB"/>
    <w:rsid w:val="00C2461E"/>
    <w:rsid w:val="00C6536E"/>
    <w:rsid w:val="00C83857"/>
    <w:rsid w:val="00CC57C9"/>
    <w:rsid w:val="00D071D9"/>
    <w:rsid w:val="00D14D6D"/>
    <w:rsid w:val="00D4135C"/>
    <w:rsid w:val="00D65F6E"/>
    <w:rsid w:val="00DD1E70"/>
    <w:rsid w:val="00E515C1"/>
    <w:rsid w:val="00E64828"/>
    <w:rsid w:val="00ED4D98"/>
    <w:rsid w:val="00F20C21"/>
    <w:rsid w:val="00F22948"/>
    <w:rsid w:val="00F42411"/>
    <w:rsid w:val="00F7590A"/>
    <w:rsid w:val="00F81168"/>
    <w:rsid w:val="00FF3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oNotEmbedSmartTags/>
  <w:decimalSymbol w:val="."/>
  <w:listSeparator w:val=","/>
  <w14:docId w14:val="5EC85229"/>
  <w15:chartTrackingRefBased/>
  <w15:docId w15:val="{7E85FCA1-E8FB-9248-B1E4-443AA039F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text">
    <w:name w:val="Table text"/>
    <w:basedOn w:val="Normal"/>
    <w:pPr>
      <w:widowControl w:val="0"/>
      <w:spacing w:before="60" w:after="60"/>
    </w:pPr>
    <w:rPr>
      <w:rFonts w:cs="Trebuchet MS"/>
      <w:sz w:val="19"/>
      <w:szCs w:val="19"/>
    </w:rPr>
  </w:style>
  <w:style w:type="paragraph" w:customStyle="1" w:styleId="text">
    <w:name w:val="text"/>
    <w:pPr>
      <w:suppressAutoHyphens/>
      <w:spacing w:before="60" w:after="60" w:line="260" w:lineRule="atLeast"/>
    </w:pPr>
    <w:rPr>
      <w:rFonts w:ascii="Verdana" w:eastAsia="Droid Sans" w:hAnsi="Verdana"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5" ma:contentTypeDescription="Create a new document." ma:contentTypeScope="" ma:versionID="04d4314396d4e52e37d95efd58f6a408">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12d981d3facb41daf8d4ccf7453a01d5"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8224B1-BA98-4871-9552-42CF87096C8F}">
  <ds:schemaRefs>
    <ds:schemaRef ds:uri="http://schemas.microsoft.com/sharepoint/v3/contenttype/forms"/>
  </ds:schemaRefs>
</ds:datastoreItem>
</file>

<file path=customXml/itemProps2.xml><?xml version="1.0" encoding="utf-8"?>
<ds:datastoreItem xmlns:ds="http://schemas.openxmlformats.org/officeDocument/2006/customXml" ds:itemID="{30B061A9-594A-461A-A084-101C15F4C5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B8629C-6CC0-4F80-907E-3923E09F10A3}">
  <ds:schemaRefs>
    <ds:schemaRef ds:uri="4eb6c5bb-40ae-4a4e-ab7c-c38ff1aaacce"/>
    <ds:schemaRef ds:uri="24407592-8e3f-40f5-81db-7558dd199bbe"/>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2199</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Craciunel (1818825)</dc:creator>
  <cp:keywords/>
  <cp:lastModifiedBy>Marinela Craciunel (1818825)</cp:lastModifiedBy>
  <cp:revision>2</cp:revision>
  <cp:lastPrinted>1900-01-01T00:00:00Z</cp:lastPrinted>
  <dcterms:created xsi:type="dcterms:W3CDTF">2020-01-04T00:04:00Z</dcterms:created>
  <dcterms:modified xsi:type="dcterms:W3CDTF">2020-01-04T00:04:00Z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