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4B37F" w14:textId="1B31C1D6" w:rsidR="00A23287" w:rsidRPr="003E0D61" w:rsidRDefault="003114C7" w:rsidP="002078B5">
      <w:pPr>
        <w:rPr>
          <w:rFonts w:cstheme="minorHAnsi"/>
          <w:b/>
          <w:bCs/>
          <w:u w:val="single"/>
        </w:rPr>
      </w:pPr>
      <w:r w:rsidRPr="003E0D61">
        <w:rPr>
          <w:rFonts w:cstheme="minorHAnsi"/>
          <w:noProof/>
        </w:rPr>
        <w:drawing>
          <wp:anchor distT="0" distB="0" distL="114300" distR="114300" simplePos="0" relativeHeight="251661312" behindDoc="0" locked="0" layoutInCell="1" allowOverlap="1" wp14:anchorId="636EE03D" wp14:editId="6AE8ACA2">
            <wp:simplePos x="0" y="0"/>
            <wp:positionH relativeFrom="margin">
              <wp:align>center</wp:align>
            </wp:positionH>
            <wp:positionV relativeFrom="margin">
              <wp:posOffset>-199059</wp:posOffset>
            </wp:positionV>
            <wp:extent cx="6670675" cy="37763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670675" cy="3776345"/>
                    </a:xfrm>
                    <a:prstGeom prst="rect">
                      <a:avLst/>
                    </a:prstGeom>
                  </pic:spPr>
                </pic:pic>
              </a:graphicData>
            </a:graphic>
            <wp14:sizeRelH relativeFrom="page">
              <wp14:pctWidth>0</wp14:pctWidth>
            </wp14:sizeRelH>
            <wp14:sizeRelV relativeFrom="page">
              <wp14:pctHeight>0</wp14:pctHeight>
            </wp14:sizeRelV>
          </wp:anchor>
        </w:drawing>
      </w:r>
      <w:r w:rsidRPr="003E0D61">
        <w:rPr>
          <w:rFonts w:cstheme="minorHAnsi"/>
          <w:noProof/>
        </w:rPr>
        <w:drawing>
          <wp:anchor distT="0" distB="0" distL="114300" distR="114300" simplePos="0" relativeHeight="251662336" behindDoc="0" locked="0" layoutInCell="1" allowOverlap="1" wp14:anchorId="6807BD4F" wp14:editId="4A9F439B">
            <wp:simplePos x="0" y="0"/>
            <wp:positionH relativeFrom="margin">
              <wp:align>center</wp:align>
            </wp:positionH>
            <wp:positionV relativeFrom="page">
              <wp:posOffset>4699028</wp:posOffset>
            </wp:positionV>
            <wp:extent cx="6589395" cy="3705225"/>
            <wp:effectExtent l="0" t="0" r="190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589395" cy="3705225"/>
                    </a:xfrm>
                    <a:prstGeom prst="rect">
                      <a:avLst/>
                    </a:prstGeom>
                  </pic:spPr>
                </pic:pic>
              </a:graphicData>
            </a:graphic>
            <wp14:sizeRelH relativeFrom="page">
              <wp14:pctWidth>0</wp14:pctWidth>
            </wp14:sizeRelH>
            <wp14:sizeRelV relativeFrom="page">
              <wp14:pctHeight>0</wp14:pctHeight>
            </wp14:sizeRelV>
          </wp:anchor>
        </w:drawing>
      </w:r>
    </w:p>
    <w:p w14:paraId="57D92A99" w14:textId="77777777" w:rsidR="003E0D61" w:rsidRDefault="003E0D61" w:rsidP="00226465">
      <w:pPr>
        <w:spacing w:after="0"/>
        <w:rPr>
          <w:rFonts w:cstheme="minorHAnsi"/>
        </w:rPr>
      </w:pPr>
    </w:p>
    <w:p w14:paraId="692060F3" w14:textId="48E6C324" w:rsidR="00A82C8A" w:rsidRPr="003E0D61" w:rsidRDefault="00A82C8A" w:rsidP="00226465">
      <w:pPr>
        <w:spacing w:after="0"/>
        <w:rPr>
          <w:rFonts w:cstheme="minorHAnsi"/>
        </w:rPr>
      </w:pPr>
      <w:r w:rsidRPr="003E0D61">
        <w:rPr>
          <w:rFonts w:cstheme="minorHAnsi"/>
        </w:rPr>
        <w:t>According to Young (2021) evidence based practice is the process of making decisions by analysing available evidence guided by critical thinking.</w:t>
      </w:r>
    </w:p>
    <w:p w14:paraId="77609578" w14:textId="77777777" w:rsidR="00226465" w:rsidRPr="003E0D61" w:rsidRDefault="00A82C8A" w:rsidP="00226465">
      <w:pPr>
        <w:spacing w:after="0"/>
        <w:rPr>
          <w:rFonts w:cstheme="minorHAnsi"/>
        </w:rPr>
      </w:pPr>
      <w:r w:rsidRPr="00A82C8A">
        <w:rPr>
          <w:rFonts w:cstheme="minorHAnsi"/>
        </w:rPr>
        <w:t>Evidence-based practice progresses towards critical thinking about what works and what doesn’t work within an organisation for decision-making.</w:t>
      </w:r>
    </w:p>
    <w:p w14:paraId="5FAA89ED" w14:textId="4A03304B" w:rsidR="00A82C8A" w:rsidRPr="00A82C8A" w:rsidRDefault="00A82C8A" w:rsidP="00226465">
      <w:pPr>
        <w:spacing w:after="0"/>
        <w:rPr>
          <w:rFonts w:cstheme="minorHAnsi"/>
        </w:rPr>
      </w:pPr>
      <w:r w:rsidRPr="003E0D61">
        <w:rPr>
          <w:rFonts w:cstheme="minorHAnsi"/>
          <w:noProof/>
        </w:rPr>
        <w:lastRenderedPageBreak/>
        <w:drawing>
          <wp:anchor distT="0" distB="0" distL="114300" distR="114300" simplePos="0" relativeHeight="251663360" behindDoc="0" locked="0" layoutInCell="1" allowOverlap="1" wp14:anchorId="67F5F669" wp14:editId="10F97E33">
            <wp:simplePos x="0" y="0"/>
            <wp:positionH relativeFrom="margin">
              <wp:align>center</wp:align>
            </wp:positionH>
            <wp:positionV relativeFrom="paragraph">
              <wp:posOffset>794551</wp:posOffset>
            </wp:positionV>
            <wp:extent cx="6586220" cy="3748405"/>
            <wp:effectExtent l="0" t="0" r="508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586220" cy="3748405"/>
                    </a:xfrm>
                    <a:prstGeom prst="rect">
                      <a:avLst/>
                    </a:prstGeom>
                  </pic:spPr>
                </pic:pic>
              </a:graphicData>
            </a:graphic>
            <wp14:sizeRelH relativeFrom="page">
              <wp14:pctWidth>0</wp14:pctWidth>
            </wp14:sizeRelH>
            <wp14:sizeRelV relativeFrom="page">
              <wp14:pctHeight>0</wp14:pctHeight>
            </wp14:sizeRelV>
          </wp:anchor>
        </w:drawing>
      </w:r>
      <w:r w:rsidRPr="00A82C8A">
        <w:rPr>
          <w:rFonts w:cstheme="minorHAnsi"/>
        </w:rPr>
        <w:t>Evidence-based practice approach came from the field of medicine. Medical practitioners started relying on evidence to increase their skills for added certainty in their clinical decision-making. Since then, evidence-based practice has spread into other areas such as education and HR.</w:t>
      </w:r>
    </w:p>
    <w:p w14:paraId="09B819E4" w14:textId="6F81B445" w:rsidR="003114C7" w:rsidRPr="003E0D61" w:rsidRDefault="003114C7">
      <w:pPr>
        <w:rPr>
          <w:rFonts w:cstheme="minorHAnsi"/>
          <w:b/>
          <w:bCs/>
          <w:u w:val="single"/>
        </w:rPr>
      </w:pPr>
    </w:p>
    <w:p w14:paraId="69B46B35" w14:textId="77777777" w:rsidR="003E0D61" w:rsidRDefault="003E0D61" w:rsidP="00226465">
      <w:pPr>
        <w:spacing w:after="0"/>
        <w:rPr>
          <w:rFonts w:cstheme="minorHAnsi"/>
        </w:rPr>
      </w:pPr>
    </w:p>
    <w:p w14:paraId="3349E240" w14:textId="41440659" w:rsidR="00226465" w:rsidRPr="00226465" w:rsidRDefault="00226465" w:rsidP="00226465">
      <w:pPr>
        <w:spacing w:after="0"/>
        <w:rPr>
          <w:rFonts w:cstheme="minorHAnsi"/>
        </w:rPr>
      </w:pPr>
      <w:r w:rsidRPr="00226465">
        <w:rPr>
          <w:rFonts w:cstheme="minorHAnsi"/>
        </w:rPr>
        <w:t>There are 4 sources of evidence-based practice, as seen in the slide:</w:t>
      </w:r>
    </w:p>
    <w:p w14:paraId="3479773C" w14:textId="77777777" w:rsidR="00226465" w:rsidRPr="00226465" w:rsidRDefault="00226465" w:rsidP="00226465">
      <w:pPr>
        <w:numPr>
          <w:ilvl w:val="0"/>
          <w:numId w:val="2"/>
        </w:numPr>
        <w:spacing w:after="0"/>
        <w:rPr>
          <w:rFonts w:cstheme="minorHAnsi"/>
        </w:rPr>
      </w:pPr>
      <w:r w:rsidRPr="00226465">
        <w:rPr>
          <w:rFonts w:cstheme="minorHAnsi"/>
        </w:rPr>
        <w:t xml:space="preserve">Scientific Literature - Scientific literature research can help support decisions with all kinds of data such as common factors that cause employees to leave, recruitment methods that predict strong performance and average absence rates in similar industries. This can provide a general idea of the current studies in a particular area. </w:t>
      </w:r>
    </w:p>
    <w:p w14:paraId="32E0054D" w14:textId="77777777" w:rsidR="00226465" w:rsidRPr="00226465" w:rsidRDefault="00226465" w:rsidP="00226465">
      <w:pPr>
        <w:numPr>
          <w:ilvl w:val="0"/>
          <w:numId w:val="2"/>
        </w:numPr>
        <w:spacing w:after="0"/>
        <w:rPr>
          <w:rFonts w:cstheme="minorHAnsi"/>
        </w:rPr>
      </w:pPr>
      <w:r w:rsidRPr="00226465">
        <w:rPr>
          <w:rFonts w:cstheme="minorHAnsi"/>
        </w:rPr>
        <w:t>Organisational Internal Data - Internal data can help you review what approaches or initiatives have worked in the past and what ones have failed. Collating the different types in internal data can help solve problems within the organisation and provide insight into potential solutions. Organisational data may relate to people management metrics, such as sick absence data or employee turnover data.</w:t>
      </w:r>
    </w:p>
    <w:p w14:paraId="57381FE8" w14:textId="77777777" w:rsidR="00226465" w:rsidRPr="00226465" w:rsidRDefault="00226465" w:rsidP="00226465">
      <w:pPr>
        <w:numPr>
          <w:ilvl w:val="0"/>
          <w:numId w:val="2"/>
        </w:numPr>
        <w:spacing w:after="0"/>
        <w:rPr>
          <w:rFonts w:cstheme="minorHAnsi"/>
        </w:rPr>
      </w:pPr>
      <w:r w:rsidRPr="00226465">
        <w:rPr>
          <w:rFonts w:cstheme="minorHAnsi"/>
        </w:rPr>
        <w:t>Stakeholders - Stakeholders can include employees, managers, applicants and customers. Teaming up with stakeholders can have an effect on your conclusion and can improve perception and reception of the decision.</w:t>
      </w:r>
    </w:p>
    <w:p w14:paraId="1F2CE552" w14:textId="77777777" w:rsidR="00226465" w:rsidRPr="00226465" w:rsidRDefault="00226465" w:rsidP="00226465">
      <w:pPr>
        <w:numPr>
          <w:ilvl w:val="0"/>
          <w:numId w:val="2"/>
        </w:numPr>
        <w:spacing w:after="0"/>
        <w:rPr>
          <w:rFonts w:cstheme="minorHAnsi"/>
        </w:rPr>
      </w:pPr>
      <w:r w:rsidRPr="00226465">
        <w:rPr>
          <w:rFonts w:cstheme="minorHAnsi"/>
        </w:rPr>
        <w:t xml:space="preserve">Practitioners - Professional practitioners expertise offer input acquired knowledge of processes or outcomes from historic similar circumstances. </w:t>
      </w:r>
    </w:p>
    <w:p w14:paraId="18662CB2" w14:textId="77777777" w:rsidR="00226465" w:rsidRPr="00226465" w:rsidRDefault="00226465" w:rsidP="00226465">
      <w:pPr>
        <w:spacing w:after="0"/>
        <w:rPr>
          <w:rFonts w:cstheme="minorHAnsi"/>
        </w:rPr>
      </w:pPr>
      <w:r w:rsidRPr="00226465">
        <w:rPr>
          <w:rFonts w:cstheme="minorHAnsi"/>
        </w:rPr>
        <w:t>There are 6 steps to evidence-based decision making:</w:t>
      </w:r>
    </w:p>
    <w:p w14:paraId="22CD5B18" w14:textId="77777777" w:rsidR="00226465" w:rsidRPr="00226465" w:rsidRDefault="00226465" w:rsidP="00226465">
      <w:pPr>
        <w:numPr>
          <w:ilvl w:val="0"/>
          <w:numId w:val="3"/>
        </w:numPr>
        <w:spacing w:after="0"/>
        <w:rPr>
          <w:rFonts w:cstheme="minorHAnsi"/>
        </w:rPr>
      </w:pPr>
      <w:r w:rsidRPr="00226465">
        <w:rPr>
          <w:rFonts w:cstheme="minorHAnsi"/>
        </w:rPr>
        <w:t>Asking</w:t>
      </w:r>
    </w:p>
    <w:p w14:paraId="3B2C6490" w14:textId="77777777" w:rsidR="00226465" w:rsidRPr="00226465" w:rsidRDefault="00226465" w:rsidP="00226465">
      <w:pPr>
        <w:numPr>
          <w:ilvl w:val="0"/>
          <w:numId w:val="3"/>
        </w:numPr>
        <w:spacing w:after="0"/>
        <w:rPr>
          <w:rFonts w:cstheme="minorHAnsi"/>
        </w:rPr>
      </w:pPr>
      <w:r w:rsidRPr="00226465">
        <w:rPr>
          <w:rFonts w:cstheme="minorHAnsi"/>
        </w:rPr>
        <w:t>Acquiring</w:t>
      </w:r>
    </w:p>
    <w:p w14:paraId="311AAEAC" w14:textId="77777777" w:rsidR="00226465" w:rsidRPr="00226465" w:rsidRDefault="00226465" w:rsidP="00226465">
      <w:pPr>
        <w:numPr>
          <w:ilvl w:val="0"/>
          <w:numId w:val="3"/>
        </w:numPr>
        <w:spacing w:after="0"/>
        <w:rPr>
          <w:rFonts w:cstheme="minorHAnsi"/>
        </w:rPr>
      </w:pPr>
      <w:r w:rsidRPr="00226465">
        <w:rPr>
          <w:rFonts w:cstheme="minorHAnsi"/>
        </w:rPr>
        <w:t>Appraising</w:t>
      </w:r>
    </w:p>
    <w:p w14:paraId="67ABC576" w14:textId="77777777" w:rsidR="00226465" w:rsidRPr="00226465" w:rsidRDefault="00226465" w:rsidP="00226465">
      <w:pPr>
        <w:numPr>
          <w:ilvl w:val="0"/>
          <w:numId w:val="3"/>
        </w:numPr>
        <w:spacing w:after="0"/>
        <w:rPr>
          <w:rFonts w:cstheme="minorHAnsi"/>
        </w:rPr>
      </w:pPr>
      <w:r w:rsidRPr="00226465">
        <w:rPr>
          <w:rFonts w:cstheme="minorHAnsi"/>
        </w:rPr>
        <w:t>Aggregating</w:t>
      </w:r>
    </w:p>
    <w:p w14:paraId="43C33CEC" w14:textId="77777777" w:rsidR="00226465" w:rsidRPr="00226465" w:rsidRDefault="00226465" w:rsidP="00226465">
      <w:pPr>
        <w:numPr>
          <w:ilvl w:val="0"/>
          <w:numId w:val="3"/>
        </w:numPr>
        <w:spacing w:after="0"/>
        <w:rPr>
          <w:rFonts w:cstheme="minorHAnsi"/>
        </w:rPr>
      </w:pPr>
      <w:r w:rsidRPr="00226465">
        <w:rPr>
          <w:rFonts w:cstheme="minorHAnsi"/>
        </w:rPr>
        <w:t>Applying</w:t>
      </w:r>
    </w:p>
    <w:p w14:paraId="340509A5" w14:textId="77777777" w:rsidR="00226465" w:rsidRPr="00226465" w:rsidRDefault="00226465" w:rsidP="00226465">
      <w:pPr>
        <w:numPr>
          <w:ilvl w:val="0"/>
          <w:numId w:val="3"/>
        </w:numPr>
        <w:spacing w:after="0"/>
        <w:rPr>
          <w:rFonts w:cstheme="minorHAnsi"/>
        </w:rPr>
      </w:pPr>
      <w:r w:rsidRPr="00226465">
        <w:rPr>
          <w:rFonts w:cstheme="minorHAnsi"/>
        </w:rPr>
        <w:t>Assessing</w:t>
      </w:r>
    </w:p>
    <w:p w14:paraId="404FC599" w14:textId="77777777" w:rsidR="00226465" w:rsidRPr="00226465" w:rsidRDefault="00226465" w:rsidP="00226465">
      <w:pPr>
        <w:spacing w:after="0"/>
        <w:rPr>
          <w:rFonts w:cstheme="minorHAnsi"/>
        </w:rPr>
      </w:pPr>
      <w:r w:rsidRPr="00226465">
        <w:rPr>
          <w:rFonts w:cstheme="minorHAnsi"/>
        </w:rPr>
        <w:lastRenderedPageBreak/>
        <w:t>“Assessing and using a wide variety of data helps us to develop factual knowledge and understanding on a wide range of organisational and people issues. In turn, this helps the people function and the organisation to support:</w:t>
      </w:r>
    </w:p>
    <w:p w14:paraId="4F5C636F" w14:textId="77777777" w:rsidR="00226465" w:rsidRPr="00226465" w:rsidRDefault="00226465" w:rsidP="00226465">
      <w:pPr>
        <w:numPr>
          <w:ilvl w:val="0"/>
          <w:numId w:val="4"/>
        </w:numPr>
        <w:spacing w:after="0"/>
        <w:rPr>
          <w:rFonts w:cstheme="minorHAnsi"/>
        </w:rPr>
      </w:pPr>
      <w:r w:rsidRPr="00226465">
        <w:rPr>
          <w:rFonts w:cstheme="minorHAnsi"/>
        </w:rPr>
        <w:t>a positive organisational culture and to maintain employee satisfaction and engagement;</w:t>
      </w:r>
    </w:p>
    <w:p w14:paraId="265F85E6" w14:textId="77777777" w:rsidR="00226465" w:rsidRPr="00226465" w:rsidRDefault="00226465" w:rsidP="00226465">
      <w:pPr>
        <w:numPr>
          <w:ilvl w:val="0"/>
          <w:numId w:val="4"/>
        </w:numPr>
        <w:spacing w:after="0"/>
        <w:rPr>
          <w:rFonts w:cstheme="minorHAnsi"/>
        </w:rPr>
      </w:pPr>
      <w:r w:rsidRPr="00226465">
        <w:rPr>
          <w:rFonts w:cstheme="minorHAnsi"/>
        </w:rPr>
        <w:t>recognition of issues illuminated through data;</w:t>
      </w:r>
    </w:p>
    <w:p w14:paraId="39A08399" w14:textId="77777777" w:rsidR="00226465" w:rsidRPr="00226465" w:rsidRDefault="00226465" w:rsidP="00226465">
      <w:pPr>
        <w:numPr>
          <w:ilvl w:val="0"/>
          <w:numId w:val="4"/>
        </w:numPr>
        <w:spacing w:after="0"/>
        <w:rPr>
          <w:rFonts w:cstheme="minorHAnsi"/>
        </w:rPr>
      </w:pPr>
      <w:r w:rsidRPr="00226465">
        <w:rPr>
          <w:rFonts w:cstheme="minorHAnsi"/>
        </w:rPr>
        <w:t>employee and organisational performance and rewards levels;</w:t>
      </w:r>
    </w:p>
    <w:p w14:paraId="5DE56384" w14:textId="77777777" w:rsidR="00226465" w:rsidRPr="00226465" w:rsidRDefault="00226465" w:rsidP="00226465">
      <w:pPr>
        <w:numPr>
          <w:ilvl w:val="0"/>
          <w:numId w:val="4"/>
        </w:numPr>
        <w:spacing w:after="0"/>
        <w:rPr>
          <w:rFonts w:cstheme="minorHAnsi"/>
        </w:rPr>
      </w:pPr>
      <w:r w:rsidRPr="00226465">
        <w:rPr>
          <w:rFonts w:cstheme="minorHAnsi"/>
        </w:rPr>
        <w:t>positive internal and external perceptions of the organisation.” (Waite et al., 2021).</w:t>
      </w:r>
    </w:p>
    <w:p w14:paraId="64599AD1" w14:textId="7E961FAC" w:rsidR="00A23287" w:rsidRPr="003E0D61" w:rsidRDefault="00A167BA" w:rsidP="002078B5">
      <w:pPr>
        <w:rPr>
          <w:rFonts w:cstheme="minorHAnsi"/>
          <w:b/>
          <w:bCs/>
          <w:u w:val="single"/>
        </w:rPr>
      </w:pPr>
      <w:r w:rsidRPr="003E0D61">
        <w:rPr>
          <w:rFonts w:cstheme="minorHAnsi"/>
          <w:noProof/>
        </w:rPr>
        <w:drawing>
          <wp:anchor distT="0" distB="0" distL="114300" distR="114300" simplePos="0" relativeHeight="251664384" behindDoc="0" locked="0" layoutInCell="1" allowOverlap="1" wp14:anchorId="6D25F805" wp14:editId="0AE840CC">
            <wp:simplePos x="0" y="0"/>
            <wp:positionH relativeFrom="margin">
              <wp:align>center</wp:align>
            </wp:positionH>
            <wp:positionV relativeFrom="paragraph">
              <wp:posOffset>309603</wp:posOffset>
            </wp:positionV>
            <wp:extent cx="6450965" cy="3641090"/>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450965" cy="3641090"/>
                    </a:xfrm>
                    <a:prstGeom prst="rect">
                      <a:avLst/>
                    </a:prstGeom>
                  </pic:spPr>
                </pic:pic>
              </a:graphicData>
            </a:graphic>
            <wp14:sizeRelH relativeFrom="page">
              <wp14:pctWidth>0</wp14:pctWidth>
            </wp14:sizeRelH>
            <wp14:sizeRelV relativeFrom="page">
              <wp14:pctHeight>0</wp14:pctHeight>
            </wp14:sizeRelV>
          </wp:anchor>
        </w:drawing>
      </w:r>
    </w:p>
    <w:p w14:paraId="604D523E" w14:textId="66023AC9" w:rsidR="00A23287" w:rsidRPr="003E0D61" w:rsidRDefault="00A23287">
      <w:pPr>
        <w:rPr>
          <w:rFonts w:cstheme="minorHAnsi"/>
          <w:b/>
          <w:bCs/>
          <w:u w:val="single"/>
        </w:rPr>
      </w:pPr>
    </w:p>
    <w:p w14:paraId="7453FE9D" w14:textId="77777777" w:rsidR="00A167BA" w:rsidRPr="00A167BA" w:rsidRDefault="00A167BA" w:rsidP="00A167BA">
      <w:pPr>
        <w:spacing w:after="0"/>
        <w:rPr>
          <w:rFonts w:cstheme="minorHAnsi"/>
        </w:rPr>
      </w:pPr>
      <w:r w:rsidRPr="00A167BA">
        <w:rPr>
          <w:rFonts w:cstheme="minorHAnsi"/>
        </w:rPr>
        <w:t>“</w:t>
      </w:r>
      <w:hyperlink r:id="rId9" w:history="1">
        <w:r w:rsidRPr="00A167BA">
          <w:rPr>
            <w:rStyle w:val="Hyperlink"/>
            <w:rFonts w:cstheme="minorHAnsi"/>
            <w:color w:val="auto"/>
            <w:u w:val="none"/>
          </w:rPr>
          <w:t>A Forbes article</w:t>
        </w:r>
      </w:hyperlink>
      <w:r w:rsidRPr="00A167BA">
        <w:rPr>
          <w:rFonts w:cstheme="minorHAnsi"/>
        </w:rPr>
        <w:t> discussing </w:t>
      </w:r>
      <w:hyperlink r:id="rId10" w:history="1">
        <w:r w:rsidRPr="00A167BA">
          <w:rPr>
            <w:rStyle w:val="Hyperlink"/>
            <w:rFonts w:cstheme="minorHAnsi"/>
            <w:color w:val="auto"/>
            <w:u w:val="none"/>
          </w:rPr>
          <w:t>a survey from Deloitte</w:t>
        </w:r>
      </w:hyperlink>
      <w:r w:rsidRPr="00A167BA">
        <w:rPr>
          <w:rFonts w:cstheme="minorHAnsi"/>
        </w:rPr>
        <w:t>, notes that “49 percent of respondents said analytics helps them make better decisions, 16 percent say that it better enables key strategic initiatives, and 10 percent say it helps them improve relationships with both customers and business partners.”  But to take full advantage of data and analytics, you need to know how to get the most value from your data.” (Why Is Data Important for Your Business? | Grow.com, 2020).</w:t>
      </w:r>
    </w:p>
    <w:p w14:paraId="555BD029" w14:textId="77777777" w:rsidR="00A167BA" w:rsidRPr="00A167BA" w:rsidRDefault="00A167BA" w:rsidP="00A167BA">
      <w:pPr>
        <w:spacing w:after="0"/>
        <w:rPr>
          <w:rFonts w:cstheme="minorHAnsi"/>
        </w:rPr>
      </w:pPr>
      <w:r w:rsidRPr="00A167BA">
        <w:rPr>
          <w:rFonts w:cstheme="minorHAnsi"/>
        </w:rPr>
        <w:t xml:space="preserve">Data helps the organisation understand and improve businesses processes and to make better decisions. Data allows organisations to measure the successfulness of a strategy. When strategies are put into place, collating the data will allow the organisation to determine how successful the solution is performing, and determines if the approach needs to be changed. Data will also help the organisation to explain decisions to stakeholders, and that approach has been based on data to back the organisation up. </w:t>
      </w:r>
    </w:p>
    <w:p w14:paraId="3E4D89F0" w14:textId="77777777" w:rsidR="00A167BA" w:rsidRPr="00A167BA" w:rsidRDefault="00A167BA" w:rsidP="00A167BA">
      <w:pPr>
        <w:spacing w:after="0"/>
        <w:rPr>
          <w:rFonts w:cstheme="minorHAnsi"/>
        </w:rPr>
      </w:pPr>
      <w:r w:rsidRPr="00A167BA">
        <w:rPr>
          <w:rFonts w:cstheme="minorHAnsi"/>
        </w:rPr>
        <w:t xml:space="preserve">When looking at data, organisations need to make sure that it is accurate, reliable and timely. If the data isn’t accurate, reliable and timely, the organisations will make bad decisions. The higher the quality of data, the increased chance of the organisation thriving. </w:t>
      </w:r>
    </w:p>
    <w:p w14:paraId="5413299F" w14:textId="77777777" w:rsidR="008364B2" w:rsidRPr="003E0D61" w:rsidRDefault="008364B2" w:rsidP="008364B2">
      <w:pPr>
        <w:spacing w:after="0"/>
        <w:rPr>
          <w:rFonts w:cstheme="minorHAnsi"/>
          <w:b/>
          <w:bCs/>
          <w:u w:val="single"/>
        </w:rPr>
      </w:pPr>
    </w:p>
    <w:p w14:paraId="29A5A1E9" w14:textId="77777777" w:rsidR="008364B2" w:rsidRPr="003E0D61" w:rsidRDefault="008364B2" w:rsidP="008364B2">
      <w:pPr>
        <w:spacing w:after="0"/>
        <w:rPr>
          <w:rFonts w:cstheme="minorHAnsi"/>
          <w:b/>
          <w:bCs/>
          <w:u w:val="single"/>
        </w:rPr>
      </w:pPr>
    </w:p>
    <w:p w14:paraId="2A2F9E1A" w14:textId="77777777" w:rsidR="008364B2" w:rsidRPr="003E0D61" w:rsidRDefault="008364B2" w:rsidP="008364B2">
      <w:pPr>
        <w:spacing w:after="0"/>
        <w:rPr>
          <w:rFonts w:cstheme="minorHAnsi"/>
          <w:b/>
          <w:bCs/>
          <w:u w:val="single"/>
        </w:rPr>
      </w:pPr>
    </w:p>
    <w:p w14:paraId="150079A9" w14:textId="77777777" w:rsidR="008364B2" w:rsidRPr="003E0D61" w:rsidRDefault="008364B2" w:rsidP="008364B2">
      <w:pPr>
        <w:spacing w:after="0"/>
        <w:rPr>
          <w:rFonts w:cstheme="minorHAnsi"/>
          <w:b/>
          <w:bCs/>
          <w:u w:val="single"/>
        </w:rPr>
      </w:pPr>
    </w:p>
    <w:p w14:paraId="3CA753E3" w14:textId="4944602E" w:rsidR="008364B2" w:rsidRPr="003E0D61" w:rsidRDefault="008364B2" w:rsidP="008364B2">
      <w:pPr>
        <w:spacing w:after="0"/>
        <w:rPr>
          <w:rFonts w:cstheme="minorHAnsi"/>
          <w:b/>
          <w:bCs/>
          <w:u w:val="single"/>
        </w:rPr>
      </w:pPr>
      <w:r w:rsidRPr="003E0D61">
        <w:rPr>
          <w:rFonts w:cstheme="minorHAnsi"/>
          <w:noProof/>
        </w:rPr>
        <w:lastRenderedPageBreak/>
        <w:drawing>
          <wp:anchor distT="0" distB="0" distL="114300" distR="114300" simplePos="0" relativeHeight="251665408" behindDoc="0" locked="0" layoutInCell="1" allowOverlap="1" wp14:anchorId="7BB84AE6" wp14:editId="03F6F788">
            <wp:simplePos x="0" y="0"/>
            <wp:positionH relativeFrom="margin">
              <wp:align>center</wp:align>
            </wp:positionH>
            <wp:positionV relativeFrom="paragraph">
              <wp:posOffset>0</wp:posOffset>
            </wp:positionV>
            <wp:extent cx="6504940" cy="368935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04940" cy="3689350"/>
                    </a:xfrm>
                    <a:prstGeom prst="rect">
                      <a:avLst/>
                    </a:prstGeom>
                  </pic:spPr>
                </pic:pic>
              </a:graphicData>
            </a:graphic>
            <wp14:sizeRelH relativeFrom="page">
              <wp14:pctWidth>0</wp14:pctWidth>
            </wp14:sizeRelH>
            <wp14:sizeRelV relativeFrom="page">
              <wp14:pctHeight>0</wp14:pctHeight>
            </wp14:sizeRelV>
          </wp:anchor>
        </w:drawing>
      </w:r>
    </w:p>
    <w:p w14:paraId="09CF8237" w14:textId="5DF9BBDD" w:rsidR="008364B2" w:rsidRPr="008364B2" w:rsidRDefault="008364B2" w:rsidP="008364B2">
      <w:pPr>
        <w:spacing w:after="0"/>
        <w:rPr>
          <w:rFonts w:cstheme="minorHAnsi"/>
        </w:rPr>
      </w:pPr>
      <w:r w:rsidRPr="008364B2">
        <w:rPr>
          <w:rFonts w:cstheme="minorHAnsi"/>
        </w:rPr>
        <w:t>There are 2 types of data; quantitative and qualitative data.</w:t>
      </w:r>
    </w:p>
    <w:p w14:paraId="78C33259" w14:textId="68067263" w:rsidR="008364B2" w:rsidRPr="008364B2" w:rsidRDefault="008364B2" w:rsidP="008364B2">
      <w:pPr>
        <w:spacing w:after="0"/>
        <w:rPr>
          <w:rFonts w:cstheme="minorHAnsi"/>
        </w:rPr>
      </w:pPr>
      <w:r w:rsidRPr="008364B2">
        <w:rPr>
          <w:rFonts w:cstheme="minorHAnsi"/>
        </w:rPr>
        <w:t>Quantitative data is data that can be counted and measured in numerical values. The main way to collect quantitative data is through surveys. In surveys, close-ended questions have to be used. Once the data has been collected and analysed, it can be used to explore patterns. This can help make predictions about the future.</w:t>
      </w:r>
    </w:p>
    <w:p w14:paraId="736F6D46" w14:textId="2C4214A8" w:rsidR="008364B2" w:rsidRPr="008364B2" w:rsidRDefault="008364B2" w:rsidP="008364B2">
      <w:pPr>
        <w:spacing w:after="0"/>
        <w:rPr>
          <w:rFonts w:cstheme="minorHAnsi"/>
        </w:rPr>
      </w:pPr>
      <w:r w:rsidRPr="008364B2">
        <w:rPr>
          <w:rFonts w:cstheme="minorHAnsi"/>
        </w:rPr>
        <w:t xml:space="preserve">“Qualitative data is non-statistical and based on meanings that come from words” (Waite et al., 2021). This type can also be known as categorical data. There are many ways you can collect qualitative data; exit interviews, focus groups, performance appraisals and employee engagement. </w:t>
      </w:r>
    </w:p>
    <w:p w14:paraId="14C01AD5" w14:textId="67D4F668" w:rsidR="008364B2" w:rsidRPr="008364B2" w:rsidRDefault="008364B2" w:rsidP="008364B2">
      <w:pPr>
        <w:spacing w:after="0"/>
        <w:rPr>
          <w:rFonts w:cstheme="minorHAnsi"/>
        </w:rPr>
      </w:pPr>
      <w:r w:rsidRPr="008364B2">
        <w:rPr>
          <w:rFonts w:cstheme="minorHAnsi"/>
        </w:rPr>
        <w:t xml:space="preserve">Gupta (2015) wrote about how Black Hills </w:t>
      </w:r>
      <w:r w:rsidR="00F870AF" w:rsidRPr="008364B2">
        <w:rPr>
          <w:rFonts w:cstheme="minorHAnsi"/>
        </w:rPr>
        <w:t>Corporation</w:t>
      </w:r>
      <w:r w:rsidRPr="008364B2">
        <w:rPr>
          <w:rFonts w:cstheme="minorHAnsi"/>
        </w:rPr>
        <w:t xml:space="preserve"> uses HR analytics to address a turnover catastrophe in the future by calculating how many employees would retire per year, the types of employees needed as replacements and the source of possible new employees.</w:t>
      </w:r>
    </w:p>
    <w:p w14:paraId="1F7A6C65" w14:textId="0B858455" w:rsidR="00A23287" w:rsidRPr="003E0D61" w:rsidRDefault="00A23287" w:rsidP="002078B5">
      <w:pPr>
        <w:rPr>
          <w:rFonts w:cstheme="minorHAnsi"/>
          <w:b/>
          <w:bCs/>
          <w:u w:val="single"/>
        </w:rPr>
      </w:pPr>
    </w:p>
    <w:p w14:paraId="1C3279A3" w14:textId="0F3299E0" w:rsidR="004328E8" w:rsidRPr="003E0D61" w:rsidRDefault="004328E8" w:rsidP="002078B5">
      <w:pPr>
        <w:rPr>
          <w:rFonts w:cstheme="minorHAnsi"/>
          <w:b/>
          <w:bCs/>
          <w:u w:val="single"/>
        </w:rPr>
      </w:pPr>
    </w:p>
    <w:p w14:paraId="440DDEF0" w14:textId="77777777" w:rsidR="00A23287" w:rsidRPr="003E0D61" w:rsidRDefault="00A23287">
      <w:pPr>
        <w:rPr>
          <w:rFonts w:cstheme="minorHAnsi"/>
          <w:b/>
          <w:bCs/>
          <w:u w:val="single"/>
        </w:rPr>
      </w:pPr>
      <w:r w:rsidRPr="003E0D61">
        <w:rPr>
          <w:rFonts w:cstheme="minorHAnsi"/>
          <w:b/>
          <w:bCs/>
          <w:u w:val="single"/>
        </w:rPr>
        <w:br w:type="page"/>
      </w:r>
    </w:p>
    <w:p w14:paraId="10A8F266" w14:textId="77777777" w:rsidR="003E0D61" w:rsidRDefault="003E0D61" w:rsidP="00ED6A5C">
      <w:pPr>
        <w:spacing w:after="0"/>
        <w:rPr>
          <w:rFonts w:cstheme="minorHAnsi"/>
        </w:rPr>
      </w:pPr>
    </w:p>
    <w:p w14:paraId="0296C858" w14:textId="4981B927" w:rsidR="00ED6A5C" w:rsidRPr="00ED6A5C" w:rsidRDefault="00ED6A5C" w:rsidP="00ED6A5C">
      <w:pPr>
        <w:spacing w:after="0"/>
        <w:rPr>
          <w:rFonts w:cstheme="minorHAnsi"/>
        </w:rPr>
      </w:pPr>
      <w:r w:rsidRPr="003E0D61">
        <w:rPr>
          <w:rFonts w:cstheme="minorHAnsi"/>
          <w:noProof/>
        </w:rPr>
        <w:drawing>
          <wp:anchor distT="0" distB="0" distL="114300" distR="114300" simplePos="0" relativeHeight="251666432" behindDoc="0" locked="0" layoutInCell="1" allowOverlap="1" wp14:anchorId="7D4F341F" wp14:editId="3B5374CE">
            <wp:simplePos x="0" y="0"/>
            <wp:positionH relativeFrom="margin">
              <wp:align>center</wp:align>
            </wp:positionH>
            <wp:positionV relativeFrom="paragraph">
              <wp:posOffset>83</wp:posOffset>
            </wp:positionV>
            <wp:extent cx="6638925" cy="3725545"/>
            <wp:effectExtent l="0" t="0" r="952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38925" cy="3725545"/>
                    </a:xfrm>
                    <a:prstGeom prst="rect">
                      <a:avLst/>
                    </a:prstGeom>
                  </pic:spPr>
                </pic:pic>
              </a:graphicData>
            </a:graphic>
            <wp14:sizeRelH relativeFrom="page">
              <wp14:pctWidth>0</wp14:pctWidth>
            </wp14:sizeRelH>
            <wp14:sizeRelV relativeFrom="page">
              <wp14:pctHeight>0</wp14:pctHeight>
            </wp14:sizeRelV>
          </wp:anchor>
        </w:drawing>
      </w:r>
      <w:r w:rsidRPr="00ED6A5C">
        <w:rPr>
          <w:rFonts w:cstheme="minorHAnsi"/>
        </w:rPr>
        <w:t xml:space="preserve">Policies and procedures are a crucial part of any organisation. Policies help in maintaining consistency in decision making. It is important that employees follow policies and procedures. Policies and procedures act as a guide for daily operations, to ensure compliance, streamline internal processes and assist in decision-making. </w:t>
      </w:r>
    </w:p>
    <w:p w14:paraId="6D907B8F" w14:textId="11CF2CA6" w:rsidR="00ED6A5C" w:rsidRPr="003E0D61" w:rsidRDefault="00ED6A5C" w:rsidP="00ED6A5C">
      <w:pPr>
        <w:spacing w:after="0"/>
        <w:rPr>
          <w:rFonts w:cstheme="minorHAnsi"/>
        </w:rPr>
      </w:pPr>
      <w:r w:rsidRPr="00ED6A5C">
        <w:rPr>
          <w:rFonts w:cstheme="minorHAnsi"/>
        </w:rPr>
        <w:t>“When everyone is following policies and procedures, your organization can run smoothly. Management structures and teams operate as they’re meant to. And mistakes and hiccups in processes can be quickly identified and addressed.” (Following policies and procedures, and why it’s important, 2018).</w:t>
      </w:r>
    </w:p>
    <w:p w14:paraId="53F0928D" w14:textId="4F33188B" w:rsidR="00ED6A5C" w:rsidRPr="003E0D61" w:rsidRDefault="00ED6A5C" w:rsidP="00ED6A5C">
      <w:pPr>
        <w:spacing w:after="0"/>
        <w:rPr>
          <w:rFonts w:cstheme="minorHAnsi"/>
        </w:rPr>
      </w:pPr>
    </w:p>
    <w:p w14:paraId="764166DB" w14:textId="141F3E5D" w:rsidR="00ED6A5C" w:rsidRPr="003E0D61" w:rsidRDefault="00EA2479" w:rsidP="00ED6A5C">
      <w:pPr>
        <w:spacing w:after="0"/>
        <w:rPr>
          <w:rFonts w:cstheme="minorHAnsi"/>
        </w:rPr>
      </w:pPr>
      <w:r w:rsidRPr="003E0D61">
        <w:rPr>
          <w:rFonts w:cstheme="minorHAnsi"/>
          <w:noProof/>
        </w:rPr>
        <w:drawing>
          <wp:inline distT="0" distB="0" distL="0" distR="0" wp14:anchorId="46BA3B03" wp14:editId="10D9F1D5">
            <wp:extent cx="5731510" cy="32327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32785"/>
                    </a:xfrm>
                    <a:prstGeom prst="rect">
                      <a:avLst/>
                    </a:prstGeom>
                  </pic:spPr>
                </pic:pic>
              </a:graphicData>
            </a:graphic>
          </wp:inline>
        </w:drawing>
      </w:r>
    </w:p>
    <w:p w14:paraId="2568BBD7" w14:textId="77777777" w:rsidR="00C15E65" w:rsidRPr="00C15E65" w:rsidRDefault="00C15E65" w:rsidP="00C15E65">
      <w:pPr>
        <w:spacing w:after="0"/>
        <w:rPr>
          <w:rFonts w:cstheme="minorHAnsi"/>
        </w:rPr>
      </w:pPr>
      <w:r w:rsidRPr="00C15E65">
        <w:rPr>
          <w:rFonts w:cstheme="minorHAnsi"/>
        </w:rPr>
        <w:lastRenderedPageBreak/>
        <w:t xml:space="preserve">In all organisations, people professionals work with both internal and external customers. </w:t>
      </w:r>
    </w:p>
    <w:p w14:paraId="3DFADD81" w14:textId="77777777" w:rsidR="00C15E65" w:rsidRPr="00C15E65" w:rsidRDefault="00C15E65" w:rsidP="00C15E65">
      <w:pPr>
        <w:spacing w:after="0"/>
        <w:rPr>
          <w:rFonts w:cstheme="minorHAnsi"/>
        </w:rPr>
      </w:pPr>
      <w:r w:rsidRPr="00C15E65">
        <w:rPr>
          <w:rFonts w:cstheme="minorHAnsi"/>
        </w:rPr>
        <w:t xml:space="preserve">Internal customers are within an organisation. This could be through employment or partners. Internal customers provides the product or service to the external customers and are important in playing a part in the success of an organisation. Shareholders and stakeholders are also seen as internal customers. </w:t>
      </w:r>
    </w:p>
    <w:p w14:paraId="5C1072C1" w14:textId="77777777" w:rsidR="00C15E65" w:rsidRPr="00C15E65" w:rsidRDefault="00C15E65" w:rsidP="00C15E65">
      <w:pPr>
        <w:spacing w:after="0"/>
        <w:rPr>
          <w:rFonts w:cstheme="minorHAnsi"/>
        </w:rPr>
      </w:pPr>
      <w:r w:rsidRPr="00C15E65">
        <w:rPr>
          <w:rFonts w:cstheme="minorHAnsi"/>
        </w:rPr>
        <w:t>When the needs of the internal customers are being met, such as systems, then this has an impact on external customers. If systems and processes are out of date then this will have a negative impact on the internal customers which affects the experience of the external customers who seek assistance from the organisation.</w:t>
      </w:r>
    </w:p>
    <w:p w14:paraId="7E0F4E98" w14:textId="77777777" w:rsidR="00C15E65" w:rsidRPr="00C15E65" w:rsidRDefault="00C15E65" w:rsidP="00C15E65">
      <w:pPr>
        <w:spacing w:after="0"/>
        <w:rPr>
          <w:rFonts w:cstheme="minorHAnsi"/>
        </w:rPr>
      </w:pPr>
      <w:r w:rsidRPr="00C15E65">
        <w:rPr>
          <w:rFonts w:cstheme="minorHAnsi"/>
        </w:rPr>
        <w:t xml:space="preserve">External customers are the people who use and pay for the services or products that an organisation provides. External customers could be someone who has purchased a product once or someone who keeps purchasing on a long-term basis. </w:t>
      </w:r>
    </w:p>
    <w:p w14:paraId="2C47206B" w14:textId="0E9C6530" w:rsidR="00C15E65" w:rsidRPr="00C15E65" w:rsidRDefault="00693B91" w:rsidP="00C15E65">
      <w:pPr>
        <w:spacing w:after="0"/>
        <w:rPr>
          <w:rFonts w:cstheme="minorHAnsi"/>
        </w:rPr>
      </w:pPr>
      <w:r w:rsidRPr="003E0D61">
        <w:rPr>
          <w:rFonts w:cstheme="minorHAnsi"/>
          <w:noProof/>
        </w:rPr>
        <w:drawing>
          <wp:anchor distT="0" distB="0" distL="114300" distR="114300" simplePos="0" relativeHeight="251667456" behindDoc="0" locked="0" layoutInCell="1" allowOverlap="1" wp14:anchorId="5E34EB9F" wp14:editId="20E2AD38">
            <wp:simplePos x="0" y="0"/>
            <wp:positionH relativeFrom="margin">
              <wp:align>center</wp:align>
            </wp:positionH>
            <wp:positionV relativeFrom="paragraph">
              <wp:posOffset>631328</wp:posOffset>
            </wp:positionV>
            <wp:extent cx="6391307" cy="3609892"/>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91307" cy="3609892"/>
                    </a:xfrm>
                    <a:prstGeom prst="rect">
                      <a:avLst/>
                    </a:prstGeom>
                  </pic:spPr>
                </pic:pic>
              </a:graphicData>
            </a:graphic>
            <wp14:sizeRelH relativeFrom="page">
              <wp14:pctWidth>0</wp14:pctWidth>
            </wp14:sizeRelH>
            <wp14:sizeRelV relativeFrom="page">
              <wp14:pctHeight>0</wp14:pctHeight>
            </wp14:sizeRelV>
          </wp:anchor>
        </w:drawing>
      </w:r>
      <w:r w:rsidR="00C15E65" w:rsidRPr="00C15E65">
        <w:rPr>
          <w:rFonts w:cstheme="minorHAnsi"/>
        </w:rPr>
        <w:t>“A stakeholder is a party that has an interest in a company and can either affect or be affected by the business. The primary stakeholders in a typical corporation are its investors, employees, customers, and suppliers.” (Fernando, 2021).</w:t>
      </w:r>
    </w:p>
    <w:p w14:paraId="3060600F" w14:textId="77777777" w:rsidR="00D23F22" w:rsidRPr="00D23F22" w:rsidRDefault="00D23F22" w:rsidP="00D23F22">
      <w:pPr>
        <w:spacing w:after="0"/>
        <w:rPr>
          <w:rFonts w:cstheme="minorHAnsi"/>
        </w:rPr>
      </w:pPr>
      <w:r w:rsidRPr="00D23F22">
        <w:rPr>
          <w:rFonts w:cstheme="minorHAnsi"/>
        </w:rPr>
        <w:t xml:space="preserve">According to Dijk, Human Resources exists to reduce personnel costs and to keep people happy and productive. The purpose of people management is to create value for the organisation and employees. </w:t>
      </w:r>
    </w:p>
    <w:p w14:paraId="7C51F28B" w14:textId="77777777" w:rsidR="00D23F22" w:rsidRPr="00D23F22" w:rsidRDefault="00D23F22" w:rsidP="00D23F22">
      <w:pPr>
        <w:spacing w:after="0"/>
        <w:rPr>
          <w:rFonts w:cstheme="minorHAnsi"/>
        </w:rPr>
      </w:pPr>
      <w:r w:rsidRPr="00D23F22">
        <w:rPr>
          <w:rFonts w:cstheme="minorHAnsi"/>
        </w:rPr>
        <w:t xml:space="preserve">Creation of value could contribute to business growth, having a return on investment, customer satisfaction and maximizing benefits with an acceptable price. </w:t>
      </w:r>
    </w:p>
    <w:p w14:paraId="6ED2A931" w14:textId="77777777" w:rsidR="00D23F22" w:rsidRPr="00D23F22" w:rsidRDefault="00D23F22" w:rsidP="00D23F22">
      <w:pPr>
        <w:spacing w:after="0"/>
        <w:rPr>
          <w:rFonts w:cstheme="minorHAnsi"/>
        </w:rPr>
      </w:pPr>
      <w:r w:rsidRPr="00D23F22">
        <w:rPr>
          <w:rFonts w:cstheme="minorHAnsi"/>
        </w:rPr>
        <w:t xml:space="preserve">In relation to employees within an organisation, the creation of value is often created by income and development, as well as a sense of purpose. </w:t>
      </w:r>
    </w:p>
    <w:p w14:paraId="22B1AFD1" w14:textId="77777777" w:rsidR="00D23F22" w:rsidRPr="00D23F22" w:rsidRDefault="00D23F22" w:rsidP="00D23F22">
      <w:pPr>
        <w:spacing w:after="0"/>
        <w:rPr>
          <w:rFonts w:cstheme="minorHAnsi"/>
        </w:rPr>
      </w:pPr>
      <w:r w:rsidRPr="00D23F22">
        <w:rPr>
          <w:rFonts w:cstheme="minorHAnsi"/>
        </w:rPr>
        <w:t>“Creating value for customers means providing useful products and services that customers consider worthy of their time, energy and money.” (Indeed Editorial Team, 2021).</w:t>
      </w:r>
    </w:p>
    <w:p w14:paraId="0DA8424A" w14:textId="7AB582C3" w:rsidR="00EA2479" w:rsidRPr="003E0D61" w:rsidRDefault="00EA2479" w:rsidP="00ED6A5C">
      <w:pPr>
        <w:spacing w:after="0"/>
        <w:rPr>
          <w:rFonts w:cstheme="minorHAnsi"/>
        </w:rPr>
      </w:pPr>
    </w:p>
    <w:p w14:paraId="20667511" w14:textId="15A5DB54" w:rsidR="00D23F22" w:rsidRPr="003E0D61" w:rsidRDefault="00D23F22" w:rsidP="00ED6A5C">
      <w:pPr>
        <w:spacing w:after="0"/>
        <w:rPr>
          <w:rFonts w:cstheme="minorHAnsi"/>
        </w:rPr>
      </w:pPr>
    </w:p>
    <w:p w14:paraId="16DBEA4D" w14:textId="0DB85C13" w:rsidR="00D23F22" w:rsidRPr="003E0D61" w:rsidRDefault="00D23F22" w:rsidP="00ED6A5C">
      <w:pPr>
        <w:spacing w:after="0"/>
        <w:rPr>
          <w:rFonts w:cstheme="minorHAnsi"/>
        </w:rPr>
      </w:pPr>
    </w:p>
    <w:p w14:paraId="74B0FF0B" w14:textId="45354766" w:rsidR="00D23F22" w:rsidRPr="003E0D61" w:rsidRDefault="00D23F22" w:rsidP="00ED6A5C">
      <w:pPr>
        <w:spacing w:after="0"/>
        <w:rPr>
          <w:rFonts w:cstheme="minorHAnsi"/>
        </w:rPr>
      </w:pPr>
    </w:p>
    <w:p w14:paraId="2800FE61" w14:textId="492B9F69" w:rsidR="00D23F22" w:rsidRPr="003E0D61" w:rsidRDefault="00D23F22" w:rsidP="00ED6A5C">
      <w:pPr>
        <w:spacing w:after="0"/>
        <w:rPr>
          <w:rFonts w:cstheme="minorHAnsi"/>
        </w:rPr>
      </w:pPr>
    </w:p>
    <w:p w14:paraId="298F669F" w14:textId="551C8395" w:rsidR="00D23F22" w:rsidRPr="00ED6A5C" w:rsidRDefault="00D23F22" w:rsidP="00ED6A5C">
      <w:pPr>
        <w:spacing w:after="0"/>
        <w:rPr>
          <w:rFonts w:cstheme="minorHAnsi"/>
        </w:rPr>
      </w:pPr>
      <w:r w:rsidRPr="003E0D61">
        <w:rPr>
          <w:rFonts w:cstheme="minorHAnsi"/>
          <w:noProof/>
        </w:rPr>
        <w:drawing>
          <wp:anchor distT="0" distB="0" distL="114300" distR="114300" simplePos="0" relativeHeight="251668480" behindDoc="0" locked="0" layoutInCell="1" allowOverlap="1" wp14:anchorId="1C4736BA" wp14:editId="780CEC75">
            <wp:simplePos x="0" y="0"/>
            <wp:positionH relativeFrom="margin">
              <wp:align>center</wp:align>
            </wp:positionH>
            <wp:positionV relativeFrom="paragraph">
              <wp:posOffset>0</wp:posOffset>
            </wp:positionV>
            <wp:extent cx="6550025" cy="3681095"/>
            <wp:effectExtent l="0" t="0" r="317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550025" cy="3681095"/>
                    </a:xfrm>
                    <a:prstGeom prst="rect">
                      <a:avLst/>
                    </a:prstGeom>
                  </pic:spPr>
                </pic:pic>
              </a:graphicData>
            </a:graphic>
            <wp14:sizeRelH relativeFrom="page">
              <wp14:pctWidth>0</wp14:pctWidth>
            </wp14:sizeRelH>
            <wp14:sizeRelV relativeFrom="page">
              <wp14:pctHeight>0</wp14:pctHeight>
            </wp14:sizeRelV>
          </wp:anchor>
        </w:drawing>
      </w:r>
    </w:p>
    <w:p w14:paraId="5B0C56DA" w14:textId="2D7225AB" w:rsidR="00102854" w:rsidRPr="00102854" w:rsidRDefault="00102854" w:rsidP="00102854">
      <w:pPr>
        <w:spacing w:after="0"/>
        <w:rPr>
          <w:rFonts w:cstheme="minorHAnsi"/>
        </w:rPr>
      </w:pPr>
      <w:r w:rsidRPr="00102854">
        <w:rPr>
          <w:rFonts w:cstheme="minorHAnsi"/>
        </w:rPr>
        <w:t xml:space="preserve">People professionals play an essential role in any organisation. They influence both internal and external customers. </w:t>
      </w:r>
    </w:p>
    <w:p w14:paraId="036CC583" w14:textId="45D2053D" w:rsidR="00102854" w:rsidRPr="00102854" w:rsidRDefault="00102854" w:rsidP="00102854">
      <w:pPr>
        <w:spacing w:after="0"/>
        <w:rPr>
          <w:rFonts w:cstheme="minorHAnsi"/>
        </w:rPr>
      </w:pPr>
      <w:r w:rsidRPr="00102854">
        <w:rPr>
          <w:rFonts w:cstheme="minorHAnsi"/>
        </w:rPr>
        <w:t xml:space="preserve">In relation to internal, people professionals benefit employees by promoting an open culture. Employees create an open culture by being approachable and are open to suggestions from all employees. </w:t>
      </w:r>
    </w:p>
    <w:p w14:paraId="7EE1DDAC" w14:textId="12812B9C" w:rsidR="00102854" w:rsidRPr="00102854" w:rsidRDefault="00102854" w:rsidP="00102854">
      <w:pPr>
        <w:spacing w:after="0"/>
        <w:rPr>
          <w:rFonts w:cstheme="minorHAnsi"/>
        </w:rPr>
      </w:pPr>
      <w:r w:rsidRPr="00102854">
        <w:rPr>
          <w:rFonts w:cstheme="minorHAnsi"/>
        </w:rPr>
        <w:t>“When HR organizes a charity benefit, for example, or a program by which employees can donate unused sick or vacation days for employees in need, it also helps employees feel that they are valued and promotes a team spirit throughout the company.” (Norman, n.d.).</w:t>
      </w:r>
    </w:p>
    <w:p w14:paraId="3A01FA55" w14:textId="1DE6D9E2" w:rsidR="00102854" w:rsidRPr="00102854" w:rsidRDefault="00102854" w:rsidP="00102854">
      <w:pPr>
        <w:spacing w:after="0"/>
        <w:rPr>
          <w:rFonts w:cstheme="minorHAnsi"/>
        </w:rPr>
      </w:pPr>
      <w:r w:rsidRPr="00102854">
        <w:rPr>
          <w:rFonts w:cstheme="minorHAnsi"/>
        </w:rPr>
        <w:t>People professionals also benefit others by showing commitment or trust within an organisation by role modelling and demonstrating a high standard of integrity in their behaviour and in their work.</w:t>
      </w:r>
    </w:p>
    <w:p w14:paraId="08F7F4F3" w14:textId="36A520F5" w:rsidR="00A23287" w:rsidRPr="003E0D61" w:rsidRDefault="00A23287" w:rsidP="002078B5">
      <w:pPr>
        <w:rPr>
          <w:rFonts w:cstheme="minorHAnsi"/>
          <w:b/>
          <w:bCs/>
          <w:u w:val="single"/>
        </w:rPr>
      </w:pPr>
    </w:p>
    <w:p w14:paraId="6EAE5D6D" w14:textId="77777777" w:rsidR="00A23287" w:rsidRPr="003E0D61" w:rsidRDefault="00A23287">
      <w:pPr>
        <w:rPr>
          <w:rFonts w:cstheme="minorHAnsi"/>
          <w:b/>
          <w:bCs/>
          <w:u w:val="single"/>
        </w:rPr>
      </w:pPr>
      <w:r w:rsidRPr="003E0D61">
        <w:rPr>
          <w:rFonts w:cstheme="minorHAnsi"/>
          <w:b/>
          <w:bCs/>
          <w:u w:val="single"/>
        </w:rPr>
        <w:br w:type="page"/>
      </w:r>
    </w:p>
    <w:p w14:paraId="402889B5" w14:textId="633E2285" w:rsidR="006B39B1" w:rsidRPr="006B39B1" w:rsidRDefault="006B39B1" w:rsidP="006B39B1">
      <w:pPr>
        <w:spacing w:after="0"/>
        <w:rPr>
          <w:rFonts w:cstheme="minorHAnsi"/>
        </w:rPr>
      </w:pPr>
      <w:r w:rsidRPr="003E0D61">
        <w:rPr>
          <w:rFonts w:cstheme="minorHAnsi"/>
          <w:noProof/>
        </w:rPr>
        <w:lastRenderedPageBreak/>
        <w:drawing>
          <wp:anchor distT="0" distB="0" distL="114300" distR="114300" simplePos="0" relativeHeight="251669504" behindDoc="0" locked="0" layoutInCell="1" allowOverlap="1" wp14:anchorId="0A75FFF2" wp14:editId="014B33A2">
            <wp:simplePos x="0" y="0"/>
            <wp:positionH relativeFrom="margin">
              <wp:align>center</wp:align>
            </wp:positionH>
            <wp:positionV relativeFrom="paragraph">
              <wp:posOffset>552</wp:posOffset>
            </wp:positionV>
            <wp:extent cx="6171217" cy="3498573"/>
            <wp:effectExtent l="0" t="0" r="127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171217" cy="3498573"/>
                    </a:xfrm>
                    <a:prstGeom prst="rect">
                      <a:avLst/>
                    </a:prstGeom>
                  </pic:spPr>
                </pic:pic>
              </a:graphicData>
            </a:graphic>
            <wp14:sizeRelH relativeFrom="page">
              <wp14:pctWidth>0</wp14:pctWidth>
            </wp14:sizeRelH>
            <wp14:sizeRelV relativeFrom="page">
              <wp14:pctHeight>0</wp14:pctHeight>
            </wp14:sizeRelV>
          </wp:anchor>
        </w:drawing>
      </w:r>
      <w:r w:rsidRPr="006B39B1">
        <w:rPr>
          <w:rFonts w:cstheme="minorHAnsi"/>
        </w:rPr>
        <w:t xml:space="preserve">Within an organisation, there is two ways of communicating; internal and external. Some of the social media platforms that are used in the workplace are Facebook, Twitter, Instagram, YouTube and LinkedIn. </w:t>
      </w:r>
    </w:p>
    <w:p w14:paraId="6E37A8F0" w14:textId="04961DE2" w:rsidR="006B39B1" w:rsidRPr="006B39B1" w:rsidRDefault="006B39B1" w:rsidP="006B39B1">
      <w:pPr>
        <w:spacing w:after="0"/>
        <w:rPr>
          <w:rFonts w:cstheme="minorHAnsi"/>
        </w:rPr>
      </w:pPr>
      <w:r w:rsidRPr="006B39B1">
        <w:rPr>
          <w:rFonts w:cstheme="minorHAnsi"/>
        </w:rPr>
        <w:t xml:space="preserve">Internal communication happens amongst the organisation and employees. Internal communication also happens between employees and management. </w:t>
      </w:r>
    </w:p>
    <w:p w14:paraId="6858E443" w14:textId="516C29D1" w:rsidR="006B39B1" w:rsidRPr="006B39B1" w:rsidRDefault="006B39B1" w:rsidP="006B39B1">
      <w:pPr>
        <w:spacing w:after="0"/>
        <w:rPr>
          <w:rFonts w:cstheme="minorHAnsi"/>
        </w:rPr>
      </w:pPr>
      <w:r w:rsidRPr="006B39B1">
        <w:rPr>
          <w:rFonts w:cstheme="minorHAnsi"/>
        </w:rPr>
        <w:t>External communication happens between the organisation and the customers.</w:t>
      </w:r>
    </w:p>
    <w:p w14:paraId="3539DFE4" w14:textId="77777777" w:rsidR="006B39B1" w:rsidRPr="006B39B1" w:rsidRDefault="006B39B1" w:rsidP="006B39B1">
      <w:pPr>
        <w:spacing w:after="0"/>
        <w:rPr>
          <w:rFonts w:cstheme="minorHAnsi"/>
        </w:rPr>
      </w:pPr>
      <w:r w:rsidRPr="006B39B1">
        <w:rPr>
          <w:rFonts w:cstheme="minorHAnsi"/>
        </w:rPr>
        <w:t>Some of the positive impacts of using social media are:</w:t>
      </w:r>
    </w:p>
    <w:p w14:paraId="084F09D8" w14:textId="27607828" w:rsidR="006B39B1" w:rsidRPr="006B39B1" w:rsidRDefault="006B39B1" w:rsidP="006B39B1">
      <w:pPr>
        <w:numPr>
          <w:ilvl w:val="0"/>
          <w:numId w:val="5"/>
        </w:numPr>
        <w:spacing w:after="0"/>
        <w:rPr>
          <w:rFonts w:cstheme="minorHAnsi"/>
        </w:rPr>
      </w:pPr>
      <w:r w:rsidRPr="006B39B1">
        <w:rPr>
          <w:rFonts w:cstheme="minorHAnsi"/>
        </w:rPr>
        <w:t>Employees can connect with colleagues to discuss ideas and ask questions.</w:t>
      </w:r>
    </w:p>
    <w:p w14:paraId="5B39590B" w14:textId="72D42FFD" w:rsidR="006B39B1" w:rsidRPr="006B39B1" w:rsidRDefault="006B39B1" w:rsidP="006B39B1">
      <w:pPr>
        <w:numPr>
          <w:ilvl w:val="0"/>
          <w:numId w:val="5"/>
        </w:numPr>
        <w:spacing w:after="0"/>
        <w:rPr>
          <w:rFonts w:cstheme="minorHAnsi"/>
        </w:rPr>
      </w:pPr>
      <w:r w:rsidRPr="006B39B1">
        <w:rPr>
          <w:rFonts w:cstheme="minorHAnsi"/>
        </w:rPr>
        <w:t xml:space="preserve">Improves business reputation and clientele. </w:t>
      </w:r>
    </w:p>
    <w:p w14:paraId="4219CFF7" w14:textId="1B8F1811" w:rsidR="006B39B1" w:rsidRPr="006B39B1" w:rsidRDefault="006B39B1" w:rsidP="006B39B1">
      <w:pPr>
        <w:numPr>
          <w:ilvl w:val="0"/>
          <w:numId w:val="5"/>
        </w:numPr>
        <w:spacing w:after="0"/>
        <w:rPr>
          <w:rFonts w:cstheme="minorHAnsi"/>
        </w:rPr>
      </w:pPr>
      <w:r w:rsidRPr="006B39B1">
        <w:rPr>
          <w:rFonts w:cstheme="minorHAnsi"/>
        </w:rPr>
        <w:t>Promotes diversity and inclusion.</w:t>
      </w:r>
    </w:p>
    <w:p w14:paraId="734C0FD1" w14:textId="54F38BA9" w:rsidR="006B39B1" w:rsidRPr="006B39B1" w:rsidRDefault="006B39B1" w:rsidP="006B39B1">
      <w:pPr>
        <w:spacing w:after="0"/>
        <w:rPr>
          <w:rFonts w:cstheme="minorHAnsi"/>
        </w:rPr>
      </w:pPr>
      <w:r w:rsidRPr="006B39B1">
        <w:rPr>
          <w:rFonts w:cstheme="minorHAnsi"/>
        </w:rPr>
        <w:t>Although there are many positives from using social media, there is also the risk, which include:</w:t>
      </w:r>
    </w:p>
    <w:p w14:paraId="4807C401" w14:textId="4011A32A" w:rsidR="006B39B1" w:rsidRPr="006B39B1" w:rsidRDefault="006B39B1" w:rsidP="006B39B1">
      <w:pPr>
        <w:numPr>
          <w:ilvl w:val="0"/>
          <w:numId w:val="6"/>
        </w:numPr>
        <w:spacing w:after="0"/>
        <w:rPr>
          <w:rFonts w:cstheme="minorHAnsi"/>
        </w:rPr>
      </w:pPr>
      <w:r w:rsidRPr="006B39B1">
        <w:rPr>
          <w:rFonts w:cstheme="minorHAnsi"/>
        </w:rPr>
        <w:t>Potential outlet for cyberbullying via negative comments from employees or customers.</w:t>
      </w:r>
    </w:p>
    <w:p w14:paraId="6CF73699" w14:textId="64958677" w:rsidR="006B39B1" w:rsidRPr="006B39B1" w:rsidRDefault="006B39B1" w:rsidP="006B39B1">
      <w:pPr>
        <w:numPr>
          <w:ilvl w:val="0"/>
          <w:numId w:val="6"/>
        </w:numPr>
        <w:spacing w:after="0"/>
        <w:rPr>
          <w:rFonts w:cstheme="minorHAnsi"/>
        </w:rPr>
      </w:pPr>
      <w:r w:rsidRPr="006B39B1">
        <w:rPr>
          <w:rFonts w:cstheme="minorHAnsi"/>
        </w:rPr>
        <w:t>Legal consequences if employees use social media incorrectly.</w:t>
      </w:r>
    </w:p>
    <w:p w14:paraId="62F67C6C" w14:textId="77777777" w:rsidR="006B39B1" w:rsidRPr="006B39B1" w:rsidRDefault="006B39B1" w:rsidP="006B39B1">
      <w:pPr>
        <w:numPr>
          <w:ilvl w:val="0"/>
          <w:numId w:val="6"/>
        </w:numPr>
        <w:spacing w:after="0"/>
        <w:rPr>
          <w:rFonts w:cstheme="minorHAnsi"/>
        </w:rPr>
      </w:pPr>
      <w:r w:rsidRPr="006B39B1">
        <w:rPr>
          <w:rFonts w:cstheme="minorHAnsi"/>
        </w:rPr>
        <w:t>Possibility of hackers committing fraud and launching viruses.</w:t>
      </w:r>
    </w:p>
    <w:p w14:paraId="25102A5B" w14:textId="77777777" w:rsidR="006B39B1" w:rsidRPr="006B39B1" w:rsidRDefault="006B39B1" w:rsidP="006B39B1">
      <w:pPr>
        <w:rPr>
          <w:rFonts w:cstheme="minorHAnsi"/>
          <w:b/>
          <w:bCs/>
          <w:u w:val="single"/>
        </w:rPr>
      </w:pPr>
      <w:r w:rsidRPr="006B39B1">
        <w:rPr>
          <w:rFonts w:cstheme="minorHAnsi"/>
          <w:b/>
          <w:bCs/>
          <w:u w:val="single"/>
        </w:rPr>
        <w:t xml:space="preserve"> </w:t>
      </w:r>
    </w:p>
    <w:p w14:paraId="51B9EA66" w14:textId="542F4D28" w:rsidR="00A23287" w:rsidRPr="003E0D61" w:rsidRDefault="00A23287" w:rsidP="002078B5">
      <w:pPr>
        <w:rPr>
          <w:rFonts w:cstheme="minorHAnsi"/>
          <w:b/>
          <w:bCs/>
          <w:u w:val="single"/>
        </w:rPr>
      </w:pPr>
    </w:p>
    <w:p w14:paraId="23006472" w14:textId="77777777" w:rsidR="00A23287" w:rsidRPr="003E0D61" w:rsidRDefault="00A23287">
      <w:pPr>
        <w:rPr>
          <w:rFonts w:cstheme="minorHAnsi"/>
          <w:b/>
          <w:bCs/>
          <w:u w:val="single"/>
        </w:rPr>
      </w:pPr>
      <w:r w:rsidRPr="003E0D61">
        <w:rPr>
          <w:rFonts w:cstheme="minorHAnsi"/>
          <w:b/>
          <w:bCs/>
          <w:u w:val="single"/>
        </w:rPr>
        <w:br w:type="page"/>
      </w:r>
    </w:p>
    <w:p w14:paraId="25EFF153" w14:textId="315BDF23" w:rsidR="00C15C43" w:rsidRPr="003E0D61" w:rsidRDefault="00C15C43" w:rsidP="002078B5">
      <w:pPr>
        <w:rPr>
          <w:rFonts w:cstheme="minorHAnsi"/>
          <w:b/>
          <w:bCs/>
          <w:u w:val="single"/>
        </w:rPr>
      </w:pPr>
      <w:r w:rsidRPr="003E0D61">
        <w:rPr>
          <w:rFonts w:cstheme="minorHAnsi"/>
          <w:noProof/>
        </w:rPr>
        <w:lastRenderedPageBreak/>
        <w:drawing>
          <wp:anchor distT="0" distB="0" distL="114300" distR="114300" simplePos="0" relativeHeight="251670528" behindDoc="0" locked="0" layoutInCell="1" allowOverlap="1" wp14:anchorId="513AF5E8" wp14:editId="2BC971F7">
            <wp:simplePos x="0" y="0"/>
            <wp:positionH relativeFrom="margin">
              <wp:posOffset>-549993</wp:posOffset>
            </wp:positionH>
            <wp:positionV relativeFrom="paragraph">
              <wp:posOffset>414</wp:posOffset>
            </wp:positionV>
            <wp:extent cx="6792595" cy="3840480"/>
            <wp:effectExtent l="0" t="0" r="8255"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792595" cy="3840480"/>
                    </a:xfrm>
                    <a:prstGeom prst="rect">
                      <a:avLst/>
                    </a:prstGeom>
                  </pic:spPr>
                </pic:pic>
              </a:graphicData>
            </a:graphic>
            <wp14:sizeRelH relativeFrom="page">
              <wp14:pctWidth>0</wp14:pctWidth>
            </wp14:sizeRelH>
            <wp14:sizeRelV relativeFrom="page">
              <wp14:pctHeight>0</wp14:pctHeight>
            </wp14:sizeRelV>
          </wp:anchor>
        </w:drawing>
      </w:r>
    </w:p>
    <w:p w14:paraId="35065856" w14:textId="77777777" w:rsidR="00DE75F9" w:rsidRPr="00DE75F9" w:rsidRDefault="00DE75F9" w:rsidP="00DE75F9">
      <w:pPr>
        <w:spacing w:after="0"/>
        <w:rPr>
          <w:rFonts w:cstheme="minorHAnsi"/>
        </w:rPr>
      </w:pPr>
      <w:r w:rsidRPr="00DE75F9">
        <w:rPr>
          <w:rFonts w:cstheme="minorHAnsi"/>
        </w:rPr>
        <w:t xml:space="preserve">Customers are the priority of customer-focused organisations. Creating relationships, supporting customers and increasing customer satisfaction are all part of the process of becoming a customer-focused organisation. </w:t>
      </w:r>
    </w:p>
    <w:p w14:paraId="4F77AD83" w14:textId="77777777" w:rsidR="00DE75F9" w:rsidRPr="00DE75F9" w:rsidRDefault="00DE75F9" w:rsidP="00DE75F9">
      <w:pPr>
        <w:spacing w:after="0"/>
        <w:rPr>
          <w:rFonts w:cstheme="minorHAnsi"/>
        </w:rPr>
      </w:pPr>
      <w:r w:rsidRPr="00DE75F9">
        <w:rPr>
          <w:rFonts w:cstheme="minorHAnsi"/>
        </w:rPr>
        <w:t>“To be truly customer-focused, businesses need to work toward building a complete 360-degree customer view. In doing so, they will be able to deliver unified cross-channel customer engagement.” (Afshar, 2021).</w:t>
      </w:r>
    </w:p>
    <w:p w14:paraId="3D48655D" w14:textId="77777777" w:rsidR="00DE75F9" w:rsidRPr="00DE75F9" w:rsidRDefault="00DE75F9" w:rsidP="00DE75F9">
      <w:pPr>
        <w:spacing w:after="0"/>
        <w:rPr>
          <w:rFonts w:cstheme="minorHAnsi"/>
        </w:rPr>
      </w:pPr>
      <w:r w:rsidRPr="00DE75F9">
        <w:rPr>
          <w:rFonts w:cstheme="minorHAnsi"/>
        </w:rPr>
        <w:t>Some ways of achieving and maintain a positive customer-focused attitude are:</w:t>
      </w:r>
    </w:p>
    <w:p w14:paraId="1D657468" w14:textId="77777777" w:rsidR="00DE75F9" w:rsidRPr="00DE75F9" w:rsidRDefault="00DE75F9" w:rsidP="00DE75F9">
      <w:pPr>
        <w:numPr>
          <w:ilvl w:val="0"/>
          <w:numId w:val="7"/>
        </w:numPr>
        <w:spacing w:after="0"/>
        <w:rPr>
          <w:rFonts w:cstheme="minorHAnsi"/>
        </w:rPr>
      </w:pPr>
      <w:r w:rsidRPr="00DE75F9">
        <w:rPr>
          <w:rFonts w:cstheme="minorHAnsi"/>
        </w:rPr>
        <w:t>Listen to the customers.</w:t>
      </w:r>
    </w:p>
    <w:p w14:paraId="582F8888" w14:textId="77777777" w:rsidR="00DE75F9" w:rsidRPr="00DE75F9" w:rsidRDefault="00DE75F9" w:rsidP="00DE75F9">
      <w:pPr>
        <w:numPr>
          <w:ilvl w:val="0"/>
          <w:numId w:val="7"/>
        </w:numPr>
        <w:spacing w:after="0"/>
        <w:rPr>
          <w:rFonts w:cstheme="minorHAnsi"/>
        </w:rPr>
      </w:pPr>
      <w:r w:rsidRPr="00DE75F9">
        <w:rPr>
          <w:rFonts w:cstheme="minorHAnsi"/>
        </w:rPr>
        <w:t xml:space="preserve">Supporting the employees and having an open culture. </w:t>
      </w:r>
    </w:p>
    <w:p w14:paraId="32959F93" w14:textId="77777777" w:rsidR="00DE75F9" w:rsidRPr="00DE75F9" w:rsidRDefault="00DE75F9" w:rsidP="00DE75F9">
      <w:pPr>
        <w:numPr>
          <w:ilvl w:val="0"/>
          <w:numId w:val="7"/>
        </w:numPr>
        <w:spacing w:after="0"/>
        <w:rPr>
          <w:rFonts w:cstheme="minorHAnsi"/>
        </w:rPr>
      </w:pPr>
      <w:r w:rsidRPr="00DE75F9">
        <w:rPr>
          <w:rFonts w:cstheme="minorHAnsi"/>
        </w:rPr>
        <w:t>Approaching problems with an open mind.</w:t>
      </w:r>
    </w:p>
    <w:p w14:paraId="31179FE6" w14:textId="77777777" w:rsidR="00DE75F9" w:rsidRPr="00DE75F9" w:rsidRDefault="00DE75F9" w:rsidP="00DE75F9">
      <w:pPr>
        <w:numPr>
          <w:ilvl w:val="0"/>
          <w:numId w:val="7"/>
        </w:numPr>
        <w:spacing w:after="0"/>
        <w:rPr>
          <w:rFonts w:cstheme="minorHAnsi"/>
        </w:rPr>
      </w:pPr>
      <w:r w:rsidRPr="00DE75F9">
        <w:rPr>
          <w:rFonts w:cstheme="minorHAnsi"/>
        </w:rPr>
        <w:t>Celebrate the small wins.</w:t>
      </w:r>
    </w:p>
    <w:p w14:paraId="725DF7B2" w14:textId="77777777" w:rsidR="00DE75F9" w:rsidRPr="00DE75F9" w:rsidRDefault="00DE75F9" w:rsidP="00DE75F9">
      <w:pPr>
        <w:numPr>
          <w:ilvl w:val="0"/>
          <w:numId w:val="7"/>
        </w:numPr>
        <w:spacing w:after="0"/>
        <w:rPr>
          <w:rFonts w:cstheme="minorHAnsi"/>
        </w:rPr>
      </w:pPr>
      <w:r w:rsidRPr="00DE75F9">
        <w:rPr>
          <w:rFonts w:cstheme="minorHAnsi"/>
        </w:rPr>
        <w:t>Create opportunities for learning.</w:t>
      </w:r>
    </w:p>
    <w:p w14:paraId="6FB23527" w14:textId="55230191" w:rsidR="00C15C43" w:rsidRDefault="00C15C43" w:rsidP="002078B5">
      <w:pPr>
        <w:rPr>
          <w:b/>
          <w:bCs/>
          <w:u w:val="single"/>
        </w:rPr>
      </w:pPr>
    </w:p>
    <w:p w14:paraId="09CB88ED" w14:textId="0A88D4E6" w:rsidR="00C15C43" w:rsidRDefault="00C15C43" w:rsidP="002078B5">
      <w:pPr>
        <w:rPr>
          <w:b/>
          <w:bCs/>
          <w:u w:val="single"/>
        </w:rPr>
      </w:pPr>
    </w:p>
    <w:p w14:paraId="0F1DC68E" w14:textId="68E5A85F" w:rsidR="00C15C43" w:rsidRDefault="00C15C43" w:rsidP="002078B5">
      <w:pPr>
        <w:rPr>
          <w:b/>
          <w:bCs/>
          <w:u w:val="single"/>
        </w:rPr>
      </w:pPr>
    </w:p>
    <w:p w14:paraId="136ED10D" w14:textId="268822A1" w:rsidR="00C15C43" w:rsidRDefault="00C15C43" w:rsidP="002078B5">
      <w:pPr>
        <w:rPr>
          <w:b/>
          <w:bCs/>
          <w:u w:val="single"/>
        </w:rPr>
      </w:pPr>
    </w:p>
    <w:p w14:paraId="1DBE78AD" w14:textId="72140928" w:rsidR="00C15C43" w:rsidRDefault="00C15C43" w:rsidP="002078B5">
      <w:pPr>
        <w:rPr>
          <w:b/>
          <w:bCs/>
          <w:u w:val="single"/>
        </w:rPr>
      </w:pPr>
    </w:p>
    <w:p w14:paraId="3655EAB2" w14:textId="25D62264" w:rsidR="00C15C43" w:rsidRDefault="00C15C43" w:rsidP="002078B5">
      <w:pPr>
        <w:rPr>
          <w:b/>
          <w:bCs/>
          <w:u w:val="single"/>
        </w:rPr>
      </w:pPr>
    </w:p>
    <w:p w14:paraId="0040D4F3" w14:textId="6155BDB6" w:rsidR="00C15C43" w:rsidRDefault="00C15C43" w:rsidP="002078B5">
      <w:pPr>
        <w:rPr>
          <w:b/>
          <w:bCs/>
          <w:u w:val="single"/>
        </w:rPr>
      </w:pPr>
    </w:p>
    <w:p w14:paraId="011BA1E7" w14:textId="0615CA4F" w:rsidR="00C15C43" w:rsidRDefault="00C15C43" w:rsidP="002078B5">
      <w:pPr>
        <w:rPr>
          <w:b/>
          <w:bCs/>
          <w:u w:val="single"/>
        </w:rPr>
      </w:pPr>
    </w:p>
    <w:p w14:paraId="7F955270" w14:textId="77777777" w:rsidR="00DE75F9" w:rsidRDefault="00DE75F9" w:rsidP="002078B5">
      <w:pPr>
        <w:rPr>
          <w:b/>
          <w:bCs/>
          <w:u w:val="single"/>
        </w:rPr>
      </w:pPr>
    </w:p>
    <w:p w14:paraId="674E955C" w14:textId="45B30360" w:rsidR="006B7E44" w:rsidRPr="003E0D61" w:rsidRDefault="006B7E44" w:rsidP="002078B5">
      <w:pPr>
        <w:rPr>
          <w:rFonts w:cstheme="minorHAnsi"/>
          <w:b/>
          <w:bCs/>
          <w:u w:val="single"/>
        </w:rPr>
      </w:pPr>
      <w:r w:rsidRPr="003E0D61">
        <w:rPr>
          <w:rFonts w:cstheme="minorHAnsi"/>
          <w:b/>
          <w:bCs/>
          <w:u w:val="single"/>
        </w:rPr>
        <w:lastRenderedPageBreak/>
        <w:t>Reference List – TASK ONE</w:t>
      </w:r>
    </w:p>
    <w:p w14:paraId="589CA222" w14:textId="77777777" w:rsidR="00B946E1" w:rsidRPr="003E0D61" w:rsidRDefault="00B946E1" w:rsidP="005A16EA">
      <w:pPr>
        <w:pStyle w:val="ListParagraph"/>
        <w:numPr>
          <w:ilvl w:val="0"/>
          <w:numId w:val="1"/>
        </w:numPr>
        <w:rPr>
          <w:rFonts w:cstheme="minorHAnsi"/>
          <w:b/>
          <w:bCs/>
          <w:u w:val="single"/>
        </w:rPr>
      </w:pPr>
      <w:r w:rsidRPr="003E0D61">
        <w:rPr>
          <w:rFonts w:cstheme="minorHAnsi"/>
          <w:shd w:val="clear" w:color="auto" w:fill="FFFFFF"/>
        </w:rPr>
        <w:t>Afshar, V., 2021. </w:t>
      </w:r>
      <w:r w:rsidRPr="003E0D61">
        <w:rPr>
          <w:rFonts w:cstheme="minorHAnsi"/>
          <w:i/>
          <w:iCs/>
          <w:shd w:val="clear" w:color="auto" w:fill="FFFFFF"/>
        </w:rPr>
        <w:t>How To Improve Customer Focus: 6 Tips and Strategies</w:t>
      </w:r>
      <w:r w:rsidRPr="003E0D61">
        <w:rPr>
          <w:rFonts w:cstheme="minorHAnsi"/>
          <w:shd w:val="clear" w:color="auto" w:fill="FFFFFF"/>
        </w:rPr>
        <w:t>. [online] The 360 Blog from Salesforce. Available at: &lt;https://www.salesforce.com/blog/customer-focus/&gt; [Accessed 17 June 2022].</w:t>
      </w:r>
    </w:p>
    <w:p w14:paraId="258F9CD3" w14:textId="4E777A53" w:rsidR="006652BD" w:rsidRPr="003E0D61" w:rsidRDefault="006652BD" w:rsidP="005A16EA">
      <w:pPr>
        <w:pStyle w:val="ListParagraph"/>
        <w:numPr>
          <w:ilvl w:val="0"/>
          <w:numId w:val="1"/>
        </w:numPr>
        <w:rPr>
          <w:rFonts w:cstheme="minorHAnsi"/>
          <w:b/>
          <w:bCs/>
          <w:u w:val="single"/>
        </w:rPr>
      </w:pPr>
      <w:r w:rsidRPr="003E0D61">
        <w:rPr>
          <w:rFonts w:cstheme="minorHAnsi"/>
          <w:shd w:val="clear" w:color="auto" w:fill="FFFFFF"/>
        </w:rPr>
        <w:t>Arshad, S., 2020. </w:t>
      </w:r>
      <w:r w:rsidRPr="003E0D61">
        <w:rPr>
          <w:rFonts w:cstheme="minorHAnsi"/>
          <w:i/>
          <w:iCs/>
          <w:shd w:val="clear" w:color="auto" w:fill="FFFFFF"/>
        </w:rPr>
        <w:t>What Is The Role Of A Stakeholder? - Why So Important? - TBW</w:t>
      </w:r>
      <w:r w:rsidRPr="003E0D61">
        <w:rPr>
          <w:rFonts w:cstheme="minorHAnsi"/>
          <w:shd w:val="clear" w:color="auto" w:fill="FFFFFF"/>
        </w:rPr>
        <w:t xml:space="preserve">. [online] </w:t>
      </w:r>
      <w:proofErr w:type="spellStart"/>
      <w:r w:rsidRPr="003E0D61">
        <w:rPr>
          <w:rFonts w:cstheme="minorHAnsi"/>
          <w:shd w:val="clear" w:color="auto" w:fill="FFFFFF"/>
        </w:rPr>
        <w:t>TheBalanceWork</w:t>
      </w:r>
      <w:proofErr w:type="spellEnd"/>
      <w:r w:rsidRPr="003E0D61">
        <w:rPr>
          <w:rFonts w:cstheme="minorHAnsi"/>
          <w:shd w:val="clear" w:color="auto" w:fill="FFFFFF"/>
        </w:rPr>
        <w:t>. Available at: &lt;https://thebalancework.com/what-is-the-role-of-a-stakeholder/#:~:text=%20Other%20Role%20And%20Responsibility%20Of%20Stakeholder%3A%20,all%20major%20social%20and%20environmental%20decisions..%20More%20&gt; [Accessed 15 June 2022].</w:t>
      </w:r>
    </w:p>
    <w:p w14:paraId="4FB209D0" w14:textId="1451EA20" w:rsidR="005E7B11" w:rsidRPr="003E0D61" w:rsidRDefault="00D87C9C" w:rsidP="005A16EA">
      <w:pPr>
        <w:pStyle w:val="ListParagraph"/>
        <w:numPr>
          <w:ilvl w:val="0"/>
          <w:numId w:val="1"/>
        </w:numPr>
        <w:rPr>
          <w:rFonts w:cstheme="minorHAnsi"/>
          <w:b/>
          <w:bCs/>
          <w:u w:val="single"/>
        </w:rPr>
      </w:pPr>
      <w:r w:rsidRPr="003E0D61">
        <w:rPr>
          <w:rFonts w:cstheme="minorHAnsi"/>
          <w:shd w:val="clear" w:color="auto" w:fill="FFFFFF"/>
        </w:rPr>
        <w:t>Boatman, A., n.d. </w:t>
      </w:r>
      <w:r w:rsidRPr="003E0D61">
        <w:rPr>
          <w:rFonts w:cstheme="minorHAnsi"/>
          <w:i/>
          <w:iCs/>
          <w:shd w:val="clear" w:color="auto" w:fill="FFFFFF"/>
        </w:rPr>
        <w:t>What is Evidence-Based HR? Examples, Benefits, and Process - AIHR</w:t>
      </w:r>
      <w:r w:rsidRPr="003E0D61">
        <w:rPr>
          <w:rFonts w:cstheme="minorHAnsi"/>
          <w:shd w:val="clear" w:color="auto" w:fill="FFFFFF"/>
        </w:rPr>
        <w:t>. [online] AIHR. Available at: &lt;https://www.aihr.com/blog/evidence-based-hr/#What&gt; [Accessed 1 June 2022].</w:t>
      </w:r>
    </w:p>
    <w:p w14:paraId="4DA13C92" w14:textId="5D80B4D5" w:rsidR="00C40BE0" w:rsidRPr="003E0D61" w:rsidRDefault="00C40BE0" w:rsidP="00C40BE0">
      <w:pPr>
        <w:pStyle w:val="ListParagraph"/>
        <w:numPr>
          <w:ilvl w:val="0"/>
          <w:numId w:val="1"/>
        </w:numPr>
        <w:rPr>
          <w:rFonts w:cstheme="minorHAnsi"/>
          <w:b/>
          <w:bCs/>
          <w:u w:val="single"/>
        </w:rPr>
      </w:pPr>
      <w:r w:rsidRPr="003E0D61">
        <w:rPr>
          <w:rFonts w:cstheme="minorHAnsi"/>
          <w:shd w:val="clear" w:color="auto" w:fill="FFFFFF"/>
        </w:rPr>
        <w:t>CIPD People Profession. n.d. </w:t>
      </w:r>
      <w:r w:rsidRPr="003E0D61">
        <w:rPr>
          <w:rFonts w:cstheme="minorHAnsi"/>
          <w:i/>
          <w:iCs/>
          <w:shd w:val="clear" w:color="auto" w:fill="FFFFFF"/>
        </w:rPr>
        <w:t>Evidence-based practice | CIPD Profession Map</w:t>
      </w:r>
      <w:r w:rsidRPr="003E0D61">
        <w:rPr>
          <w:rFonts w:cstheme="minorHAnsi"/>
          <w:shd w:val="clear" w:color="auto" w:fill="FFFFFF"/>
        </w:rPr>
        <w:t>. [online] Available at: &lt;https://peopleprofession.cipd.org/profession-map/core-knowledge/analytics-creating-value#:~:text=Using%20evidence%20and%20data%20to%20create%20insight%2C%20problem,as%20professional%20expertise%20to%20deliver%20work%20that%E2%80%99s%20impactful.&gt; [Accessed 2 June 2022].</w:t>
      </w:r>
    </w:p>
    <w:p w14:paraId="2DA6464B" w14:textId="370BED2A" w:rsidR="00776E43" w:rsidRPr="003E0D61" w:rsidRDefault="00776E43" w:rsidP="00C40BE0">
      <w:pPr>
        <w:pStyle w:val="ListParagraph"/>
        <w:numPr>
          <w:ilvl w:val="0"/>
          <w:numId w:val="1"/>
        </w:numPr>
        <w:rPr>
          <w:rFonts w:cstheme="minorHAnsi"/>
          <w:b/>
          <w:bCs/>
          <w:u w:val="single"/>
        </w:rPr>
      </w:pPr>
      <w:r w:rsidRPr="003E0D61">
        <w:rPr>
          <w:rFonts w:cstheme="minorHAnsi"/>
          <w:shd w:val="clear" w:color="auto" w:fill="FFFFFF"/>
        </w:rPr>
        <w:t xml:space="preserve">Dijk, R. and </w:t>
      </w:r>
      <w:proofErr w:type="spellStart"/>
      <w:r w:rsidRPr="003E0D61">
        <w:rPr>
          <w:rFonts w:cstheme="minorHAnsi"/>
          <w:shd w:val="clear" w:color="auto" w:fill="FFFFFF"/>
        </w:rPr>
        <w:t>Brugman</w:t>
      </w:r>
      <w:proofErr w:type="spellEnd"/>
      <w:r w:rsidRPr="003E0D61">
        <w:rPr>
          <w:rFonts w:cstheme="minorHAnsi"/>
          <w:shd w:val="clear" w:color="auto" w:fill="FFFFFF"/>
        </w:rPr>
        <w:t>, T., n.d. </w:t>
      </w:r>
      <w:r w:rsidRPr="003E0D61">
        <w:rPr>
          <w:rFonts w:cstheme="minorHAnsi"/>
          <w:i/>
          <w:iCs/>
          <w:shd w:val="clear" w:color="auto" w:fill="FFFFFF"/>
        </w:rPr>
        <w:t>Creating Value With Fact-Based HR - AIHR</w:t>
      </w:r>
      <w:r w:rsidRPr="003E0D61">
        <w:rPr>
          <w:rFonts w:cstheme="minorHAnsi"/>
          <w:shd w:val="clear" w:color="auto" w:fill="FFFFFF"/>
        </w:rPr>
        <w:t>. [online] AIHR. Available at: &lt;https://www.aihr.com/blog/creating-value-fact-based-hr/&gt; [Accessed 17 June 2022].</w:t>
      </w:r>
    </w:p>
    <w:p w14:paraId="677228F1" w14:textId="746F8DA6" w:rsidR="00E17DBF" w:rsidRPr="003E0D61" w:rsidRDefault="00E17DBF" w:rsidP="00E17DBF">
      <w:pPr>
        <w:pStyle w:val="ListParagraph"/>
        <w:numPr>
          <w:ilvl w:val="0"/>
          <w:numId w:val="1"/>
        </w:numPr>
        <w:rPr>
          <w:rFonts w:cstheme="minorHAnsi"/>
          <w:b/>
          <w:bCs/>
          <w:u w:val="single"/>
        </w:rPr>
      </w:pPr>
      <w:r w:rsidRPr="003E0D61">
        <w:rPr>
          <w:rFonts w:cstheme="minorHAnsi"/>
          <w:shd w:val="clear" w:color="auto" w:fill="FFFFFF"/>
        </w:rPr>
        <w:t>dsim.in. 2019. </w:t>
      </w:r>
      <w:r w:rsidRPr="003E0D61">
        <w:rPr>
          <w:rFonts w:cstheme="minorHAnsi"/>
          <w:i/>
          <w:iCs/>
          <w:shd w:val="clear" w:color="auto" w:fill="FFFFFF"/>
        </w:rPr>
        <w:t>5 Reasons Why Data Accuracy Matters For Your Business</w:t>
      </w:r>
      <w:r w:rsidRPr="003E0D61">
        <w:rPr>
          <w:rFonts w:cstheme="minorHAnsi"/>
          <w:shd w:val="clear" w:color="auto" w:fill="FFFFFF"/>
        </w:rPr>
        <w:t>. [online] Available at: &lt;https://dsim.in/blog/2019/08/08/5-reasons-data-accuracy-matters-business/#Five_Reasons_Why_Data_Accuracy_is_so_Important_to_Businesses&gt; [Accessed 6 June 2022].</w:t>
      </w:r>
    </w:p>
    <w:p w14:paraId="4A2B6F6D" w14:textId="7874751A" w:rsidR="002B2FAD" w:rsidRPr="003E0D61" w:rsidRDefault="00776036" w:rsidP="00C40BE0">
      <w:pPr>
        <w:pStyle w:val="ListParagraph"/>
        <w:numPr>
          <w:ilvl w:val="0"/>
          <w:numId w:val="1"/>
        </w:numPr>
        <w:rPr>
          <w:rFonts w:cstheme="minorHAnsi"/>
          <w:b/>
          <w:bCs/>
          <w:u w:val="single"/>
        </w:rPr>
      </w:pPr>
      <w:proofErr w:type="spellStart"/>
      <w:r w:rsidRPr="003E0D61">
        <w:rPr>
          <w:rFonts w:cstheme="minorHAnsi"/>
          <w:shd w:val="clear" w:color="auto" w:fill="FFFFFF"/>
        </w:rPr>
        <w:t>Eslake</w:t>
      </w:r>
      <w:proofErr w:type="spellEnd"/>
      <w:r w:rsidRPr="003E0D61">
        <w:rPr>
          <w:rFonts w:cstheme="minorHAnsi"/>
          <w:shd w:val="clear" w:color="auto" w:fill="FFFFFF"/>
        </w:rPr>
        <w:t>, S., 2006. </w:t>
      </w:r>
      <w:r w:rsidRPr="003E0D61">
        <w:rPr>
          <w:rFonts w:cstheme="minorHAnsi"/>
          <w:i/>
          <w:iCs/>
          <w:shd w:val="clear" w:color="auto" w:fill="FFFFFF"/>
        </w:rPr>
        <w:t>The Importance of Accurate, Reliable and Timely Data</w:t>
      </w:r>
      <w:r w:rsidRPr="003E0D61">
        <w:rPr>
          <w:rFonts w:cstheme="minorHAnsi"/>
          <w:shd w:val="clear" w:color="auto" w:fill="FFFFFF"/>
        </w:rPr>
        <w:t>. [online] Anz.com. Available at: &lt;https://www.anz.com/documents/economics/The_Importance_of_Data.pdf#:~:text=In%20the%20absence%20of%20accurate%2C%20reliable%20and%20timely,that%20could%20have%20been%20made%20at%20the%20time.&gt; [Accessed 4 June 2022].</w:t>
      </w:r>
      <w:r w:rsidR="002B2FAD" w:rsidRPr="003E0D61">
        <w:rPr>
          <w:rFonts w:cstheme="minorHAnsi"/>
          <w:shd w:val="clear" w:color="auto" w:fill="FFFFFF"/>
        </w:rPr>
        <w:t>Grow.com. 2020. </w:t>
      </w:r>
      <w:r w:rsidR="002B2FAD" w:rsidRPr="003E0D61">
        <w:rPr>
          <w:rFonts w:cstheme="minorHAnsi"/>
          <w:i/>
          <w:iCs/>
          <w:shd w:val="clear" w:color="auto" w:fill="FFFFFF"/>
        </w:rPr>
        <w:t>Why Is Data Important for Your Business? | Grow.com</w:t>
      </w:r>
      <w:r w:rsidR="002B2FAD" w:rsidRPr="003E0D61">
        <w:rPr>
          <w:rFonts w:cstheme="minorHAnsi"/>
          <w:shd w:val="clear" w:color="auto" w:fill="FFFFFF"/>
        </w:rPr>
        <w:t>. [online] Available at: &lt;https://www.grow.com/blog/data-important-business#:~:text=Data%20helps%20you%20understand%20and%20improve%20business%20processes,squanders%20time%2C%20and%20ultimately%20impacts%20the%20bottom%20line.&gt; [Accessed 3 June 2022].</w:t>
      </w:r>
    </w:p>
    <w:p w14:paraId="26BD654D" w14:textId="17216A90" w:rsidR="00EF57DD" w:rsidRPr="003E0D61" w:rsidRDefault="00EF57DD" w:rsidP="00C40BE0">
      <w:pPr>
        <w:pStyle w:val="ListParagraph"/>
        <w:numPr>
          <w:ilvl w:val="0"/>
          <w:numId w:val="1"/>
        </w:numPr>
        <w:rPr>
          <w:rFonts w:cstheme="minorHAnsi"/>
          <w:b/>
          <w:bCs/>
          <w:u w:val="single"/>
        </w:rPr>
      </w:pPr>
      <w:r w:rsidRPr="003E0D61">
        <w:rPr>
          <w:rFonts w:cstheme="minorHAnsi"/>
          <w:shd w:val="clear" w:color="auto" w:fill="FFFFFF"/>
        </w:rPr>
        <w:t>Fernando, J., 2021. </w:t>
      </w:r>
      <w:r w:rsidRPr="003E0D61">
        <w:rPr>
          <w:rFonts w:cstheme="minorHAnsi"/>
          <w:i/>
          <w:iCs/>
          <w:shd w:val="clear" w:color="auto" w:fill="FFFFFF"/>
        </w:rPr>
        <w:t>Learn What Stakeholders Are and the Roles That They Play</w:t>
      </w:r>
      <w:r w:rsidRPr="003E0D61">
        <w:rPr>
          <w:rFonts w:cstheme="minorHAnsi"/>
          <w:shd w:val="clear" w:color="auto" w:fill="FFFFFF"/>
        </w:rPr>
        <w:t>. [online] Investopedia. Available at: &lt;https://www.investopedia.com/terms/s/stakeholder.asp&gt; [Accessed 15 June 2022].</w:t>
      </w:r>
    </w:p>
    <w:p w14:paraId="04DE471D" w14:textId="2E7F05AE" w:rsidR="005F6150" w:rsidRPr="003E0D61" w:rsidRDefault="005F6150" w:rsidP="00C40BE0">
      <w:pPr>
        <w:pStyle w:val="ListParagraph"/>
        <w:numPr>
          <w:ilvl w:val="0"/>
          <w:numId w:val="1"/>
        </w:numPr>
        <w:rPr>
          <w:rFonts w:cstheme="minorHAnsi"/>
          <w:b/>
          <w:bCs/>
          <w:u w:val="single"/>
        </w:rPr>
      </w:pPr>
      <w:r w:rsidRPr="003E0D61">
        <w:rPr>
          <w:rFonts w:cstheme="minorHAnsi"/>
          <w:shd w:val="clear" w:color="auto" w:fill="FFFFFF"/>
        </w:rPr>
        <w:t>Fullstory.com. 2022. [online] Available at: &lt;https://www.fullstory.com/quantitative-data/&gt; [Accessed 5 June 2022].</w:t>
      </w:r>
    </w:p>
    <w:p w14:paraId="5A09B0F0" w14:textId="02E01883" w:rsidR="00155842" w:rsidRPr="003E0D61" w:rsidRDefault="00155842" w:rsidP="00C40BE0">
      <w:pPr>
        <w:pStyle w:val="ListParagraph"/>
        <w:numPr>
          <w:ilvl w:val="0"/>
          <w:numId w:val="1"/>
        </w:numPr>
        <w:rPr>
          <w:rFonts w:cstheme="minorHAnsi"/>
          <w:b/>
          <w:bCs/>
          <w:u w:val="single"/>
        </w:rPr>
      </w:pPr>
      <w:r w:rsidRPr="003E0D61">
        <w:rPr>
          <w:rFonts w:cstheme="minorHAnsi"/>
          <w:shd w:val="clear" w:color="auto" w:fill="FFFFFF"/>
        </w:rPr>
        <w:t>Gupta, B. (2015). </w:t>
      </w:r>
      <w:r w:rsidRPr="003E0D61">
        <w:rPr>
          <w:rStyle w:val="Emphasis"/>
          <w:rFonts w:cstheme="minorHAnsi"/>
          <w:shd w:val="clear" w:color="auto" w:fill="FFFFFF"/>
        </w:rPr>
        <w:t>Analytics in HR – Data Driven Decision Making in Human Resources</w:t>
      </w:r>
      <w:r w:rsidRPr="003E0D61">
        <w:rPr>
          <w:rFonts w:cstheme="minorHAnsi"/>
          <w:shd w:val="clear" w:color="auto" w:fill="FFFFFF"/>
        </w:rPr>
        <w:t xml:space="preserve">. [online] Analytics India Magazine. Available at: https://analyticsindiamag.com/analytics-in-hr-data-driven-decision-making-in-human-resources/ [Accessed </w:t>
      </w:r>
      <w:r w:rsidR="00DE3D6A" w:rsidRPr="003E0D61">
        <w:rPr>
          <w:rFonts w:cstheme="minorHAnsi"/>
          <w:shd w:val="clear" w:color="auto" w:fill="FFFFFF"/>
        </w:rPr>
        <w:t>10 June</w:t>
      </w:r>
      <w:r w:rsidRPr="003E0D61">
        <w:rPr>
          <w:rFonts w:cstheme="minorHAnsi"/>
          <w:shd w:val="clear" w:color="auto" w:fill="FFFFFF"/>
        </w:rPr>
        <w:t xml:space="preserve"> 2022].</w:t>
      </w:r>
    </w:p>
    <w:p w14:paraId="28AF6A23" w14:textId="77777777" w:rsidR="004B1C1F" w:rsidRPr="003E0D61" w:rsidRDefault="004B1C1F" w:rsidP="00C40BE0">
      <w:pPr>
        <w:pStyle w:val="ListParagraph"/>
        <w:numPr>
          <w:ilvl w:val="0"/>
          <w:numId w:val="1"/>
        </w:numPr>
        <w:rPr>
          <w:rFonts w:cstheme="minorHAnsi"/>
          <w:b/>
          <w:bCs/>
          <w:u w:val="single"/>
        </w:rPr>
      </w:pPr>
      <w:r w:rsidRPr="003E0D61">
        <w:rPr>
          <w:rFonts w:cstheme="minorHAnsi"/>
          <w:shd w:val="clear" w:color="auto" w:fill="FFFFFF"/>
        </w:rPr>
        <w:t>Indeed Career Guide. 2021. </w:t>
      </w:r>
      <w:r w:rsidRPr="003E0D61">
        <w:rPr>
          <w:rFonts w:cstheme="minorHAnsi"/>
          <w:i/>
          <w:iCs/>
          <w:shd w:val="clear" w:color="auto" w:fill="FFFFFF"/>
        </w:rPr>
        <w:t>14 Effective Tips for Creating Value for Your Customers</w:t>
      </w:r>
      <w:r w:rsidRPr="003E0D61">
        <w:rPr>
          <w:rFonts w:cstheme="minorHAnsi"/>
          <w:shd w:val="clear" w:color="auto" w:fill="FFFFFF"/>
        </w:rPr>
        <w:t>. [online] Available at: &lt;https://www.indeed.com/career-advice/career-development/creating-value-for-customers&gt; [Accessed 17 June 2022].</w:t>
      </w:r>
    </w:p>
    <w:p w14:paraId="465DB9C8" w14:textId="2312F0DF" w:rsidR="000A643C" w:rsidRPr="003E0D61" w:rsidRDefault="000A643C" w:rsidP="00C40BE0">
      <w:pPr>
        <w:pStyle w:val="ListParagraph"/>
        <w:numPr>
          <w:ilvl w:val="0"/>
          <w:numId w:val="1"/>
        </w:numPr>
        <w:rPr>
          <w:rFonts w:cstheme="minorHAnsi"/>
          <w:b/>
          <w:bCs/>
          <w:u w:val="single"/>
        </w:rPr>
      </w:pPr>
      <w:proofErr w:type="spellStart"/>
      <w:r w:rsidRPr="003E0D61">
        <w:rPr>
          <w:rFonts w:cstheme="minorHAnsi"/>
          <w:shd w:val="clear" w:color="auto" w:fill="FFFFFF"/>
        </w:rPr>
        <w:lastRenderedPageBreak/>
        <w:t>Kapur</w:t>
      </w:r>
      <w:proofErr w:type="spellEnd"/>
      <w:r w:rsidRPr="003E0D61">
        <w:rPr>
          <w:rFonts w:cstheme="minorHAnsi"/>
          <w:shd w:val="clear" w:color="auto" w:fill="FFFFFF"/>
        </w:rPr>
        <w:t>, R., 2020. </w:t>
      </w:r>
      <w:r w:rsidRPr="003E0D61">
        <w:rPr>
          <w:rFonts w:cstheme="minorHAnsi"/>
          <w:i/>
          <w:iCs/>
          <w:shd w:val="clear" w:color="auto" w:fill="FFFFFF"/>
        </w:rPr>
        <w:t>Human Resources Policies and Procedures</w:t>
      </w:r>
      <w:r w:rsidRPr="003E0D61">
        <w:rPr>
          <w:rFonts w:cstheme="minorHAnsi"/>
          <w:shd w:val="clear" w:color="auto" w:fill="FFFFFF"/>
        </w:rPr>
        <w:t>. [online] Available at: &lt;https://www.researchgate.net/publication/339711840_Human_Resources_Policies_and_Procedures&gt; [Accessed 12 June 2022].</w:t>
      </w:r>
    </w:p>
    <w:p w14:paraId="67B91B99" w14:textId="0F76BC18" w:rsidR="00D74DA9" w:rsidRPr="003E0D61" w:rsidRDefault="00D74DA9" w:rsidP="00C40BE0">
      <w:pPr>
        <w:pStyle w:val="ListParagraph"/>
        <w:numPr>
          <w:ilvl w:val="0"/>
          <w:numId w:val="1"/>
        </w:numPr>
        <w:rPr>
          <w:rFonts w:cstheme="minorHAnsi"/>
          <w:b/>
          <w:bCs/>
          <w:u w:val="single"/>
        </w:rPr>
      </w:pPr>
      <w:r w:rsidRPr="003E0D61">
        <w:rPr>
          <w:rFonts w:cstheme="minorHAnsi"/>
          <w:shd w:val="clear" w:color="auto" w:fill="FFFFFF"/>
        </w:rPr>
        <w:t>Kemp, A., 2018. </w:t>
      </w:r>
      <w:r w:rsidRPr="003E0D61">
        <w:rPr>
          <w:rFonts w:cstheme="minorHAnsi"/>
          <w:i/>
          <w:iCs/>
          <w:shd w:val="clear" w:color="auto" w:fill="FFFFFF"/>
        </w:rPr>
        <w:t>UK perspective on evidence based policy planning</w:t>
      </w:r>
      <w:r w:rsidRPr="003E0D61">
        <w:rPr>
          <w:rFonts w:cstheme="minorHAnsi"/>
          <w:shd w:val="clear" w:color="auto" w:fill="FFFFFF"/>
        </w:rPr>
        <w:t>. [online] GOV.UK. Available at: &lt;https://www.gov.uk/government/speeches/uk-perspective-on-evidence-based-policy-planning&gt; [Accessed 10 June 2022].</w:t>
      </w:r>
    </w:p>
    <w:p w14:paraId="591A9E0A" w14:textId="5E7D9EE0" w:rsidR="00FC785E" w:rsidRPr="003E0D61" w:rsidRDefault="00FC785E" w:rsidP="00C40BE0">
      <w:pPr>
        <w:pStyle w:val="ListParagraph"/>
        <w:numPr>
          <w:ilvl w:val="0"/>
          <w:numId w:val="1"/>
        </w:numPr>
        <w:rPr>
          <w:rFonts w:cstheme="minorHAnsi"/>
          <w:b/>
          <w:bCs/>
          <w:u w:val="single"/>
        </w:rPr>
      </w:pPr>
      <w:r w:rsidRPr="003E0D61">
        <w:rPr>
          <w:rFonts w:cstheme="minorHAnsi"/>
          <w:shd w:val="clear" w:color="auto" w:fill="FFFFFF"/>
        </w:rPr>
        <w:t xml:space="preserve">Kidd, C. and </w:t>
      </w:r>
      <w:proofErr w:type="spellStart"/>
      <w:r w:rsidRPr="003E0D61">
        <w:rPr>
          <w:rFonts w:cstheme="minorHAnsi"/>
          <w:shd w:val="clear" w:color="auto" w:fill="FFFFFF"/>
        </w:rPr>
        <w:t>McLatchie</w:t>
      </w:r>
      <w:proofErr w:type="spellEnd"/>
      <w:r w:rsidRPr="003E0D61">
        <w:rPr>
          <w:rFonts w:cstheme="minorHAnsi"/>
          <w:shd w:val="clear" w:color="auto" w:fill="FFFFFF"/>
        </w:rPr>
        <w:t>, H., 2020. </w:t>
      </w:r>
      <w:r w:rsidRPr="003E0D61">
        <w:rPr>
          <w:rFonts w:cstheme="minorHAnsi"/>
          <w:i/>
          <w:iCs/>
          <w:shd w:val="clear" w:color="auto" w:fill="FFFFFF"/>
        </w:rPr>
        <w:t>Internal vs External Customers: How Are They Different?</w:t>
      </w:r>
      <w:r w:rsidRPr="003E0D61">
        <w:rPr>
          <w:rFonts w:cstheme="minorHAnsi"/>
          <w:shd w:val="clear" w:color="auto" w:fill="FFFFFF"/>
        </w:rPr>
        <w:t>. [online] BMC Blogs. Available at: &lt;https://www.bmc.com/blogs/internal-vs-external-customers/&gt; [Accessed 15 June 2022].</w:t>
      </w:r>
    </w:p>
    <w:p w14:paraId="78F61E6E" w14:textId="19E86278" w:rsidR="0025583C" w:rsidRPr="003E0D61" w:rsidRDefault="0025583C" w:rsidP="0025583C">
      <w:pPr>
        <w:pStyle w:val="ListParagraph"/>
        <w:numPr>
          <w:ilvl w:val="0"/>
          <w:numId w:val="1"/>
        </w:numPr>
        <w:rPr>
          <w:rFonts w:cstheme="minorHAnsi"/>
          <w:b/>
          <w:bCs/>
          <w:u w:val="single"/>
        </w:rPr>
      </w:pPr>
      <w:r w:rsidRPr="003E0D61">
        <w:rPr>
          <w:rFonts w:cstheme="minorHAnsi"/>
          <w:shd w:val="clear" w:color="auto" w:fill="FFFFFF"/>
        </w:rPr>
        <w:t>Miller, B., 2018. [online] Available at: &lt;https://hrdailyadvisor.blr.com/2017/09/29/evidence-based-hr/&gt; [Accessed 1 June 2022].</w:t>
      </w:r>
    </w:p>
    <w:p w14:paraId="031654C3" w14:textId="101D4D98" w:rsidR="008D4815" w:rsidRPr="003E0D61" w:rsidRDefault="008D4815" w:rsidP="0025583C">
      <w:pPr>
        <w:pStyle w:val="ListParagraph"/>
        <w:numPr>
          <w:ilvl w:val="0"/>
          <w:numId w:val="1"/>
        </w:numPr>
        <w:rPr>
          <w:rFonts w:cstheme="minorHAnsi"/>
          <w:b/>
          <w:bCs/>
          <w:u w:val="single"/>
        </w:rPr>
      </w:pPr>
      <w:proofErr w:type="spellStart"/>
      <w:r w:rsidRPr="003E0D61">
        <w:rPr>
          <w:rFonts w:cstheme="minorHAnsi"/>
          <w:shd w:val="clear" w:color="auto" w:fill="FFFFFF"/>
        </w:rPr>
        <w:t>Mohdzaini</w:t>
      </w:r>
      <w:proofErr w:type="spellEnd"/>
      <w:r w:rsidRPr="003E0D61">
        <w:rPr>
          <w:rFonts w:cstheme="minorHAnsi"/>
          <w:shd w:val="clear" w:color="auto" w:fill="FFFFFF"/>
        </w:rPr>
        <w:t>, H. (2021). </w:t>
      </w:r>
      <w:r w:rsidRPr="003E0D61">
        <w:rPr>
          <w:rStyle w:val="Emphasis"/>
          <w:rFonts w:cstheme="minorHAnsi"/>
          <w:shd w:val="clear" w:color="auto" w:fill="FFFFFF"/>
        </w:rPr>
        <w:t>People Analytics | Factsheets</w:t>
      </w:r>
      <w:r w:rsidRPr="003E0D61">
        <w:rPr>
          <w:rFonts w:cstheme="minorHAnsi"/>
          <w:shd w:val="clear" w:color="auto" w:fill="FFFFFF"/>
        </w:rPr>
        <w:t xml:space="preserve">. [online] CIPD. Available at: </w:t>
      </w:r>
      <w:hyperlink r:id="rId18" w:anchor="gref" w:history="1">
        <w:r w:rsidR="00A845A2" w:rsidRPr="003E0D61">
          <w:rPr>
            <w:rStyle w:val="Hyperlink"/>
            <w:rFonts w:cstheme="minorHAnsi"/>
            <w:color w:val="auto"/>
            <w:shd w:val="clear" w:color="auto" w:fill="FFFFFF"/>
          </w:rPr>
          <w:t>https://www.cipd.co.uk/knowledge/strategy/analytics/factsheet#gref</w:t>
        </w:r>
      </w:hyperlink>
      <w:r w:rsidRPr="003E0D61">
        <w:rPr>
          <w:rFonts w:cstheme="minorHAnsi"/>
          <w:shd w:val="clear" w:color="auto" w:fill="FFFFFF"/>
        </w:rPr>
        <w:t>.</w:t>
      </w:r>
      <w:r w:rsidR="00A845A2" w:rsidRPr="003E0D61">
        <w:rPr>
          <w:rFonts w:cstheme="minorHAnsi"/>
          <w:shd w:val="clear" w:color="auto" w:fill="FFFFFF"/>
        </w:rPr>
        <w:t xml:space="preserve"> [Accessed 13 June 2022]</w:t>
      </w:r>
    </w:p>
    <w:p w14:paraId="62C063E3" w14:textId="12E8023A" w:rsidR="00C2699C" w:rsidRPr="003E0D61" w:rsidRDefault="00C2699C" w:rsidP="00C2699C">
      <w:pPr>
        <w:pStyle w:val="ListParagraph"/>
        <w:numPr>
          <w:ilvl w:val="0"/>
          <w:numId w:val="1"/>
        </w:numPr>
        <w:rPr>
          <w:rFonts w:cstheme="minorHAnsi"/>
          <w:b/>
          <w:bCs/>
          <w:u w:val="single"/>
        </w:rPr>
      </w:pPr>
      <w:proofErr w:type="spellStart"/>
      <w:r w:rsidRPr="003E0D61">
        <w:rPr>
          <w:rFonts w:cstheme="minorHAnsi"/>
          <w:shd w:val="clear" w:color="auto" w:fill="FFFFFF"/>
        </w:rPr>
        <w:t>Moitra</w:t>
      </w:r>
      <w:proofErr w:type="spellEnd"/>
      <w:r w:rsidRPr="003E0D61">
        <w:rPr>
          <w:rFonts w:cstheme="minorHAnsi"/>
          <w:shd w:val="clear" w:color="auto" w:fill="FFFFFF"/>
        </w:rPr>
        <w:t>, T., 2017. An Overview of Evidence Based Management in HR: Moving from Suppositions to Data. [Blog] Available at: &lt;https://blog.sage.hr/overview-evidence-based-management-hr-moving-suppositions-data/&gt; [Accessed 31 May 2022].</w:t>
      </w:r>
    </w:p>
    <w:p w14:paraId="69AA23F0" w14:textId="4103CF1E" w:rsidR="00B00763" w:rsidRPr="003E0D61" w:rsidRDefault="00B00763" w:rsidP="00C2699C">
      <w:pPr>
        <w:pStyle w:val="ListParagraph"/>
        <w:numPr>
          <w:ilvl w:val="0"/>
          <w:numId w:val="1"/>
        </w:numPr>
        <w:rPr>
          <w:rFonts w:cstheme="minorHAnsi"/>
          <w:b/>
          <w:bCs/>
          <w:u w:val="single"/>
        </w:rPr>
      </w:pPr>
      <w:r w:rsidRPr="003E0D61">
        <w:rPr>
          <w:rFonts w:cstheme="minorHAnsi"/>
          <w:shd w:val="clear" w:color="auto" w:fill="FFFFFF"/>
        </w:rPr>
        <w:t>Norman, L., n.d. </w:t>
      </w:r>
      <w:r w:rsidRPr="003E0D61">
        <w:rPr>
          <w:rFonts w:cstheme="minorHAnsi"/>
          <w:i/>
          <w:iCs/>
          <w:shd w:val="clear" w:color="auto" w:fill="FFFFFF"/>
        </w:rPr>
        <w:t>The Role of HR in Workplace Culture</w:t>
      </w:r>
      <w:r w:rsidRPr="003E0D61">
        <w:rPr>
          <w:rFonts w:cstheme="minorHAnsi"/>
          <w:shd w:val="clear" w:color="auto" w:fill="FFFFFF"/>
        </w:rPr>
        <w:t>. [online] Small Business - Chron.com. Available at: &lt;https://smallbusiness.chron.com/role-hr-workplace-culture-10206.html&gt; [Accessed 18 June 2022].</w:t>
      </w:r>
    </w:p>
    <w:p w14:paraId="15B1DF25" w14:textId="57DE0BB8" w:rsidR="00481C12" w:rsidRPr="003E0D61" w:rsidRDefault="00481C12" w:rsidP="00C2699C">
      <w:pPr>
        <w:pStyle w:val="ListParagraph"/>
        <w:numPr>
          <w:ilvl w:val="0"/>
          <w:numId w:val="1"/>
        </w:numPr>
        <w:rPr>
          <w:rFonts w:cstheme="minorHAnsi"/>
          <w:b/>
          <w:bCs/>
          <w:u w:val="single"/>
        </w:rPr>
      </w:pPr>
      <w:r w:rsidRPr="003E0D61">
        <w:rPr>
          <w:rFonts w:cstheme="minorHAnsi"/>
          <w:shd w:val="clear" w:color="auto" w:fill="FFFFFF"/>
        </w:rPr>
        <w:t>Powerdms.com. 2018. </w:t>
      </w:r>
      <w:r w:rsidRPr="003E0D61">
        <w:rPr>
          <w:rFonts w:cstheme="minorHAnsi"/>
          <w:i/>
          <w:iCs/>
          <w:shd w:val="clear" w:color="auto" w:fill="FFFFFF"/>
        </w:rPr>
        <w:t>Following policies and procedures, and why it’s important</w:t>
      </w:r>
      <w:r w:rsidRPr="003E0D61">
        <w:rPr>
          <w:rFonts w:cstheme="minorHAnsi"/>
          <w:shd w:val="clear" w:color="auto" w:fill="FFFFFF"/>
        </w:rPr>
        <w:t>. [online] Available at: &lt;https://www.powerdms.com/policy-learning-center/following-policies-and-procedures-and-why-its-important&gt; [Accessed 19 June 2022].</w:t>
      </w:r>
    </w:p>
    <w:p w14:paraId="3F4B2DB1" w14:textId="77777777" w:rsidR="00002A90" w:rsidRPr="003E0D61" w:rsidRDefault="008D1F12" w:rsidP="00E17DBF">
      <w:pPr>
        <w:pStyle w:val="ListParagraph"/>
        <w:numPr>
          <w:ilvl w:val="0"/>
          <w:numId w:val="1"/>
        </w:numPr>
        <w:rPr>
          <w:rFonts w:cstheme="minorHAnsi"/>
          <w:b/>
          <w:bCs/>
          <w:u w:val="single"/>
        </w:rPr>
      </w:pPr>
      <w:proofErr w:type="spellStart"/>
      <w:r w:rsidRPr="003E0D61">
        <w:rPr>
          <w:rFonts w:cstheme="minorHAnsi"/>
          <w:shd w:val="clear" w:color="auto" w:fill="FFFFFF"/>
        </w:rPr>
        <w:t>QuestionPro</w:t>
      </w:r>
      <w:proofErr w:type="spellEnd"/>
      <w:r w:rsidRPr="003E0D61">
        <w:rPr>
          <w:rFonts w:cstheme="minorHAnsi"/>
          <w:shd w:val="clear" w:color="auto" w:fill="FFFFFF"/>
        </w:rPr>
        <w:t>. n.d. </w:t>
      </w:r>
      <w:r w:rsidRPr="003E0D61">
        <w:rPr>
          <w:rFonts w:cstheme="minorHAnsi"/>
          <w:i/>
          <w:iCs/>
          <w:shd w:val="clear" w:color="auto" w:fill="FFFFFF"/>
        </w:rPr>
        <w:t>Qualitative Data: Definition, Types, Analysis and Examples</w:t>
      </w:r>
      <w:r w:rsidRPr="003E0D61">
        <w:rPr>
          <w:rFonts w:cstheme="minorHAnsi"/>
          <w:shd w:val="clear" w:color="auto" w:fill="FFFFFF"/>
        </w:rPr>
        <w:t>. [online] Available at: &lt;https://www.questionpro.com/blog/qualitative-data/&gt; [Accessed 9 June 2022].</w:t>
      </w:r>
    </w:p>
    <w:p w14:paraId="19AE3861" w14:textId="77777777" w:rsidR="00002A90" w:rsidRPr="003E0D61" w:rsidRDefault="00002A90" w:rsidP="00E17DBF">
      <w:pPr>
        <w:pStyle w:val="ListParagraph"/>
        <w:numPr>
          <w:ilvl w:val="0"/>
          <w:numId w:val="1"/>
        </w:numPr>
        <w:rPr>
          <w:rFonts w:cstheme="minorHAnsi"/>
          <w:b/>
          <w:bCs/>
          <w:u w:val="single"/>
        </w:rPr>
      </w:pPr>
      <w:r w:rsidRPr="003E0D61">
        <w:rPr>
          <w:rFonts w:cstheme="minorHAnsi"/>
          <w:shd w:val="clear" w:color="auto" w:fill="FFFFFF"/>
        </w:rPr>
        <w:t>Russell, T. and Green, M., 2022. </w:t>
      </w:r>
      <w:r w:rsidRPr="003E0D61">
        <w:rPr>
          <w:rFonts w:cstheme="minorHAnsi"/>
          <w:i/>
          <w:iCs/>
          <w:shd w:val="clear" w:color="auto" w:fill="FFFFFF"/>
        </w:rPr>
        <w:t>Ethical Practice and the Role of People Professionals | Factsheets | CIPD</w:t>
      </w:r>
      <w:r w:rsidRPr="003E0D61">
        <w:rPr>
          <w:rFonts w:cstheme="minorHAnsi"/>
          <w:shd w:val="clear" w:color="auto" w:fill="FFFFFF"/>
        </w:rPr>
        <w:t>. [online] CIPD. Available at: &lt;https://www.cipd.co.uk/knowledge/culture/ethics/role-hr-factsheet&gt; [Accessed 19 June 2022].</w:t>
      </w:r>
    </w:p>
    <w:p w14:paraId="114A65D3" w14:textId="70A233E8" w:rsidR="00E17DBF" w:rsidRPr="003E0D61" w:rsidRDefault="00E17DBF" w:rsidP="00E17DBF">
      <w:pPr>
        <w:pStyle w:val="ListParagraph"/>
        <w:numPr>
          <w:ilvl w:val="0"/>
          <w:numId w:val="1"/>
        </w:numPr>
        <w:rPr>
          <w:rFonts w:cstheme="minorHAnsi"/>
          <w:b/>
          <w:bCs/>
          <w:u w:val="single"/>
        </w:rPr>
      </w:pPr>
      <w:r w:rsidRPr="003E0D61">
        <w:rPr>
          <w:rFonts w:cstheme="minorHAnsi"/>
          <w:shd w:val="clear" w:color="auto" w:fill="FFFFFF"/>
        </w:rPr>
        <w:t>The Council on Quality and Leadership. n.d. </w:t>
      </w:r>
      <w:r w:rsidRPr="003E0D61">
        <w:rPr>
          <w:rFonts w:cstheme="minorHAnsi"/>
          <w:i/>
          <w:iCs/>
          <w:shd w:val="clear" w:color="auto" w:fill="FFFFFF"/>
        </w:rPr>
        <w:t>12 Reasons Why Data Is Important - The Council on Quality and Leadership</w:t>
      </w:r>
      <w:r w:rsidRPr="003E0D61">
        <w:rPr>
          <w:rFonts w:cstheme="minorHAnsi"/>
          <w:shd w:val="clear" w:color="auto" w:fill="FFFFFF"/>
        </w:rPr>
        <w:t>. [online] Available at: &lt;https://www.c-q-l.org/resources/guides/12-reasons-why-data-is-important/&gt; [Accessed 3 June 2022].</w:t>
      </w:r>
    </w:p>
    <w:p w14:paraId="5055685F" w14:textId="77777777" w:rsidR="00C73EBC" w:rsidRPr="003E0D61" w:rsidRDefault="00C73EBC" w:rsidP="00255103">
      <w:pPr>
        <w:pStyle w:val="ListParagraph"/>
        <w:numPr>
          <w:ilvl w:val="0"/>
          <w:numId w:val="1"/>
        </w:numPr>
        <w:rPr>
          <w:rFonts w:cstheme="minorHAnsi"/>
          <w:b/>
          <w:bCs/>
          <w:u w:val="single"/>
        </w:rPr>
      </w:pPr>
      <w:r w:rsidRPr="003E0D61">
        <w:rPr>
          <w:rFonts w:cstheme="minorHAnsi"/>
          <w:shd w:val="clear" w:color="auto" w:fill="FFFFFF"/>
        </w:rPr>
        <w:t>tawk.to. 2019. </w:t>
      </w:r>
      <w:r w:rsidRPr="003E0D61">
        <w:rPr>
          <w:rFonts w:cstheme="minorHAnsi"/>
          <w:i/>
          <w:iCs/>
          <w:shd w:val="clear" w:color="auto" w:fill="FFFFFF"/>
        </w:rPr>
        <w:t>9 tips to maintain a positive attitude in customer service</w:t>
      </w:r>
      <w:r w:rsidRPr="003E0D61">
        <w:rPr>
          <w:rFonts w:cstheme="minorHAnsi"/>
          <w:shd w:val="clear" w:color="auto" w:fill="FFFFFF"/>
        </w:rPr>
        <w:t>. [online] Available at: &lt;https://www.tawk.to/customer-happiness/9-tips-to-maintain-a-positive-attitude-in-customer-service/#:~:text=%209%20tips%20to%20maintain%20a%20positive%20attitude,you%20have%20with%20your%20boss%20and...%20More%20&gt; [Accessed 19 June 2022].</w:t>
      </w:r>
    </w:p>
    <w:p w14:paraId="363C5266" w14:textId="1146486E" w:rsidR="006B7E44" w:rsidRPr="003E0D61" w:rsidRDefault="00237294" w:rsidP="00255103">
      <w:pPr>
        <w:pStyle w:val="ListParagraph"/>
        <w:numPr>
          <w:ilvl w:val="0"/>
          <w:numId w:val="1"/>
        </w:numPr>
        <w:rPr>
          <w:rFonts w:cstheme="minorHAnsi"/>
          <w:b/>
          <w:bCs/>
          <w:u w:val="single"/>
        </w:rPr>
      </w:pPr>
      <w:r w:rsidRPr="003E0D61">
        <w:rPr>
          <w:rFonts w:cstheme="minorHAnsi"/>
          <w:shd w:val="clear" w:color="auto" w:fill="FFFFFF"/>
        </w:rPr>
        <w:t>The Oxford Review. 2022. </w:t>
      </w:r>
      <w:r w:rsidRPr="003E0D61">
        <w:rPr>
          <w:rFonts w:cstheme="minorHAnsi"/>
          <w:i/>
          <w:iCs/>
          <w:shd w:val="clear" w:color="auto" w:fill="FFFFFF"/>
        </w:rPr>
        <w:t>The Essential Guide to Evidence-Based Practice – 2022</w:t>
      </w:r>
      <w:r w:rsidRPr="003E0D61">
        <w:rPr>
          <w:rFonts w:cstheme="minorHAnsi"/>
          <w:shd w:val="clear" w:color="auto" w:fill="FFFFFF"/>
        </w:rPr>
        <w:t>. [online] Available at: &lt;https://oxford-review.com/evidence-based-practice-essential-guide/#:~:text=In%20essence%20organisational%20evidence-based%20practice%20%28EBP%29%20refers%20to,activities%20are%20undertaken%20using%20the%20best%20evidence%20available.&gt; [</w:t>
      </w:r>
      <w:r w:rsidR="002F77BF" w:rsidRPr="003E0D61">
        <w:rPr>
          <w:rFonts w:cstheme="minorHAnsi"/>
          <w:shd w:val="clear" w:color="auto" w:fill="FFFFFF"/>
        </w:rPr>
        <w:t>Accessed 31 May 2022</w:t>
      </w:r>
      <w:r w:rsidRPr="003E0D61">
        <w:rPr>
          <w:rFonts w:cstheme="minorHAnsi"/>
          <w:shd w:val="clear" w:color="auto" w:fill="FFFFFF"/>
        </w:rPr>
        <w:t>].</w:t>
      </w:r>
    </w:p>
    <w:p w14:paraId="6729DBDA" w14:textId="67057439" w:rsidR="00F13403" w:rsidRPr="003E0D61" w:rsidRDefault="00F13403" w:rsidP="00255103">
      <w:pPr>
        <w:pStyle w:val="ListParagraph"/>
        <w:numPr>
          <w:ilvl w:val="0"/>
          <w:numId w:val="1"/>
        </w:numPr>
        <w:rPr>
          <w:rFonts w:cstheme="minorHAnsi"/>
          <w:b/>
          <w:bCs/>
          <w:u w:val="single"/>
        </w:rPr>
      </w:pPr>
      <w:r w:rsidRPr="003E0D61">
        <w:rPr>
          <w:rFonts w:cstheme="minorHAnsi"/>
          <w:shd w:val="clear" w:color="auto" w:fill="FFFFFF"/>
        </w:rPr>
        <w:t>SHRM. n.d. </w:t>
      </w:r>
      <w:r w:rsidRPr="003E0D61">
        <w:rPr>
          <w:rFonts w:cstheme="minorHAnsi"/>
          <w:i/>
          <w:iCs/>
          <w:shd w:val="clear" w:color="auto" w:fill="FFFFFF"/>
        </w:rPr>
        <w:t>Managing and Leveraging Workplace Use of Social Media</w:t>
      </w:r>
      <w:r w:rsidRPr="003E0D61">
        <w:rPr>
          <w:rFonts w:cstheme="minorHAnsi"/>
          <w:shd w:val="clear" w:color="auto" w:fill="FFFFFF"/>
        </w:rPr>
        <w:t>. [online] Available at: &lt;https://www.shrm.org/ResourcesAndTools/tools-and-samples/toolkits/Pages/managingsocialmedia.aspx&gt; [Accessed 17 June 2022].</w:t>
      </w:r>
    </w:p>
    <w:p w14:paraId="29D24091" w14:textId="437B06AB" w:rsidR="00695F01" w:rsidRPr="003E0D61" w:rsidRDefault="00255103" w:rsidP="00255103">
      <w:pPr>
        <w:pStyle w:val="ListParagraph"/>
        <w:numPr>
          <w:ilvl w:val="0"/>
          <w:numId w:val="1"/>
        </w:numPr>
        <w:rPr>
          <w:rFonts w:cstheme="minorHAnsi"/>
          <w:b/>
          <w:bCs/>
          <w:u w:val="single"/>
        </w:rPr>
      </w:pPr>
      <w:r w:rsidRPr="003E0D61">
        <w:rPr>
          <w:rFonts w:cstheme="minorHAnsi"/>
          <w:shd w:val="clear" w:color="auto" w:fill="FFFFFF"/>
        </w:rPr>
        <w:lastRenderedPageBreak/>
        <w:t xml:space="preserve">Waite, K., </w:t>
      </w:r>
      <w:proofErr w:type="spellStart"/>
      <w:r w:rsidRPr="003E0D61">
        <w:rPr>
          <w:rFonts w:cstheme="minorHAnsi"/>
          <w:shd w:val="clear" w:color="auto" w:fill="FFFFFF"/>
        </w:rPr>
        <w:t>Beevers</w:t>
      </w:r>
      <w:proofErr w:type="spellEnd"/>
      <w:r w:rsidRPr="003E0D61">
        <w:rPr>
          <w:rFonts w:cstheme="minorHAnsi"/>
          <w:shd w:val="clear" w:color="auto" w:fill="FFFFFF"/>
        </w:rPr>
        <w:t>, K., Small, N., Tomlinson, K. and Hussain, S., 2021. </w:t>
      </w:r>
      <w:r w:rsidRPr="003E0D61">
        <w:rPr>
          <w:rFonts w:cstheme="minorHAnsi"/>
          <w:i/>
          <w:iCs/>
          <w:shd w:val="clear" w:color="auto" w:fill="FFFFFF"/>
        </w:rPr>
        <w:t>People Practice: A Complete Guide</w:t>
      </w:r>
      <w:r w:rsidRPr="003E0D61">
        <w:rPr>
          <w:rFonts w:cstheme="minorHAnsi"/>
          <w:shd w:val="clear" w:color="auto" w:fill="FFFFFF"/>
        </w:rPr>
        <w:t xml:space="preserve">. </w:t>
      </w:r>
      <w:proofErr w:type="spellStart"/>
      <w:r w:rsidRPr="003E0D61">
        <w:rPr>
          <w:rFonts w:cstheme="minorHAnsi"/>
          <w:shd w:val="clear" w:color="auto" w:fill="FFFFFF"/>
        </w:rPr>
        <w:t>KoganPage</w:t>
      </w:r>
      <w:proofErr w:type="spellEnd"/>
      <w:r w:rsidRPr="003E0D61">
        <w:rPr>
          <w:rFonts w:cstheme="minorHAnsi"/>
          <w:shd w:val="clear" w:color="auto" w:fill="FFFFFF"/>
        </w:rPr>
        <w:t>, p.47.</w:t>
      </w:r>
    </w:p>
    <w:p w14:paraId="61BBA9C2" w14:textId="3842EC42" w:rsidR="00303541" w:rsidRPr="003E0D61" w:rsidRDefault="00303541" w:rsidP="00255103">
      <w:pPr>
        <w:pStyle w:val="ListParagraph"/>
        <w:numPr>
          <w:ilvl w:val="0"/>
          <w:numId w:val="1"/>
        </w:numPr>
        <w:rPr>
          <w:rFonts w:cstheme="minorHAnsi"/>
          <w:b/>
          <w:bCs/>
          <w:u w:val="single"/>
        </w:rPr>
      </w:pPr>
      <w:r w:rsidRPr="003E0D61">
        <w:rPr>
          <w:rFonts w:cstheme="minorHAnsi"/>
          <w:shd w:val="clear" w:color="auto" w:fill="FFFFFF"/>
        </w:rPr>
        <w:t>Young, J. (2021). </w:t>
      </w:r>
      <w:r w:rsidRPr="003E0D61">
        <w:rPr>
          <w:rStyle w:val="Emphasis"/>
          <w:rFonts w:cstheme="minorHAnsi"/>
          <w:shd w:val="clear" w:color="auto" w:fill="FFFFFF"/>
        </w:rPr>
        <w:t>Evidence-based Practice for Effective Decision-Making | Factsheets</w:t>
      </w:r>
      <w:r w:rsidRPr="003E0D61">
        <w:rPr>
          <w:rFonts w:cstheme="minorHAnsi"/>
          <w:shd w:val="clear" w:color="auto" w:fill="FFFFFF"/>
        </w:rPr>
        <w:t>. [online] CIPD. Available at: https://www.cipd.co.uk/knowledge/strategy/analytics/evidence-based-practice-factsheet#gref.</w:t>
      </w:r>
    </w:p>
    <w:p w14:paraId="43A4A216" w14:textId="1DEAF0D9" w:rsidR="00695F01" w:rsidRDefault="00695F01">
      <w:pPr>
        <w:rPr>
          <w:b/>
          <w:bCs/>
          <w:u w:val="single"/>
        </w:rPr>
      </w:pPr>
    </w:p>
    <w:p w14:paraId="592679EA" w14:textId="341FF1FB" w:rsidR="00695F01" w:rsidRDefault="00695F01">
      <w:pPr>
        <w:rPr>
          <w:b/>
          <w:bCs/>
          <w:u w:val="single"/>
        </w:rPr>
      </w:pPr>
    </w:p>
    <w:p w14:paraId="4892FA35" w14:textId="49959CCB" w:rsidR="00695F01" w:rsidRDefault="00695F01">
      <w:pPr>
        <w:rPr>
          <w:b/>
          <w:bCs/>
          <w:u w:val="single"/>
        </w:rPr>
      </w:pPr>
    </w:p>
    <w:p w14:paraId="0BACF3E9" w14:textId="0515F529" w:rsidR="00695F01" w:rsidRDefault="00695F01">
      <w:pPr>
        <w:rPr>
          <w:b/>
          <w:bCs/>
          <w:u w:val="single"/>
        </w:rPr>
      </w:pPr>
    </w:p>
    <w:p w14:paraId="366ACC42" w14:textId="3A2AD9D1" w:rsidR="00695F01" w:rsidRDefault="00695F01">
      <w:pPr>
        <w:rPr>
          <w:b/>
          <w:bCs/>
          <w:u w:val="single"/>
        </w:rPr>
      </w:pPr>
    </w:p>
    <w:p w14:paraId="18F2F89A" w14:textId="3C37DEF9" w:rsidR="00695F01" w:rsidRDefault="00695F01">
      <w:pPr>
        <w:rPr>
          <w:b/>
          <w:bCs/>
          <w:u w:val="single"/>
        </w:rPr>
      </w:pPr>
    </w:p>
    <w:p w14:paraId="4671C4AF" w14:textId="15933954" w:rsidR="00695F01" w:rsidRDefault="00695F01">
      <w:pPr>
        <w:rPr>
          <w:b/>
          <w:bCs/>
          <w:u w:val="single"/>
        </w:rPr>
      </w:pPr>
    </w:p>
    <w:p w14:paraId="083C4ADE" w14:textId="77777777" w:rsidR="00695F01" w:rsidRDefault="00695F01" w:rsidP="002078B5">
      <w:pPr>
        <w:rPr>
          <w:b/>
          <w:bCs/>
          <w:u w:val="single"/>
        </w:rPr>
      </w:pPr>
    </w:p>
    <w:p w14:paraId="14FDECA1" w14:textId="77777777" w:rsidR="003E0D61" w:rsidRDefault="003E0D61" w:rsidP="002078B5">
      <w:pPr>
        <w:rPr>
          <w:b/>
          <w:bCs/>
          <w:sz w:val="28"/>
          <w:szCs w:val="28"/>
          <w:u w:val="single"/>
        </w:rPr>
      </w:pPr>
    </w:p>
    <w:p w14:paraId="785327CF" w14:textId="77777777" w:rsidR="003E0D61" w:rsidRDefault="003E0D61" w:rsidP="002078B5">
      <w:pPr>
        <w:rPr>
          <w:b/>
          <w:bCs/>
          <w:sz w:val="28"/>
          <w:szCs w:val="28"/>
          <w:u w:val="single"/>
        </w:rPr>
      </w:pPr>
    </w:p>
    <w:p w14:paraId="7879B656" w14:textId="77777777" w:rsidR="003E0D61" w:rsidRDefault="003E0D61" w:rsidP="002078B5">
      <w:pPr>
        <w:rPr>
          <w:b/>
          <w:bCs/>
          <w:sz w:val="28"/>
          <w:szCs w:val="28"/>
          <w:u w:val="single"/>
        </w:rPr>
      </w:pPr>
    </w:p>
    <w:p w14:paraId="0514878C" w14:textId="77777777" w:rsidR="003E0D61" w:rsidRDefault="003E0D61" w:rsidP="002078B5">
      <w:pPr>
        <w:rPr>
          <w:b/>
          <w:bCs/>
          <w:sz w:val="28"/>
          <w:szCs w:val="28"/>
          <w:u w:val="single"/>
        </w:rPr>
      </w:pPr>
    </w:p>
    <w:p w14:paraId="33A262D5" w14:textId="7054ECFD" w:rsidR="002078B5" w:rsidRDefault="009207D8" w:rsidP="002078B5">
      <w:pPr>
        <w:rPr>
          <w:sz w:val="24"/>
          <w:szCs w:val="24"/>
        </w:rPr>
      </w:pPr>
      <w:r w:rsidRPr="00DE75F9">
        <w:rPr>
          <w:noProof/>
          <w:sz w:val="28"/>
          <w:szCs w:val="28"/>
        </w:rPr>
        <w:lastRenderedPageBreak/>
        <w:drawing>
          <wp:anchor distT="0" distB="0" distL="114300" distR="114300" simplePos="0" relativeHeight="251658240" behindDoc="0" locked="0" layoutInCell="1" allowOverlap="1" wp14:anchorId="16CBCF90" wp14:editId="68E8BC3B">
            <wp:simplePos x="0" y="0"/>
            <wp:positionH relativeFrom="margin">
              <wp:align>center</wp:align>
            </wp:positionH>
            <wp:positionV relativeFrom="paragraph">
              <wp:posOffset>480391</wp:posOffset>
            </wp:positionV>
            <wp:extent cx="7214109" cy="4807390"/>
            <wp:effectExtent l="0" t="0" r="6350" b="12700"/>
            <wp:wrapSquare wrapText="bothSides"/>
            <wp:docPr id="1" name="Chart 1">
              <a:extLst xmlns:a="http://schemas.openxmlformats.org/drawingml/2006/main">
                <a:ext uri="{FF2B5EF4-FFF2-40B4-BE49-F238E27FC236}">
                  <a16:creationId xmlns:a16="http://schemas.microsoft.com/office/drawing/2014/main" id="{D6B27969-153C-4606-9E11-3B19446F2D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2078B5" w:rsidRPr="00DE75F9">
        <w:rPr>
          <w:b/>
          <w:bCs/>
          <w:sz w:val="28"/>
          <w:szCs w:val="28"/>
          <w:u w:val="single"/>
        </w:rPr>
        <w:t xml:space="preserve">TASK TWO </w:t>
      </w:r>
      <w:r w:rsidR="002078B5">
        <w:rPr>
          <w:b/>
          <w:bCs/>
          <w:u w:val="single"/>
        </w:rPr>
        <w:t xml:space="preserve">- </w:t>
      </w:r>
      <w:r w:rsidR="002078B5" w:rsidRPr="00DE75F9">
        <w:rPr>
          <w:sz w:val="24"/>
          <w:szCs w:val="24"/>
        </w:rPr>
        <w:t>Example of analysis of data to inform practice</w:t>
      </w:r>
    </w:p>
    <w:p w14:paraId="72F55296" w14:textId="77777777" w:rsidR="00DE75F9" w:rsidRPr="00DE75F9" w:rsidRDefault="00DE75F9" w:rsidP="002078B5">
      <w:pPr>
        <w:rPr>
          <w:sz w:val="24"/>
          <w:szCs w:val="24"/>
        </w:rPr>
      </w:pPr>
    </w:p>
    <w:p w14:paraId="45F5DE31" w14:textId="77777777" w:rsidR="003C27F9" w:rsidRDefault="0085041B" w:rsidP="003C27F9">
      <w:pPr>
        <w:spacing w:after="0"/>
        <w:jc w:val="both"/>
      </w:pPr>
      <w:r>
        <w:t xml:space="preserve">From the data above, you can see that majority of the department </w:t>
      </w:r>
      <w:r w:rsidR="0084162E">
        <w:t xml:space="preserve">agree that they have scope to use their own initiative and the opportunity to develop their skills. </w:t>
      </w:r>
    </w:p>
    <w:p w14:paraId="012A0359" w14:textId="0BD9DB3B" w:rsidR="00F35FCA" w:rsidRDefault="003C27F9" w:rsidP="003C27F9">
      <w:pPr>
        <w:spacing w:after="0"/>
        <w:jc w:val="both"/>
      </w:pPr>
      <w:r>
        <w:t>Again, you can see that majority of the department agree that they are expected to complete outside of work hours</w:t>
      </w:r>
      <w:r w:rsidR="00AA52DF">
        <w:t xml:space="preserve">, which could </w:t>
      </w:r>
      <w:r w:rsidR="005B53AA">
        <w:t>mean that employees are not under pressure to meet deadlines</w:t>
      </w:r>
      <w:r>
        <w:t>. Coming work outside of contracted hours could lead to burnout</w:t>
      </w:r>
      <w:r w:rsidR="00AF063D">
        <w:t xml:space="preserve"> and stress, which could then lead to staff being off sick.</w:t>
      </w:r>
      <w:r w:rsidR="00F60E6B">
        <w:t xml:space="preserve"> Although they are completing work outside of work hours, </w:t>
      </w:r>
      <w:r w:rsidR="00DB10D0">
        <w:t>36.65% of</w:t>
      </w:r>
      <w:r w:rsidR="00F60E6B">
        <w:t xml:space="preserve"> the department still manage to fulfil commitments outside of work</w:t>
      </w:r>
      <w:r w:rsidR="00DB10D0">
        <w:t xml:space="preserve">, but 45.40% </w:t>
      </w:r>
      <w:r w:rsidR="00C803C6">
        <w:t xml:space="preserve">find it difficult. This could lead to people not having a work life balance. </w:t>
      </w:r>
      <w:r w:rsidR="006B0325">
        <w:t xml:space="preserve">Not having a work life balance could </w:t>
      </w:r>
      <w:r w:rsidR="000F0011">
        <w:t xml:space="preserve">instigate staff seeking other jobs where they would have a work life balance and being able to complete their work in their contracted hours. </w:t>
      </w:r>
    </w:p>
    <w:p w14:paraId="36628974" w14:textId="77777777" w:rsidR="00AA52DF" w:rsidRPr="0085041B" w:rsidRDefault="00AA52DF" w:rsidP="003C27F9">
      <w:pPr>
        <w:spacing w:after="0"/>
        <w:jc w:val="both"/>
      </w:pPr>
    </w:p>
    <w:p w14:paraId="7941EE61" w14:textId="2326D683" w:rsidR="009207D8" w:rsidRDefault="009207D8">
      <w:pPr>
        <w:rPr>
          <w:b/>
          <w:bCs/>
          <w:u w:val="single"/>
        </w:rPr>
      </w:pPr>
      <w:r>
        <w:rPr>
          <w:noProof/>
        </w:rPr>
        <w:lastRenderedPageBreak/>
        <w:drawing>
          <wp:anchor distT="0" distB="0" distL="114300" distR="114300" simplePos="0" relativeHeight="251659264" behindDoc="0" locked="0" layoutInCell="1" allowOverlap="1" wp14:anchorId="6421EA30" wp14:editId="24003263">
            <wp:simplePos x="0" y="0"/>
            <wp:positionH relativeFrom="margin">
              <wp:align>center</wp:align>
            </wp:positionH>
            <wp:positionV relativeFrom="paragraph">
              <wp:posOffset>113</wp:posOffset>
            </wp:positionV>
            <wp:extent cx="7260590" cy="4634865"/>
            <wp:effectExtent l="0" t="0" r="16510" b="13335"/>
            <wp:wrapSquare wrapText="bothSides"/>
            <wp:docPr id="4" name="Chart 4">
              <a:extLst xmlns:a="http://schemas.openxmlformats.org/drawingml/2006/main">
                <a:ext uri="{FF2B5EF4-FFF2-40B4-BE49-F238E27FC236}">
                  <a16:creationId xmlns:a16="http://schemas.microsoft.com/office/drawing/2014/main" id="{E894AFF5-4DF5-428F-92D7-31C5E8A4E3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7A2598D7" w14:textId="75A1337D" w:rsidR="00D44055" w:rsidRDefault="0095001B" w:rsidP="00732E2C">
      <w:pPr>
        <w:spacing w:after="0"/>
      </w:pPr>
      <w:r>
        <w:t xml:space="preserve">Within the administration department, you can see that </w:t>
      </w:r>
      <w:r w:rsidR="007C5781">
        <w:t xml:space="preserve">89.20% of the department find it difficult to fulfil commitments outside of work, which is due to </w:t>
      </w:r>
      <w:r w:rsidR="00D44055">
        <w:t xml:space="preserve">them being expected to complete work outside of their contracted hours. </w:t>
      </w:r>
    </w:p>
    <w:p w14:paraId="44413F77" w14:textId="5E0A0E7C" w:rsidR="0051661F" w:rsidRDefault="0051661F" w:rsidP="00732E2C">
      <w:pPr>
        <w:spacing w:after="0"/>
      </w:pPr>
      <w:r>
        <w:t xml:space="preserve">Compared to the Research &amp; Design department, </w:t>
      </w:r>
      <w:r w:rsidR="00732E2C">
        <w:t xml:space="preserve">administration department aren’t provided with flexi time or the option to work from home. </w:t>
      </w:r>
    </w:p>
    <w:p w14:paraId="42DA9AB1" w14:textId="4D521EE3" w:rsidR="000E6852" w:rsidRDefault="00571D3B" w:rsidP="00732E2C">
      <w:pPr>
        <w:spacing w:after="0"/>
      </w:pPr>
      <w:r>
        <w:t xml:space="preserve">53.84% of the department also </w:t>
      </w:r>
      <w:r w:rsidR="00B836C9">
        <w:t>believe they don’t have the opportunity to develop skills. Often if staff can’t develop their skills in a job, they will seek jobs elsewhere in an organisation where they can develop their skills.</w:t>
      </w:r>
      <w:r w:rsidR="00E02849">
        <w:t xml:space="preserve"> this will decrease retention in the department.</w:t>
      </w:r>
    </w:p>
    <w:p w14:paraId="322AD408" w14:textId="627D06B0" w:rsidR="00352577" w:rsidRDefault="00E02849" w:rsidP="00352577">
      <w:pPr>
        <w:spacing w:after="0"/>
      </w:pPr>
      <w:r>
        <w:t xml:space="preserve">89.23% </w:t>
      </w:r>
      <w:r w:rsidR="00D63436">
        <w:t xml:space="preserve">of the department disagree that the absence rates are low. I believe this could be a link between </w:t>
      </w:r>
      <w:r w:rsidR="00A324F5">
        <w:t>staff having to complete work outside the contracted hours and not being able to fulfil commitments outside of work. This can lead to stress and work burnout, which is causing sick to be off sick.</w:t>
      </w:r>
    </w:p>
    <w:p w14:paraId="31B4D221" w14:textId="00EE1C46" w:rsidR="00352577" w:rsidRDefault="00352577" w:rsidP="00352577">
      <w:pPr>
        <w:spacing w:after="0"/>
      </w:pPr>
    </w:p>
    <w:p w14:paraId="49BF6C91" w14:textId="4FB4C6ED" w:rsidR="00352577" w:rsidRDefault="00352577" w:rsidP="00352577">
      <w:pPr>
        <w:spacing w:after="0"/>
      </w:pPr>
    </w:p>
    <w:p w14:paraId="654045A4" w14:textId="05F73AFF" w:rsidR="00352577" w:rsidRDefault="00352577" w:rsidP="00352577">
      <w:pPr>
        <w:spacing w:after="0"/>
      </w:pPr>
      <w:r>
        <w:rPr>
          <w:noProof/>
        </w:rPr>
        <w:lastRenderedPageBreak/>
        <w:drawing>
          <wp:anchor distT="0" distB="0" distL="114300" distR="114300" simplePos="0" relativeHeight="251660288" behindDoc="0" locked="0" layoutInCell="1" allowOverlap="1" wp14:anchorId="326AAF38" wp14:editId="789EED6C">
            <wp:simplePos x="0" y="0"/>
            <wp:positionH relativeFrom="margin">
              <wp:align>center</wp:align>
            </wp:positionH>
            <wp:positionV relativeFrom="paragraph">
              <wp:posOffset>415</wp:posOffset>
            </wp:positionV>
            <wp:extent cx="7324090" cy="4555490"/>
            <wp:effectExtent l="0" t="0" r="10160" b="16510"/>
            <wp:wrapSquare wrapText="bothSides"/>
            <wp:docPr id="5" name="Chart 5">
              <a:extLst xmlns:a="http://schemas.openxmlformats.org/drawingml/2006/main">
                <a:ext uri="{FF2B5EF4-FFF2-40B4-BE49-F238E27FC236}">
                  <a16:creationId xmlns:a16="http://schemas.microsoft.com/office/drawing/2014/main" id="{94959364-DF33-433D-903E-7AD8CD19A3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76559D7E" w14:textId="0D2B1A44" w:rsidR="00352577" w:rsidRDefault="00352577" w:rsidP="00352577">
      <w:pPr>
        <w:spacing w:after="0"/>
      </w:pPr>
    </w:p>
    <w:p w14:paraId="719C1295" w14:textId="06D32937" w:rsidR="00352577" w:rsidRDefault="00352577" w:rsidP="00352577">
      <w:pPr>
        <w:spacing w:after="0"/>
      </w:pPr>
      <w:r>
        <w:t>The marketing department is small compared to Research &amp; Design and Administration.</w:t>
      </w:r>
    </w:p>
    <w:p w14:paraId="6DE0E5D0" w14:textId="7F497D0B" w:rsidR="0031083F" w:rsidRDefault="0031083F" w:rsidP="00352577">
      <w:pPr>
        <w:spacing w:after="0"/>
      </w:pPr>
      <w:r>
        <w:t xml:space="preserve">Same as Administration, Marketing aren’t allowed to work from home. </w:t>
      </w:r>
      <w:r w:rsidR="003C0E8D">
        <w:t>If one department is allowed to work from home</w:t>
      </w:r>
      <w:r w:rsidR="000C26B4">
        <w:t xml:space="preserve"> </w:t>
      </w:r>
      <w:r w:rsidR="003C0E8D">
        <w:t>but other departments aren’t, then this could cause disputes within the organisation.</w:t>
      </w:r>
    </w:p>
    <w:p w14:paraId="414F0169" w14:textId="6AAFBE5D" w:rsidR="000C26B4" w:rsidRDefault="000C26B4" w:rsidP="00352577">
      <w:pPr>
        <w:spacing w:after="0"/>
      </w:pPr>
      <w:r>
        <w:t xml:space="preserve">Marketing is the only department where majority isn’t expected to work outside of work hours, but also </w:t>
      </w:r>
      <w:r w:rsidR="00384261">
        <w:t xml:space="preserve">the only department where they are aware that the organisation has the opportunity to job share. By looking at the data, this has an impact on </w:t>
      </w:r>
      <w:r w:rsidR="00875E01">
        <w:t xml:space="preserve">work life balance, as they don’t work over their contracted hours and can fulfil </w:t>
      </w:r>
      <w:r w:rsidR="00C54326">
        <w:t>commitments outside of work.</w:t>
      </w:r>
    </w:p>
    <w:p w14:paraId="0F411FCE" w14:textId="77777777" w:rsidR="00352577" w:rsidRDefault="00352577" w:rsidP="00352577">
      <w:pPr>
        <w:spacing w:after="0"/>
      </w:pPr>
    </w:p>
    <w:p w14:paraId="635E3CC2" w14:textId="7326DEC2" w:rsidR="002078B5" w:rsidRDefault="002078B5" w:rsidP="00352577">
      <w:pPr>
        <w:spacing w:after="0"/>
      </w:pPr>
    </w:p>
    <w:tbl>
      <w:tblPr>
        <w:tblStyle w:val="TableGrid"/>
        <w:tblW w:w="11375" w:type="dxa"/>
        <w:tblInd w:w="-1174" w:type="dxa"/>
        <w:tblBorders>
          <w:top w:val="single" w:sz="4" w:space="0" w:color="520D5D"/>
          <w:left w:val="single" w:sz="4" w:space="0" w:color="520D5D"/>
          <w:bottom w:val="single" w:sz="4" w:space="0" w:color="520D5D"/>
          <w:right w:val="single" w:sz="4" w:space="0" w:color="520D5D"/>
          <w:insideH w:val="single" w:sz="4" w:space="0" w:color="520D5D"/>
          <w:insideV w:val="single" w:sz="4" w:space="0" w:color="520D5D"/>
        </w:tblBorders>
        <w:tblCellMar>
          <w:top w:w="57" w:type="dxa"/>
          <w:bottom w:w="57" w:type="dxa"/>
        </w:tblCellMar>
        <w:tblLook w:val="04A0" w:firstRow="1" w:lastRow="0" w:firstColumn="1" w:lastColumn="0" w:noHBand="0" w:noVBand="1"/>
      </w:tblPr>
      <w:tblGrid>
        <w:gridCol w:w="2162"/>
        <w:gridCol w:w="2693"/>
        <w:gridCol w:w="3544"/>
        <w:gridCol w:w="2976"/>
      </w:tblGrid>
      <w:tr w:rsidR="002E352D" w:rsidRPr="008E11D3" w14:paraId="4A3FF9CD" w14:textId="709007B5" w:rsidTr="00AC35D6">
        <w:tc>
          <w:tcPr>
            <w:tcW w:w="2162" w:type="dxa"/>
            <w:shd w:val="clear" w:color="auto" w:fill="DDCCE6"/>
          </w:tcPr>
          <w:p w14:paraId="1FC0D601" w14:textId="77777777" w:rsidR="002E352D" w:rsidRPr="008E11D3" w:rsidRDefault="002E352D" w:rsidP="00FE2D71">
            <w:pPr>
              <w:rPr>
                <w:b/>
                <w:bCs/>
                <w:color w:val="4472C4" w:themeColor="accent1"/>
              </w:rPr>
            </w:pPr>
            <w:r w:rsidRPr="008E11D3">
              <w:rPr>
                <w:b/>
                <w:bCs/>
                <w:color w:val="4472C4" w:themeColor="accent1"/>
              </w:rPr>
              <w:t xml:space="preserve">Department </w:t>
            </w:r>
          </w:p>
        </w:tc>
        <w:tc>
          <w:tcPr>
            <w:tcW w:w="2693" w:type="dxa"/>
            <w:shd w:val="clear" w:color="auto" w:fill="DDCCE6"/>
          </w:tcPr>
          <w:p w14:paraId="43DEAAF2" w14:textId="39B903A9" w:rsidR="002E352D" w:rsidRPr="008E11D3" w:rsidRDefault="002E352D" w:rsidP="00FE2D71">
            <w:pPr>
              <w:rPr>
                <w:b/>
                <w:bCs/>
                <w:color w:val="4472C4" w:themeColor="accent1"/>
              </w:rPr>
            </w:pPr>
            <w:r>
              <w:rPr>
                <w:b/>
                <w:bCs/>
                <w:color w:val="4472C4" w:themeColor="accent1"/>
              </w:rPr>
              <w:t>Days</w:t>
            </w:r>
            <w:r w:rsidRPr="008E11D3">
              <w:rPr>
                <w:b/>
                <w:bCs/>
                <w:color w:val="4472C4" w:themeColor="accent1"/>
              </w:rPr>
              <w:t xml:space="preserve"> lost through absence</w:t>
            </w:r>
            <w:r w:rsidR="00AC35D6">
              <w:rPr>
                <w:b/>
                <w:bCs/>
                <w:color w:val="4472C4" w:themeColor="accent1"/>
              </w:rPr>
              <w:t xml:space="preserve"> – 3 Month Period</w:t>
            </w:r>
          </w:p>
        </w:tc>
        <w:tc>
          <w:tcPr>
            <w:tcW w:w="3544" w:type="dxa"/>
            <w:shd w:val="clear" w:color="auto" w:fill="DDCCE6"/>
          </w:tcPr>
          <w:p w14:paraId="5050E3CC" w14:textId="29B359D2" w:rsidR="002E352D" w:rsidRPr="008E11D3" w:rsidRDefault="002E352D" w:rsidP="00FE2D71">
            <w:pPr>
              <w:rPr>
                <w:b/>
                <w:bCs/>
                <w:color w:val="4472C4" w:themeColor="accent1"/>
              </w:rPr>
            </w:pPr>
            <w:r>
              <w:rPr>
                <w:b/>
                <w:bCs/>
                <w:color w:val="4472C4" w:themeColor="accent1"/>
              </w:rPr>
              <w:t>Projected Average Loss of Working Days – 12 Month Period</w:t>
            </w:r>
          </w:p>
        </w:tc>
        <w:tc>
          <w:tcPr>
            <w:tcW w:w="2976" w:type="dxa"/>
            <w:shd w:val="clear" w:color="auto" w:fill="DDCCE6"/>
          </w:tcPr>
          <w:p w14:paraId="6084A3FC" w14:textId="2A8BAC20" w:rsidR="002E352D" w:rsidRDefault="00237F35" w:rsidP="00FE2D71">
            <w:pPr>
              <w:rPr>
                <w:b/>
                <w:bCs/>
                <w:color w:val="4472C4" w:themeColor="accent1"/>
              </w:rPr>
            </w:pPr>
            <w:r>
              <w:rPr>
                <w:b/>
                <w:bCs/>
                <w:color w:val="4472C4" w:themeColor="accent1"/>
              </w:rPr>
              <w:t xml:space="preserve">Costs of Pay (Full Pay) </w:t>
            </w:r>
            <w:r w:rsidR="004C2816">
              <w:rPr>
                <w:b/>
                <w:bCs/>
                <w:color w:val="4472C4" w:themeColor="accent1"/>
              </w:rPr>
              <w:t xml:space="preserve">Whilst off Sick </w:t>
            </w:r>
            <w:r w:rsidR="00AC35D6">
              <w:rPr>
                <w:b/>
                <w:bCs/>
                <w:color w:val="4472C4" w:themeColor="accent1"/>
              </w:rPr>
              <w:t>-</w:t>
            </w:r>
            <w:r w:rsidR="004C2816">
              <w:rPr>
                <w:b/>
                <w:bCs/>
                <w:color w:val="4472C4" w:themeColor="accent1"/>
              </w:rPr>
              <w:t xml:space="preserve"> 3 Month Period</w:t>
            </w:r>
          </w:p>
        </w:tc>
      </w:tr>
      <w:tr w:rsidR="002E352D" w14:paraId="784CF3A0" w14:textId="6C16AB4F" w:rsidTr="00AC35D6">
        <w:tc>
          <w:tcPr>
            <w:tcW w:w="2162" w:type="dxa"/>
            <w:shd w:val="clear" w:color="auto" w:fill="F5EEF8"/>
          </w:tcPr>
          <w:p w14:paraId="135F0E82" w14:textId="77777777" w:rsidR="002E352D" w:rsidRPr="008E11D3" w:rsidRDefault="002E352D" w:rsidP="00FE2D71">
            <w:pPr>
              <w:rPr>
                <w:b/>
                <w:bCs/>
              </w:rPr>
            </w:pPr>
            <w:r w:rsidRPr="008E11D3">
              <w:rPr>
                <w:b/>
                <w:bCs/>
              </w:rPr>
              <w:t xml:space="preserve">Research and </w:t>
            </w:r>
            <w:r>
              <w:rPr>
                <w:b/>
                <w:bCs/>
              </w:rPr>
              <w:t>D</w:t>
            </w:r>
            <w:r w:rsidRPr="008E11D3">
              <w:rPr>
                <w:b/>
                <w:bCs/>
              </w:rPr>
              <w:t>esign</w:t>
            </w:r>
          </w:p>
        </w:tc>
        <w:tc>
          <w:tcPr>
            <w:tcW w:w="2693" w:type="dxa"/>
          </w:tcPr>
          <w:p w14:paraId="40BC4D52" w14:textId="4B0111AB" w:rsidR="002E352D" w:rsidRPr="00483B88" w:rsidRDefault="003D4952" w:rsidP="00FE2D71">
            <w:r>
              <w:t>250 days</w:t>
            </w:r>
          </w:p>
        </w:tc>
        <w:tc>
          <w:tcPr>
            <w:tcW w:w="3544" w:type="dxa"/>
          </w:tcPr>
          <w:p w14:paraId="12EF1031" w14:textId="0014B30D" w:rsidR="002E352D" w:rsidRPr="00483B88" w:rsidRDefault="00B95FE1" w:rsidP="00FE2D71">
            <w:r>
              <w:t>1,000 days</w:t>
            </w:r>
          </w:p>
        </w:tc>
        <w:tc>
          <w:tcPr>
            <w:tcW w:w="2976" w:type="dxa"/>
          </w:tcPr>
          <w:p w14:paraId="3CB6D6CF" w14:textId="067ACD3B" w:rsidR="002E352D" w:rsidRDefault="00F37353" w:rsidP="00FE2D71">
            <w:r>
              <w:t>£65,660</w:t>
            </w:r>
          </w:p>
        </w:tc>
      </w:tr>
      <w:tr w:rsidR="002E352D" w14:paraId="5024B97A" w14:textId="1E8B7CF7" w:rsidTr="00AC35D6">
        <w:tc>
          <w:tcPr>
            <w:tcW w:w="2162" w:type="dxa"/>
            <w:shd w:val="clear" w:color="auto" w:fill="F5EEF8"/>
          </w:tcPr>
          <w:p w14:paraId="3B2B3A6F" w14:textId="77777777" w:rsidR="002E352D" w:rsidRPr="008E11D3" w:rsidRDefault="002E352D" w:rsidP="00FE2D71">
            <w:pPr>
              <w:rPr>
                <w:b/>
                <w:bCs/>
              </w:rPr>
            </w:pPr>
            <w:r w:rsidRPr="008E11D3">
              <w:rPr>
                <w:b/>
                <w:bCs/>
              </w:rPr>
              <w:t>Administration</w:t>
            </w:r>
          </w:p>
        </w:tc>
        <w:tc>
          <w:tcPr>
            <w:tcW w:w="2693" w:type="dxa"/>
          </w:tcPr>
          <w:p w14:paraId="046D912A" w14:textId="6992DA9F" w:rsidR="002E352D" w:rsidRPr="00483B88" w:rsidRDefault="00A90F2B" w:rsidP="00FE2D71">
            <w:r>
              <w:t>32 days</w:t>
            </w:r>
          </w:p>
        </w:tc>
        <w:tc>
          <w:tcPr>
            <w:tcW w:w="3544" w:type="dxa"/>
          </w:tcPr>
          <w:p w14:paraId="7A66ADC1" w14:textId="58D5AEA5" w:rsidR="002E352D" w:rsidRPr="00483B88" w:rsidRDefault="00FC5E94" w:rsidP="00FE2D71">
            <w:r>
              <w:t>128 days</w:t>
            </w:r>
          </w:p>
        </w:tc>
        <w:tc>
          <w:tcPr>
            <w:tcW w:w="2976" w:type="dxa"/>
          </w:tcPr>
          <w:p w14:paraId="6845DF27" w14:textId="1870AF70" w:rsidR="002E352D" w:rsidRDefault="00270FAE" w:rsidP="00FE2D71">
            <w:r>
              <w:t>£2,962.50</w:t>
            </w:r>
          </w:p>
        </w:tc>
      </w:tr>
      <w:tr w:rsidR="002E352D" w14:paraId="306460BB" w14:textId="0EEB4F45" w:rsidTr="00AC35D6">
        <w:tc>
          <w:tcPr>
            <w:tcW w:w="2162" w:type="dxa"/>
            <w:shd w:val="clear" w:color="auto" w:fill="F5EEF8"/>
          </w:tcPr>
          <w:p w14:paraId="2BEC5A9C" w14:textId="77777777" w:rsidR="002E352D" w:rsidRPr="008E11D3" w:rsidRDefault="002E352D" w:rsidP="00FE2D71">
            <w:pPr>
              <w:rPr>
                <w:b/>
                <w:bCs/>
              </w:rPr>
            </w:pPr>
            <w:r w:rsidRPr="008E11D3">
              <w:rPr>
                <w:b/>
                <w:bCs/>
              </w:rPr>
              <w:t>Marketing</w:t>
            </w:r>
          </w:p>
        </w:tc>
        <w:tc>
          <w:tcPr>
            <w:tcW w:w="2693" w:type="dxa"/>
          </w:tcPr>
          <w:p w14:paraId="255CCB9F" w14:textId="219CEDFF" w:rsidR="002E352D" w:rsidRPr="00483B88" w:rsidRDefault="00A90F2B" w:rsidP="00FE2D71">
            <w:r>
              <w:t>3</w:t>
            </w:r>
            <w:r w:rsidR="00FC5E94">
              <w:t xml:space="preserve"> days</w:t>
            </w:r>
          </w:p>
        </w:tc>
        <w:tc>
          <w:tcPr>
            <w:tcW w:w="3544" w:type="dxa"/>
          </w:tcPr>
          <w:p w14:paraId="73FC4808" w14:textId="48C4A55C" w:rsidR="002E352D" w:rsidRPr="00483B88" w:rsidRDefault="00FC5E94" w:rsidP="00FE2D71">
            <w:r>
              <w:t>12 days</w:t>
            </w:r>
          </w:p>
        </w:tc>
        <w:tc>
          <w:tcPr>
            <w:tcW w:w="2976" w:type="dxa"/>
          </w:tcPr>
          <w:p w14:paraId="744CCC9A" w14:textId="27B1A672" w:rsidR="002E352D" w:rsidRDefault="00270FAE" w:rsidP="00FE2D71">
            <w:r>
              <w:t>£</w:t>
            </w:r>
            <w:r w:rsidR="00AC35D6">
              <w:t>560</w:t>
            </w:r>
          </w:p>
        </w:tc>
      </w:tr>
    </w:tbl>
    <w:p w14:paraId="353CA4AD" w14:textId="77777777" w:rsidR="00C54326" w:rsidRPr="00352577" w:rsidRDefault="00C54326" w:rsidP="00352577">
      <w:pPr>
        <w:spacing w:after="0"/>
      </w:pPr>
    </w:p>
    <w:sectPr w:rsidR="00C54326" w:rsidRPr="003525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90A96"/>
    <w:multiLevelType w:val="hybridMultilevel"/>
    <w:tmpl w:val="78DE76F2"/>
    <w:lvl w:ilvl="0" w:tplc="A7A00F8C">
      <w:start w:val="1"/>
      <w:numFmt w:val="decimal"/>
      <w:lvlText w:val="%1."/>
      <w:lvlJc w:val="left"/>
      <w:pPr>
        <w:tabs>
          <w:tab w:val="num" w:pos="720"/>
        </w:tabs>
        <w:ind w:left="720" w:hanging="360"/>
      </w:pPr>
    </w:lvl>
    <w:lvl w:ilvl="1" w:tplc="EA6CDD40" w:tentative="1">
      <w:start w:val="1"/>
      <w:numFmt w:val="decimal"/>
      <w:lvlText w:val="%2."/>
      <w:lvlJc w:val="left"/>
      <w:pPr>
        <w:tabs>
          <w:tab w:val="num" w:pos="1440"/>
        </w:tabs>
        <w:ind w:left="1440" w:hanging="360"/>
      </w:pPr>
    </w:lvl>
    <w:lvl w:ilvl="2" w:tplc="7CA677E8" w:tentative="1">
      <w:start w:val="1"/>
      <w:numFmt w:val="decimal"/>
      <w:lvlText w:val="%3."/>
      <w:lvlJc w:val="left"/>
      <w:pPr>
        <w:tabs>
          <w:tab w:val="num" w:pos="2160"/>
        </w:tabs>
        <w:ind w:left="2160" w:hanging="360"/>
      </w:pPr>
    </w:lvl>
    <w:lvl w:ilvl="3" w:tplc="95D0EE20" w:tentative="1">
      <w:start w:val="1"/>
      <w:numFmt w:val="decimal"/>
      <w:lvlText w:val="%4."/>
      <w:lvlJc w:val="left"/>
      <w:pPr>
        <w:tabs>
          <w:tab w:val="num" w:pos="2880"/>
        </w:tabs>
        <w:ind w:left="2880" w:hanging="360"/>
      </w:pPr>
    </w:lvl>
    <w:lvl w:ilvl="4" w:tplc="CCE4FA14" w:tentative="1">
      <w:start w:val="1"/>
      <w:numFmt w:val="decimal"/>
      <w:lvlText w:val="%5."/>
      <w:lvlJc w:val="left"/>
      <w:pPr>
        <w:tabs>
          <w:tab w:val="num" w:pos="3600"/>
        </w:tabs>
        <w:ind w:left="3600" w:hanging="360"/>
      </w:pPr>
    </w:lvl>
    <w:lvl w:ilvl="5" w:tplc="6ECAC35C" w:tentative="1">
      <w:start w:val="1"/>
      <w:numFmt w:val="decimal"/>
      <w:lvlText w:val="%6."/>
      <w:lvlJc w:val="left"/>
      <w:pPr>
        <w:tabs>
          <w:tab w:val="num" w:pos="4320"/>
        </w:tabs>
        <w:ind w:left="4320" w:hanging="360"/>
      </w:pPr>
    </w:lvl>
    <w:lvl w:ilvl="6" w:tplc="30524906" w:tentative="1">
      <w:start w:val="1"/>
      <w:numFmt w:val="decimal"/>
      <w:lvlText w:val="%7."/>
      <w:lvlJc w:val="left"/>
      <w:pPr>
        <w:tabs>
          <w:tab w:val="num" w:pos="5040"/>
        </w:tabs>
        <w:ind w:left="5040" w:hanging="360"/>
      </w:pPr>
    </w:lvl>
    <w:lvl w:ilvl="7" w:tplc="D292CA80" w:tentative="1">
      <w:start w:val="1"/>
      <w:numFmt w:val="decimal"/>
      <w:lvlText w:val="%8."/>
      <w:lvlJc w:val="left"/>
      <w:pPr>
        <w:tabs>
          <w:tab w:val="num" w:pos="5760"/>
        </w:tabs>
        <w:ind w:left="5760" w:hanging="360"/>
      </w:pPr>
    </w:lvl>
    <w:lvl w:ilvl="8" w:tplc="2B585770" w:tentative="1">
      <w:start w:val="1"/>
      <w:numFmt w:val="decimal"/>
      <w:lvlText w:val="%9."/>
      <w:lvlJc w:val="left"/>
      <w:pPr>
        <w:tabs>
          <w:tab w:val="num" w:pos="6480"/>
        </w:tabs>
        <w:ind w:left="6480" w:hanging="360"/>
      </w:pPr>
    </w:lvl>
  </w:abstractNum>
  <w:abstractNum w:abstractNumId="1" w15:restartNumberingAfterBreak="0">
    <w:nsid w:val="47B40925"/>
    <w:multiLevelType w:val="hybridMultilevel"/>
    <w:tmpl w:val="D8582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4B39B9"/>
    <w:multiLevelType w:val="hybridMultilevel"/>
    <w:tmpl w:val="45CE5860"/>
    <w:lvl w:ilvl="0" w:tplc="EC90FB88">
      <w:start w:val="1"/>
      <w:numFmt w:val="bullet"/>
      <w:lvlText w:val="•"/>
      <w:lvlJc w:val="left"/>
      <w:pPr>
        <w:tabs>
          <w:tab w:val="num" w:pos="720"/>
        </w:tabs>
        <w:ind w:left="720" w:hanging="360"/>
      </w:pPr>
      <w:rPr>
        <w:rFonts w:ascii="Arial" w:hAnsi="Arial" w:hint="default"/>
      </w:rPr>
    </w:lvl>
    <w:lvl w:ilvl="1" w:tplc="4D88D7D8" w:tentative="1">
      <w:start w:val="1"/>
      <w:numFmt w:val="bullet"/>
      <w:lvlText w:val="•"/>
      <w:lvlJc w:val="left"/>
      <w:pPr>
        <w:tabs>
          <w:tab w:val="num" w:pos="1440"/>
        </w:tabs>
        <w:ind w:left="1440" w:hanging="360"/>
      </w:pPr>
      <w:rPr>
        <w:rFonts w:ascii="Arial" w:hAnsi="Arial" w:hint="default"/>
      </w:rPr>
    </w:lvl>
    <w:lvl w:ilvl="2" w:tplc="F32C9D8C" w:tentative="1">
      <w:start w:val="1"/>
      <w:numFmt w:val="bullet"/>
      <w:lvlText w:val="•"/>
      <w:lvlJc w:val="left"/>
      <w:pPr>
        <w:tabs>
          <w:tab w:val="num" w:pos="2160"/>
        </w:tabs>
        <w:ind w:left="2160" w:hanging="360"/>
      </w:pPr>
      <w:rPr>
        <w:rFonts w:ascii="Arial" w:hAnsi="Arial" w:hint="default"/>
      </w:rPr>
    </w:lvl>
    <w:lvl w:ilvl="3" w:tplc="7D8497A2" w:tentative="1">
      <w:start w:val="1"/>
      <w:numFmt w:val="bullet"/>
      <w:lvlText w:val="•"/>
      <w:lvlJc w:val="left"/>
      <w:pPr>
        <w:tabs>
          <w:tab w:val="num" w:pos="2880"/>
        </w:tabs>
        <w:ind w:left="2880" w:hanging="360"/>
      </w:pPr>
      <w:rPr>
        <w:rFonts w:ascii="Arial" w:hAnsi="Arial" w:hint="default"/>
      </w:rPr>
    </w:lvl>
    <w:lvl w:ilvl="4" w:tplc="98466298" w:tentative="1">
      <w:start w:val="1"/>
      <w:numFmt w:val="bullet"/>
      <w:lvlText w:val="•"/>
      <w:lvlJc w:val="left"/>
      <w:pPr>
        <w:tabs>
          <w:tab w:val="num" w:pos="3600"/>
        </w:tabs>
        <w:ind w:left="3600" w:hanging="360"/>
      </w:pPr>
      <w:rPr>
        <w:rFonts w:ascii="Arial" w:hAnsi="Arial" w:hint="default"/>
      </w:rPr>
    </w:lvl>
    <w:lvl w:ilvl="5" w:tplc="C2AA6A9E" w:tentative="1">
      <w:start w:val="1"/>
      <w:numFmt w:val="bullet"/>
      <w:lvlText w:val="•"/>
      <w:lvlJc w:val="left"/>
      <w:pPr>
        <w:tabs>
          <w:tab w:val="num" w:pos="4320"/>
        </w:tabs>
        <w:ind w:left="4320" w:hanging="360"/>
      </w:pPr>
      <w:rPr>
        <w:rFonts w:ascii="Arial" w:hAnsi="Arial" w:hint="default"/>
      </w:rPr>
    </w:lvl>
    <w:lvl w:ilvl="6" w:tplc="A57AE44A" w:tentative="1">
      <w:start w:val="1"/>
      <w:numFmt w:val="bullet"/>
      <w:lvlText w:val="•"/>
      <w:lvlJc w:val="left"/>
      <w:pPr>
        <w:tabs>
          <w:tab w:val="num" w:pos="5040"/>
        </w:tabs>
        <w:ind w:left="5040" w:hanging="360"/>
      </w:pPr>
      <w:rPr>
        <w:rFonts w:ascii="Arial" w:hAnsi="Arial" w:hint="default"/>
      </w:rPr>
    </w:lvl>
    <w:lvl w:ilvl="7" w:tplc="722A118A" w:tentative="1">
      <w:start w:val="1"/>
      <w:numFmt w:val="bullet"/>
      <w:lvlText w:val="•"/>
      <w:lvlJc w:val="left"/>
      <w:pPr>
        <w:tabs>
          <w:tab w:val="num" w:pos="5760"/>
        </w:tabs>
        <w:ind w:left="5760" w:hanging="360"/>
      </w:pPr>
      <w:rPr>
        <w:rFonts w:ascii="Arial" w:hAnsi="Arial" w:hint="default"/>
      </w:rPr>
    </w:lvl>
    <w:lvl w:ilvl="8" w:tplc="591CE7F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8364ABC"/>
    <w:multiLevelType w:val="hybridMultilevel"/>
    <w:tmpl w:val="B9AEF918"/>
    <w:lvl w:ilvl="0" w:tplc="AFA4B858">
      <w:start w:val="1"/>
      <w:numFmt w:val="bullet"/>
      <w:lvlText w:val="•"/>
      <w:lvlJc w:val="left"/>
      <w:pPr>
        <w:tabs>
          <w:tab w:val="num" w:pos="720"/>
        </w:tabs>
        <w:ind w:left="720" w:hanging="360"/>
      </w:pPr>
      <w:rPr>
        <w:rFonts w:ascii="Arial" w:hAnsi="Arial" w:hint="default"/>
      </w:rPr>
    </w:lvl>
    <w:lvl w:ilvl="1" w:tplc="AE6873A0" w:tentative="1">
      <w:start w:val="1"/>
      <w:numFmt w:val="bullet"/>
      <w:lvlText w:val="•"/>
      <w:lvlJc w:val="left"/>
      <w:pPr>
        <w:tabs>
          <w:tab w:val="num" w:pos="1440"/>
        </w:tabs>
        <w:ind w:left="1440" w:hanging="360"/>
      </w:pPr>
      <w:rPr>
        <w:rFonts w:ascii="Arial" w:hAnsi="Arial" w:hint="default"/>
      </w:rPr>
    </w:lvl>
    <w:lvl w:ilvl="2" w:tplc="4B0804F8" w:tentative="1">
      <w:start w:val="1"/>
      <w:numFmt w:val="bullet"/>
      <w:lvlText w:val="•"/>
      <w:lvlJc w:val="left"/>
      <w:pPr>
        <w:tabs>
          <w:tab w:val="num" w:pos="2160"/>
        </w:tabs>
        <w:ind w:left="2160" w:hanging="360"/>
      </w:pPr>
      <w:rPr>
        <w:rFonts w:ascii="Arial" w:hAnsi="Arial" w:hint="default"/>
      </w:rPr>
    </w:lvl>
    <w:lvl w:ilvl="3" w:tplc="05AAC47E" w:tentative="1">
      <w:start w:val="1"/>
      <w:numFmt w:val="bullet"/>
      <w:lvlText w:val="•"/>
      <w:lvlJc w:val="left"/>
      <w:pPr>
        <w:tabs>
          <w:tab w:val="num" w:pos="2880"/>
        </w:tabs>
        <w:ind w:left="2880" w:hanging="360"/>
      </w:pPr>
      <w:rPr>
        <w:rFonts w:ascii="Arial" w:hAnsi="Arial" w:hint="default"/>
      </w:rPr>
    </w:lvl>
    <w:lvl w:ilvl="4" w:tplc="CF5CA9B0" w:tentative="1">
      <w:start w:val="1"/>
      <w:numFmt w:val="bullet"/>
      <w:lvlText w:val="•"/>
      <w:lvlJc w:val="left"/>
      <w:pPr>
        <w:tabs>
          <w:tab w:val="num" w:pos="3600"/>
        </w:tabs>
        <w:ind w:left="3600" w:hanging="360"/>
      </w:pPr>
      <w:rPr>
        <w:rFonts w:ascii="Arial" w:hAnsi="Arial" w:hint="default"/>
      </w:rPr>
    </w:lvl>
    <w:lvl w:ilvl="5" w:tplc="5B068906" w:tentative="1">
      <w:start w:val="1"/>
      <w:numFmt w:val="bullet"/>
      <w:lvlText w:val="•"/>
      <w:lvlJc w:val="left"/>
      <w:pPr>
        <w:tabs>
          <w:tab w:val="num" w:pos="4320"/>
        </w:tabs>
        <w:ind w:left="4320" w:hanging="360"/>
      </w:pPr>
      <w:rPr>
        <w:rFonts w:ascii="Arial" w:hAnsi="Arial" w:hint="default"/>
      </w:rPr>
    </w:lvl>
    <w:lvl w:ilvl="6" w:tplc="4EA470FE" w:tentative="1">
      <w:start w:val="1"/>
      <w:numFmt w:val="bullet"/>
      <w:lvlText w:val="•"/>
      <w:lvlJc w:val="left"/>
      <w:pPr>
        <w:tabs>
          <w:tab w:val="num" w:pos="5040"/>
        </w:tabs>
        <w:ind w:left="5040" w:hanging="360"/>
      </w:pPr>
      <w:rPr>
        <w:rFonts w:ascii="Arial" w:hAnsi="Arial" w:hint="default"/>
      </w:rPr>
    </w:lvl>
    <w:lvl w:ilvl="7" w:tplc="20AA6CCC" w:tentative="1">
      <w:start w:val="1"/>
      <w:numFmt w:val="bullet"/>
      <w:lvlText w:val="•"/>
      <w:lvlJc w:val="left"/>
      <w:pPr>
        <w:tabs>
          <w:tab w:val="num" w:pos="5760"/>
        </w:tabs>
        <w:ind w:left="5760" w:hanging="360"/>
      </w:pPr>
      <w:rPr>
        <w:rFonts w:ascii="Arial" w:hAnsi="Arial" w:hint="default"/>
      </w:rPr>
    </w:lvl>
    <w:lvl w:ilvl="8" w:tplc="5C5E11D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0A60DD"/>
    <w:multiLevelType w:val="hybridMultilevel"/>
    <w:tmpl w:val="9392C9F0"/>
    <w:lvl w:ilvl="0" w:tplc="7FFC6A02">
      <w:start w:val="1"/>
      <w:numFmt w:val="bullet"/>
      <w:lvlText w:val="•"/>
      <w:lvlJc w:val="left"/>
      <w:pPr>
        <w:tabs>
          <w:tab w:val="num" w:pos="720"/>
        </w:tabs>
        <w:ind w:left="720" w:hanging="360"/>
      </w:pPr>
      <w:rPr>
        <w:rFonts w:ascii="Arial" w:hAnsi="Arial" w:hint="default"/>
      </w:rPr>
    </w:lvl>
    <w:lvl w:ilvl="1" w:tplc="62BC580C" w:tentative="1">
      <w:start w:val="1"/>
      <w:numFmt w:val="bullet"/>
      <w:lvlText w:val="•"/>
      <w:lvlJc w:val="left"/>
      <w:pPr>
        <w:tabs>
          <w:tab w:val="num" w:pos="1440"/>
        </w:tabs>
        <w:ind w:left="1440" w:hanging="360"/>
      </w:pPr>
      <w:rPr>
        <w:rFonts w:ascii="Arial" w:hAnsi="Arial" w:hint="default"/>
      </w:rPr>
    </w:lvl>
    <w:lvl w:ilvl="2" w:tplc="57782294" w:tentative="1">
      <w:start w:val="1"/>
      <w:numFmt w:val="bullet"/>
      <w:lvlText w:val="•"/>
      <w:lvlJc w:val="left"/>
      <w:pPr>
        <w:tabs>
          <w:tab w:val="num" w:pos="2160"/>
        </w:tabs>
        <w:ind w:left="2160" w:hanging="360"/>
      </w:pPr>
      <w:rPr>
        <w:rFonts w:ascii="Arial" w:hAnsi="Arial" w:hint="default"/>
      </w:rPr>
    </w:lvl>
    <w:lvl w:ilvl="3" w:tplc="EA7A061E" w:tentative="1">
      <w:start w:val="1"/>
      <w:numFmt w:val="bullet"/>
      <w:lvlText w:val="•"/>
      <w:lvlJc w:val="left"/>
      <w:pPr>
        <w:tabs>
          <w:tab w:val="num" w:pos="2880"/>
        </w:tabs>
        <w:ind w:left="2880" w:hanging="360"/>
      </w:pPr>
      <w:rPr>
        <w:rFonts w:ascii="Arial" w:hAnsi="Arial" w:hint="default"/>
      </w:rPr>
    </w:lvl>
    <w:lvl w:ilvl="4" w:tplc="20248A2E" w:tentative="1">
      <w:start w:val="1"/>
      <w:numFmt w:val="bullet"/>
      <w:lvlText w:val="•"/>
      <w:lvlJc w:val="left"/>
      <w:pPr>
        <w:tabs>
          <w:tab w:val="num" w:pos="3600"/>
        </w:tabs>
        <w:ind w:left="3600" w:hanging="360"/>
      </w:pPr>
      <w:rPr>
        <w:rFonts w:ascii="Arial" w:hAnsi="Arial" w:hint="default"/>
      </w:rPr>
    </w:lvl>
    <w:lvl w:ilvl="5" w:tplc="ABC4F2FC" w:tentative="1">
      <w:start w:val="1"/>
      <w:numFmt w:val="bullet"/>
      <w:lvlText w:val="•"/>
      <w:lvlJc w:val="left"/>
      <w:pPr>
        <w:tabs>
          <w:tab w:val="num" w:pos="4320"/>
        </w:tabs>
        <w:ind w:left="4320" w:hanging="360"/>
      </w:pPr>
      <w:rPr>
        <w:rFonts w:ascii="Arial" w:hAnsi="Arial" w:hint="default"/>
      </w:rPr>
    </w:lvl>
    <w:lvl w:ilvl="6" w:tplc="42F4EB94" w:tentative="1">
      <w:start w:val="1"/>
      <w:numFmt w:val="bullet"/>
      <w:lvlText w:val="•"/>
      <w:lvlJc w:val="left"/>
      <w:pPr>
        <w:tabs>
          <w:tab w:val="num" w:pos="5040"/>
        </w:tabs>
        <w:ind w:left="5040" w:hanging="360"/>
      </w:pPr>
      <w:rPr>
        <w:rFonts w:ascii="Arial" w:hAnsi="Arial" w:hint="default"/>
      </w:rPr>
    </w:lvl>
    <w:lvl w:ilvl="7" w:tplc="3E2C8A4C" w:tentative="1">
      <w:start w:val="1"/>
      <w:numFmt w:val="bullet"/>
      <w:lvlText w:val="•"/>
      <w:lvlJc w:val="left"/>
      <w:pPr>
        <w:tabs>
          <w:tab w:val="num" w:pos="5760"/>
        </w:tabs>
        <w:ind w:left="5760" w:hanging="360"/>
      </w:pPr>
      <w:rPr>
        <w:rFonts w:ascii="Arial" w:hAnsi="Arial" w:hint="default"/>
      </w:rPr>
    </w:lvl>
    <w:lvl w:ilvl="8" w:tplc="12C469F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912209A"/>
    <w:multiLevelType w:val="hybridMultilevel"/>
    <w:tmpl w:val="FBCA0AAE"/>
    <w:lvl w:ilvl="0" w:tplc="39E0AF86">
      <w:start w:val="1"/>
      <w:numFmt w:val="bullet"/>
      <w:lvlText w:val="•"/>
      <w:lvlJc w:val="left"/>
      <w:pPr>
        <w:tabs>
          <w:tab w:val="num" w:pos="720"/>
        </w:tabs>
        <w:ind w:left="720" w:hanging="360"/>
      </w:pPr>
      <w:rPr>
        <w:rFonts w:ascii="Arial" w:hAnsi="Arial" w:hint="default"/>
      </w:rPr>
    </w:lvl>
    <w:lvl w:ilvl="1" w:tplc="45C62C30" w:tentative="1">
      <w:start w:val="1"/>
      <w:numFmt w:val="bullet"/>
      <w:lvlText w:val="•"/>
      <w:lvlJc w:val="left"/>
      <w:pPr>
        <w:tabs>
          <w:tab w:val="num" w:pos="1440"/>
        </w:tabs>
        <w:ind w:left="1440" w:hanging="360"/>
      </w:pPr>
      <w:rPr>
        <w:rFonts w:ascii="Arial" w:hAnsi="Arial" w:hint="default"/>
      </w:rPr>
    </w:lvl>
    <w:lvl w:ilvl="2" w:tplc="A500A46A" w:tentative="1">
      <w:start w:val="1"/>
      <w:numFmt w:val="bullet"/>
      <w:lvlText w:val="•"/>
      <w:lvlJc w:val="left"/>
      <w:pPr>
        <w:tabs>
          <w:tab w:val="num" w:pos="2160"/>
        </w:tabs>
        <w:ind w:left="2160" w:hanging="360"/>
      </w:pPr>
      <w:rPr>
        <w:rFonts w:ascii="Arial" w:hAnsi="Arial" w:hint="default"/>
      </w:rPr>
    </w:lvl>
    <w:lvl w:ilvl="3" w:tplc="E0B4E3F4" w:tentative="1">
      <w:start w:val="1"/>
      <w:numFmt w:val="bullet"/>
      <w:lvlText w:val="•"/>
      <w:lvlJc w:val="left"/>
      <w:pPr>
        <w:tabs>
          <w:tab w:val="num" w:pos="2880"/>
        </w:tabs>
        <w:ind w:left="2880" w:hanging="360"/>
      </w:pPr>
      <w:rPr>
        <w:rFonts w:ascii="Arial" w:hAnsi="Arial" w:hint="default"/>
      </w:rPr>
    </w:lvl>
    <w:lvl w:ilvl="4" w:tplc="B2CE3B24" w:tentative="1">
      <w:start w:val="1"/>
      <w:numFmt w:val="bullet"/>
      <w:lvlText w:val="•"/>
      <w:lvlJc w:val="left"/>
      <w:pPr>
        <w:tabs>
          <w:tab w:val="num" w:pos="3600"/>
        </w:tabs>
        <w:ind w:left="3600" w:hanging="360"/>
      </w:pPr>
      <w:rPr>
        <w:rFonts w:ascii="Arial" w:hAnsi="Arial" w:hint="default"/>
      </w:rPr>
    </w:lvl>
    <w:lvl w:ilvl="5" w:tplc="574C81C4" w:tentative="1">
      <w:start w:val="1"/>
      <w:numFmt w:val="bullet"/>
      <w:lvlText w:val="•"/>
      <w:lvlJc w:val="left"/>
      <w:pPr>
        <w:tabs>
          <w:tab w:val="num" w:pos="4320"/>
        </w:tabs>
        <w:ind w:left="4320" w:hanging="360"/>
      </w:pPr>
      <w:rPr>
        <w:rFonts w:ascii="Arial" w:hAnsi="Arial" w:hint="default"/>
      </w:rPr>
    </w:lvl>
    <w:lvl w:ilvl="6" w:tplc="CEB6DBB4" w:tentative="1">
      <w:start w:val="1"/>
      <w:numFmt w:val="bullet"/>
      <w:lvlText w:val="•"/>
      <w:lvlJc w:val="left"/>
      <w:pPr>
        <w:tabs>
          <w:tab w:val="num" w:pos="5040"/>
        </w:tabs>
        <w:ind w:left="5040" w:hanging="360"/>
      </w:pPr>
      <w:rPr>
        <w:rFonts w:ascii="Arial" w:hAnsi="Arial" w:hint="default"/>
      </w:rPr>
    </w:lvl>
    <w:lvl w:ilvl="7" w:tplc="4A4CC0EC" w:tentative="1">
      <w:start w:val="1"/>
      <w:numFmt w:val="bullet"/>
      <w:lvlText w:val="•"/>
      <w:lvlJc w:val="left"/>
      <w:pPr>
        <w:tabs>
          <w:tab w:val="num" w:pos="5760"/>
        </w:tabs>
        <w:ind w:left="5760" w:hanging="360"/>
      </w:pPr>
      <w:rPr>
        <w:rFonts w:ascii="Arial" w:hAnsi="Arial" w:hint="default"/>
      </w:rPr>
    </w:lvl>
    <w:lvl w:ilvl="8" w:tplc="C68A40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94F440B"/>
    <w:multiLevelType w:val="hybridMultilevel"/>
    <w:tmpl w:val="3F76038E"/>
    <w:lvl w:ilvl="0" w:tplc="DD4C5AA0">
      <w:start w:val="1"/>
      <w:numFmt w:val="bullet"/>
      <w:lvlText w:val="•"/>
      <w:lvlJc w:val="left"/>
      <w:pPr>
        <w:tabs>
          <w:tab w:val="num" w:pos="720"/>
        </w:tabs>
        <w:ind w:left="720" w:hanging="360"/>
      </w:pPr>
      <w:rPr>
        <w:rFonts w:ascii="Arial" w:hAnsi="Arial" w:hint="default"/>
      </w:rPr>
    </w:lvl>
    <w:lvl w:ilvl="1" w:tplc="267E01DE" w:tentative="1">
      <w:start w:val="1"/>
      <w:numFmt w:val="bullet"/>
      <w:lvlText w:val="•"/>
      <w:lvlJc w:val="left"/>
      <w:pPr>
        <w:tabs>
          <w:tab w:val="num" w:pos="1440"/>
        </w:tabs>
        <w:ind w:left="1440" w:hanging="360"/>
      </w:pPr>
      <w:rPr>
        <w:rFonts w:ascii="Arial" w:hAnsi="Arial" w:hint="default"/>
      </w:rPr>
    </w:lvl>
    <w:lvl w:ilvl="2" w:tplc="23643998" w:tentative="1">
      <w:start w:val="1"/>
      <w:numFmt w:val="bullet"/>
      <w:lvlText w:val="•"/>
      <w:lvlJc w:val="left"/>
      <w:pPr>
        <w:tabs>
          <w:tab w:val="num" w:pos="2160"/>
        </w:tabs>
        <w:ind w:left="2160" w:hanging="360"/>
      </w:pPr>
      <w:rPr>
        <w:rFonts w:ascii="Arial" w:hAnsi="Arial" w:hint="default"/>
      </w:rPr>
    </w:lvl>
    <w:lvl w:ilvl="3" w:tplc="10223070" w:tentative="1">
      <w:start w:val="1"/>
      <w:numFmt w:val="bullet"/>
      <w:lvlText w:val="•"/>
      <w:lvlJc w:val="left"/>
      <w:pPr>
        <w:tabs>
          <w:tab w:val="num" w:pos="2880"/>
        </w:tabs>
        <w:ind w:left="2880" w:hanging="360"/>
      </w:pPr>
      <w:rPr>
        <w:rFonts w:ascii="Arial" w:hAnsi="Arial" w:hint="default"/>
      </w:rPr>
    </w:lvl>
    <w:lvl w:ilvl="4" w:tplc="BCF489B4" w:tentative="1">
      <w:start w:val="1"/>
      <w:numFmt w:val="bullet"/>
      <w:lvlText w:val="•"/>
      <w:lvlJc w:val="left"/>
      <w:pPr>
        <w:tabs>
          <w:tab w:val="num" w:pos="3600"/>
        </w:tabs>
        <w:ind w:left="3600" w:hanging="360"/>
      </w:pPr>
      <w:rPr>
        <w:rFonts w:ascii="Arial" w:hAnsi="Arial" w:hint="default"/>
      </w:rPr>
    </w:lvl>
    <w:lvl w:ilvl="5" w:tplc="4DF2C41E" w:tentative="1">
      <w:start w:val="1"/>
      <w:numFmt w:val="bullet"/>
      <w:lvlText w:val="•"/>
      <w:lvlJc w:val="left"/>
      <w:pPr>
        <w:tabs>
          <w:tab w:val="num" w:pos="4320"/>
        </w:tabs>
        <w:ind w:left="4320" w:hanging="360"/>
      </w:pPr>
      <w:rPr>
        <w:rFonts w:ascii="Arial" w:hAnsi="Arial" w:hint="default"/>
      </w:rPr>
    </w:lvl>
    <w:lvl w:ilvl="6" w:tplc="23D87086" w:tentative="1">
      <w:start w:val="1"/>
      <w:numFmt w:val="bullet"/>
      <w:lvlText w:val="•"/>
      <w:lvlJc w:val="left"/>
      <w:pPr>
        <w:tabs>
          <w:tab w:val="num" w:pos="5040"/>
        </w:tabs>
        <w:ind w:left="5040" w:hanging="360"/>
      </w:pPr>
      <w:rPr>
        <w:rFonts w:ascii="Arial" w:hAnsi="Arial" w:hint="default"/>
      </w:rPr>
    </w:lvl>
    <w:lvl w:ilvl="7" w:tplc="446AF2DA" w:tentative="1">
      <w:start w:val="1"/>
      <w:numFmt w:val="bullet"/>
      <w:lvlText w:val="•"/>
      <w:lvlJc w:val="left"/>
      <w:pPr>
        <w:tabs>
          <w:tab w:val="num" w:pos="5760"/>
        </w:tabs>
        <w:ind w:left="5760" w:hanging="360"/>
      </w:pPr>
      <w:rPr>
        <w:rFonts w:ascii="Arial" w:hAnsi="Arial" w:hint="default"/>
      </w:rPr>
    </w:lvl>
    <w:lvl w:ilvl="8" w:tplc="3486683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5"/>
  </w:num>
  <w:num w:numId="3">
    <w:abstractNumId w:val="0"/>
  </w:num>
  <w:num w:numId="4">
    <w:abstractNumId w:val="4"/>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2E6"/>
    <w:rsid w:val="00002A90"/>
    <w:rsid w:val="000A643C"/>
    <w:rsid w:val="000C26B4"/>
    <w:rsid w:val="000E6852"/>
    <w:rsid w:val="000F0011"/>
    <w:rsid w:val="00102854"/>
    <w:rsid w:val="00155842"/>
    <w:rsid w:val="002078B5"/>
    <w:rsid w:val="00226465"/>
    <w:rsid w:val="00237294"/>
    <w:rsid w:val="00237F35"/>
    <w:rsid w:val="00255103"/>
    <w:rsid w:val="0025583C"/>
    <w:rsid w:val="00270FAE"/>
    <w:rsid w:val="002B2FAD"/>
    <w:rsid w:val="002E352D"/>
    <w:rsid w:val="002F77BF"/>
    <w:rsid w:val="00300144"/>
    <w:rsid w:val="00303541"/>
    <w:rsid w:val="0031083F"/>
    <w:rsid w:val="003114C7"/>
    <w:rsid w:val="00352577"/>
    <w:rsid w:val="00384261"/>
    <w:rsid w:val="003B62D5"/>
    <w:rsid w:val="003C0E8D"/>
    <w:rsid w:val="003C27F9"/>
    <w:rsid w:val="003D4952"/>
    <w:rsid w:val="003E0D61"/>
    <w:rsid w:val="004328E8"/>
    <w:rsid w:val="00481C12"/>
    <w:rsid w:val="004B1C1F"/>
    <w:rsid w:val="004C2816"/>
    <w:rsid w:val="004C708A"/>
    <w:rsid w:val="0051661F"/>
    <w:rsid w:val="00571D3B"/>
    <w:rsid w:val="005A16EA"/>
    <w:rsid w:val="005B53AA"/>
    <w:rsid w:val="005E7B11"/>
    <w:rsid w:val="005F6150"/>
    <w:rsid w:val="006652BD"/>
    <w:rsid w:val="00693B91"/>
    <w:rsid w:val="00695F01"/>
    <w:rsid w:val="006B0325"/>
    <w:rsid w:val="006B39B1"/>
    <w:rsid w:val="006B7E44"/>
    <w:rsid w:val="00732E2C"/>
    <w:rsid w:val="00765839"/>
    <w:rsid w:val="00776036"/>
    <w:rsid w:val="00776E43"/>
    <w:rsid w:val="007C5781"/>
    <w:rsid w:val="008364B2"/>
    <w:rsid w:val="0084162E"/>
    <w:rsid w:val="0085041B"/>
    <w:rsid w:val="00875E01"/>
    <w:rsid w:val="008D1F12"/>
    <w:rsid w:val="008D4815"/>
    <w:rsid w:val="009207D8"/>
    <w:rsid w:val="0095001B"/>
    <w:rsid w:val="009F1A44"/>
    <w:rsid w:val="00A167BA"/>
    <w:rsid w:val="00A23287"/>
    <w:rsid w:val="00A324F5"/>
    <w:rsid w:val="00A82C8A"/>
    <w:rsid w:val="00A845A2"/>
    <w:rsid w:val="00A90F2B"/>
    <w:rsid w:val="00AA52DF"/>
    <w:rsid w:val="00AC35D6"/>
    <w:rsid w:val="00AF063D"/>
    <w:rsid w:val="00B00763"/>
    <w:rsid w:val="00B373AE"/>
    <w:rsid w:val="00B836C9"/>
    <w:rsid w:val="00B946E1"/>
    <w:rsid w:val="00B95FE1"/>
    <w:rsid w:val="00C15C43"/>
    <w:rsid w:val="00C15E65"/>
    <w:rsid w:val="00C2699C"/>
    <w:rsid w:val="00C40BE0"/>
    <w:rsid w:val="00C54326"/>
    <w:rsid w:val="00C73EBC"/>
    <w:rsid w:val="00C803C6"/>
    <w:rsid w:val="00C922E6"/>
    <w:rsid w:val="00CA6860"/>
    <w:rsid w:val="00D23F22"/>
    <w:rsid w:val="00D42E28"/>
    <w:rsid w:val="00D44055"/>
    <w:rsid w:val="00D63436"/>
    <w:rsid w:val="00D7494E"/>
    <w:rsid w:val="00D74DA9"/>
    <w:rsid w:val="00D762DD"/>
    <w:rsid w:val="00D87C9C"/>
    <w:rsid w:val="00DB10D0"/>
    <w:rsid w:val="00DE3D6A"/>
    <w:rsid w:val="00DE75F9"/>
    <w:rsid w:val="00E02849"/>
    <w:rsid w:val="00E17DBF"/>
    <w:rsid w:val="00E87C76"/>
    <w:rsid w:val="00EA2479"/>
    <w:rsid w:val="00EB595B"/>
    <w:rsid w:val="00ED6A5C"/>
    <w:rsid w:val="00EF57DD"/>
    <w:rsid w:val="00F13403"/>
    <w:rsid w:val="00F35FCA"/>
    <w:rsid w:val="00F37353"/>
    <w:rsid w:val="00F60E6B"/>
    <w:rsid w:val="00F870AF"/>
    <w:rsid w:val="00FC5E94"/>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3C222"/>
  <w15:chartTrackingRefBased/>
  <w15:docId w15:val="{3F40EA26-575F-4719-A72B-5D4D4C27F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78B5"/>
    <w:pPr>
      <w:autoSpaceDE w:val="0"/>
      <w:autoSpaceDN w:val="0"/>
      <w:adjustRightInd w:val="0"/>
      <w:spacing w:before="240" w:after="360" w:line="264" w:lineRule="auto"/>
      <w:jc w:val="both"/>
      <w:outlineLvl w:val="0"/>
    </w:pPr>
    <w:rPr>
      <w:rFonts w:ascii="Georgia" w:eastAsia="Arial" w:hAnsi="Georgia" w:cs="Arial"/>
      <w:i/>
      <w:iCs/>
      <w:color w:val="4472C4" w:themeColor="accent1"/>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8B5"/>
    <w:rPr>
      <w:rFonts w:ascii="Georgia" w:eastAsia="Arial" w:hAnsi="Georgia" w:cs="Arial"/>
      <w:i/>
      <w:iCs/>
      <w:color w:val="4472C4" w:themeColor="accent1"/>
      <w:sz w:val="48"/>
      <w:szCs w:val="48"/>
    </w:rPr>
  </w:style>
  <w:style w:type="table" w:styleId="TableGrid">
    <w:name w:val="Table Grid"/>
    <w:basedOn w:val="TableNormal"/>
    <w:uiPriority w:val="39"/>
    <w:rsid w:val="0076583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103"/>
    <w:pPr>
      <w:ind w:left="720"/>
      <w:contextualSpacing/>
    </w:pPr>
  </w:style>
  <w:style w:type="character" w:styleId="Emphasis">
    <w:name w:val="Emphasis"/>
    <w:basedOn w:val="DefaultParagraphFont"/>
    <w:uiPriority w:val="20"/>
    <w:qFormat/>
    <w:rsid w:val="00303541"/>
    <w:rPr>
      <w:i/>
      <w:iCs/>
    </w:rPr>
  </w:style>
  <w:style w:type="character" w:styleId="Hyperlink">
    <w:name w:val="Hyperlink"/>
    <w:basedOn w:val="DefaultParagraphFont"/>
    <w:uiPriority w:val="99"/>
    <w:unhideWhenUsed/>
    <w:rsid w:val="00A845A2"/>
    <w:rPr>
      <w:color w:val="0563C1" w:themeColor="hyperlink"/>
      <w:u w:val="single"/>
    </w:rPr>
  </w:style>
  <w:style w:type="character" w:styleId="UnresolvedMention">
    <w:name w:val="Unresolved Mention"/>
    <w:basedOn w:val="DefaultParagraphFont"/>
    <w:uiPriority w:val="99"/>
    <w:semiHidden/>
    <w:unhideWhenUsed/>
    <w:rsid w:val="00A845A2"/>
    <w:rPr>
      <w:color w:val="605E5C"/>
      <w:shd w:val="clear" w:color="auto" w:fill="E1DFDD"/>
    </w:rPr>
  </w:style>
  <w:style w:type="paragraph" w:styleId="NormalWeb">
    <w:name w:val="Normal (Web)"/>
    <w:basedOn w:val="Normal"/>
    <w:uiPriority w:val="99"/>
    <w:semiHidden/>
    <w:unhideWhenUsed/>
    <w:rsid w:val="00A82C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68690">
      <w:bodyDiv w:val="1"/>
      <w:marLeft w:val="0"/>
      <w:marRight w:val="0"/>
      <w:marTop w:val="0"/>
      <w:marBottom w:val="0"/>
      <w:divBdr>
        <w:top w:val="none" w:sz="0" w:space="0" w:color="auto"/>
        <w:left w:val="none" w:sz="0" w:space="0" w:color="auto"/>
        <w:bottom w:val="none" w:sz="0" w:space="0" w:color="auto"/>
        <w:right w:val="none" w:sz="0" w:space="0" w:color="auto"/>
      </w:divBdr>
      <w:divsChild>
        <w:div w:id="128979217">
          <w:marLeft w:val="274"/>
          <w:marRight w:val="0"/>
          <w:marTop w:val="0"/>
          <w:marBottom w:val="0"/>
          <w:divBdr>
            <w:top w:val="none" w:sz="0" w:space="0" w:color="auto"/>
            <w:left w:val="none" w:sz="0" w:space="0" w:color="auto"/>
            <w:bottom w:val="none" w:sz="0" w:space="0" w:color="auto"/>
            <w:right w:val="none" w:sz="0" w:space="0" w:color="auto"/>
          </w:divBdr>
        </w:div>
        <w:div w:id="748502928">
          <w:marLeft w:val="274"/>
          <w:marRight w:val="0"/>
          <w:marTop w:val="0"/>
          <w:marBottom w:val="0"/>
          <w:divBdr>
            <w:top w:val="none" w:sz="0" w:space="0" w:color="auto"/>
            <w:left w:val="none" w:sz="0" w:space="0" w:color="auto"/>
            <w:bottom w:val="none" w:sz="0" w:space="0" w:color="auto"/>
            <w:right w:val="none" w:sz="0" w:space="0" w:color="auto"/>
          </w:divBdr>
        </w:div>
        <w:div w:id="1601331201">
          <w:marLeft w:val="274"/>
          <w:marRight w:val="0"/>
          <w:marTop w:val="0"/>
          <w:marBottom w:val="0"/>
          <w:divBdr>
            <w:top w:val="none" w:sz="0" w:space="0" w:color="auto"/>
            <w:left w:val="none" w:sz="0" w:space="0" w:color="auto"/>
            <w:bottom w:val="none" w:sz="0" w:space="0" w:color="auto"/>
            <w:right w:val="none" w:sz="0" w:space="0" w:color="auto"/>
          </w:divBdr>
        </w:div>
        <w:div w:id="1920863893">
          <w:marLeft w:val="274"/>
          <w:marRight w:val="0"/>
          <w:marTop w:val="0"/>
          <w:marBottom w:val="0"/>
          <w:divBdr>
            <w:top w:val="none" w:sz="0" w:space="0" w:color="auto"/>
            <w:left w:val="none" w:sz="0" w:space="0" w:color="auto"/>
            <w:bottom w:val="none" w:sz="0" w:space="0" w:color="auto"/>
            <w:right w:val="none" w:sz="0" w:space="0" w:color="auto"/>
          </w:divBdr>
        </w:div>
        <w:div w:id="424033328">
          <w:marLeft w:val="274"/>
          <w:marRight w:val="0"/>
          <w:marTop w:val="0"/>
          <w:marBottom w:val="0"/>
          <w:divBdr>
            <w:top w:val="none" w:sz="0" w:space="0" w:color="auto"/>
            <w:left w:val="none" w:sz="0" w:space="0" w:color="auto"/>
            <w:bottom w:val="none" w:sz="0" w:space="0" w:color="auto"/>
            <w:right w:val="none" w:sz="0" w:space="0" w:color="auto"/>
          </w:divBdr>
        </w:div>
      </w:divsChild>
    </w:div>
    <w:div w:id="202328011">
      <w:bodyDiv w:val="1"/>
      <w:marLeft w:val="0"/>
      <w:marRight w:val="0"/>
      <w:marTop w:val="0"/>
      <w:marBottom w:val="0"/>
      <w:divBdr>
        <w:top w:val="none" w:sz="0" w:space="0" w:color="auto"/>
        <w:left w:val="none" w:sz="0" w:space="0" w:color="auto"/>
        <w:bottom w:val="none" w:sz="0" w:space="0" w:color="auto"/>
        <w:right w:val="none" w:sz="0" w:space="0" w:color="auto"/>
      </w:divBdr>
      <w:divsChild>
        <w:div w:id="1853642913">
          <w:marLeft w:val="274"/>
          <w:marRight w:val="0"/>
          <w:marTop w:val="0"/>
          <w:marBottom w:val="0"/>
          <w:divBdr>
            <w:top w:val="none" w:sz="0" w:space="0" w:color="auto"/>
            <w:left w:val="none" w:sz="0" w:space="0" w:color="auto"/>
            <w:bottom w:val="none" w:sz="0" w:space="0" w:color="auto"/>
            <w:right w:val="none" w:sz="0" w:space="0" w:color="auto"/>
          </w:divBdr>
        </w:div>
        <w:div w:id="1187909954">
          <w:marLeft w:val="274"/>
          <w:marRight w:val="0"/>
          <w:marTop w:val="0"/>
          <w:marBottom w:val="0"/>
          <w:divBdr>
            <w:top w:val="none" w:sz="0" w:space="0" w:color="auto"/>
            <w:left w:val="none" w:sz="0" w:space="0" w:color="auto"/>
            <w:bottom w:val="none" w:sz="0" w:space="0" w:color="auto"/>
            <w:right w:val="none" w:sz="0" w:space="0" w:color="auto"/>
          </w:divBdr>
        </w:div>
        <w:div w:id="1451898099">
          <w:marLeft w:val="274"/>
          <w:marRight w:val="0"/>
          <w:marTop w:val="0"/>
          <w:marBottom w:val="0"/>
          <w:divBdr>
            <w:top w:val="none" w:sz="0" w:space="0" w:color="auto"/>
            <w:left w:val="none" w:sz="0" w:space="0" w:color="auto"/>
            <w:bottom w:val="none" w:sz="0" w:space="0" w:color="auto"/>
            <w:right w:val="none" w:sz="0" w:space="0" w:color="auto"/>
          </w:divBdr>
        </w:div>
        <w:div w:id="1623461750">
          <w:marLeft w:val="274"/>
          <w:marRight w:val="0"/>
          <w:marTop w:val="0"/>
          <w:marBottom w:val="0"/>
          <w:divBdr>
            <w:top w:val="none" w:sz="0" w:space="0" w:color="auto"/>
            <w:left w:val="none" w:sz="0" w:space="0" w:color="auto"/>
            <w:bottom w:val="none" w:sz="0" w:space="0" w:color="auto"/>
            <w:right w:val="none" w:sz="0" w:space="0" w:color="auto"/>
          </w:divBdr>
        </w:div>
        <w:div w:id="1395080474">
          <w:marLeft w:val="360"/>
          <w:marRight w:val="0"/>
          <w:marTop w:val="0"/>
          <w:marBottom w:val="0"/>
          <w:divBdr>
            <w:top w:val="none" w:sz="0" w:space="0" w:color="auto"/>
            <w:left w:val="none" w:sz="0" w:space="0" w:color="auto"/>
            <w:bottom w:val="none" w:sz="0" w:space="0" w:color="auto"/>
            <w:right w:val="none" w:sz="0" w:space="0" w:color="auto"/>
          </w:divBdr>
        </w:div>
        <w:div w:id="274140684">
          <w:marLeft w:val="360"/>
          <w:marRight w:val="0"/>
          <w:marTop w:val="0"/>
          <w:marBottom w:val="0"/>
          <w:divBdr>
            <w:top w:val="none" w:sz="0" w:space="0" w:color="auto"/>
            <w:left w:val="none" w:sz="0" w:space="0" w:color="auto"/>
            <w:bottom w:val="none" w:sz="0" w:space="0" w:color="auto"/>
            <w:right w:val="none" w:sz="0" w:space="0" w:color="auto"/>
          </w:divBdr>
        </w:div>
        <w:div w:id="2130345801">
          <w:marLeft w:val="360"/>
          <w:marRight w:val="0"/>
          <w:marTop w:val="0"/>
          <w:marBottom w:val="0"/>
          <w:divBdr>
            <w:top w:val="none" w:sz="0" w:space="0" w:color="auto"/>
            <w:left w:val="none" w:sz="0" w:space="0" w:color="auto"/>
            <w:bottom w:val="none" w:sz="0" w:space="0" w:color="auto"/>
            <w:right w:val="none" w:sz="0" w:space="0" w:color="auto"/>
          </w:divBdr>
        </w:div>
        <w:div w:id="87697401">
          <w:marLeft w:val="360"/>
          <w:marRight w:val="0"/>
          <w:marTop w:val="0"/>
          <w:marBottom w:val="0"/>
          <w:divBdr>
            <w:top w:val="none" w:sz="0" w:space="0" w:color="auto"/>
            <w:left w:val="none" w:sz="0" w:space="0" w:color="auto"/>
            <w:bottom w:val="none" w:sz="0" w:space="0" w:color="auto"/>
            <w:right w:val="none" w:sz="0" w:space="0" w:color="auto"/>
          </w:divBdr>
        </w:div>
        <w:div w:id="512577059">
          <w:marLeft w:val="360"/>
          <w:marRight w:val="0"/>
          <w:marTop w:val="0"/>
          <w:marBottom w:val="0"/>
          <w:divBdr>
            <w:top w:val="none" w:sz="0" w:space="0" w:color="auto"/>
            <w:left w:val="none" w:sz="0" w:space="0" w:color="auto"/>
            <w:bottom w:val="none" w:sz="0" w:space="0" w:color="auto"/>
            <w:right w:val="none" w:sz="0" w:space="0" w:color="auto"/>
          </w:divBdr>
        </w:div>
        <w:div w:id="1931543171">
          <w:marLeft w:val="360"/>
          <w:marRight w:val="0"/>
          <w:marTop w:val="0"/>
          <w:marBottom w:val="0"/>
          <w:divBdr>
            <w:top w:val="none" w:sz="0" w:space="0" w:color="auto"/>
            <w:left w:val="none" w:sz="0" w:space="0" w:color="auto"/>
            <w:bottom w:val="none" w:sz="0" w:space="0" w:color="auto"/>
            <w:right w:val="none" w:sz="0" w:space="0" w:color="auto"/>
          </w:divBdr>
        </w:div>
        <w:div w:id="528297733">
          <w:marLeft w:val="274"/>
          <w:marRight w:val="0"/>
          <w:marTop w:val="0"/>
          <w:marBottom w:val="0"/>
          <w:divBdr>
            <w:top w:val="none" w:sz="0" w:space="0" w:color="auto"/>
            <w:left w:val="none" w:sz="0" w:space="0" w:color="auto"/>
            <w:bottom w:val="none" w:sz="0" w:space="0" w:color="auto"/>
            <w:right w:val="none" w:sz="0" w:space="0" w:color="auto"/>
          </w:divBdr>
        </w:div>
        <w:div w:id="2007899341">
          <w:marLeft w:val="274"/>
          <w:marRight w:val="0"/>
          <w:marTop w:val="0"/>
          <w:marBottom w:val="0"/>
          <w:divBdr>
            <w:top w:val="none" w:sz="0" w:space="0" w:color="auto"/>
            <w:left w:val="none" w:sz="0" w:space="0" w:color="auto"/>
            <w:bottom w:val="none" w:sz="0" w:space="0" w:color="auto"/>
            <w:right w:val="none" w:sz="0" w:space="0" w:color="auto"/>
          </w:divBdr>
        </w:div>
        <w:div w:id="1027609284">
          <w:marLeft w:val="274"/>
          <w:marRight w:val="0"/>
          <w:marTop w:val="0"/>
          <w:marBottom w:val="0"/>
          <w:divBdr>
            <w:top w:val="none" w:sz="0" w:space="0" w:color="auto"/>
            <w:left w:val="none" w:sz="0" w:space="0" w:color="auto"/>
            <w:bottom w:val="none" w:sz="0" w:space="0" w:color="auto"/>
            <w:right w:val="none" w:sz="0" w:space="0" w:color="auto"/>
          </w:divBdr>
        </w:div>
        <w:div w:id="973482014">
          <w:marLeft w:val="274"/>
          <w:marRight w:val="0"/>
          <w:marTop w:val="0"/>
          <w:marBottom w:val="0"/>
          <w:divBdr>
            <w:top w:val="none" w:sz="0" w:space="0" w:color="auto"/>
            <w:left w:val="none" w:sz="0" w:space="0" w:color="auto"/>
            <w:bottom w:val="none" w:sz="0" w:space="0" w:color="auto"/>
            <w:right w:val="none" w:sz="0" w:space="0" w:color="auto"/>
          </w:divBdr>
        </w:div>
      </w:divsChild>
    </w:div>
    <w:div w:id="224264333">
      <w:bodyDiv w:val="1"/>
      <w:marLeft w:val="0"/>
      <w:marRight w:val="0"/>
      <w:marTop w:val="0"/>
      <w:marBottom w:val="0"/>
      <w:divBdr>
        <w:top w:val="none" w:sz="0" w:space="0" w:color="auto"/>
        <w:left w:val="none" w:sz="0" w:space="0" w:color="auto"/>
        <w:bottom w:val="none" w:sz="0" w:space="0" w:color="auto"/>
        <w:right w:val="none" w:sz="0" w:space="0" w:color="auto"/>
      </w:divBdr>
    </w:div>
    <w:div w:id="235094234">
      <w:bodyDiv w:val="1"/>
      <w:marLeft w:val="0"/>
      <w:marRight w:val="0"/>
      <w:marTop w:val="0"/>
      <w:marBottom w:val="0"/>
      <w:divBdr>
        <w:top w:val="none" w:sz="0" w:space="0" w:color="auto"/>
        <w:left w:val="none" w:sz="0" w:space="0" w:color="auto"/>
        <w:bottom w:val="none" w:sz="0" w:space="0" w:color="auto"/>
        <w:right w:val="none" w:sz="0" w:space="0" w:color="auto"/>
      </w:divBdr>
    </w:div>
    <w:div w:id="416560738">
      <w:bodyDiv w:val="1"/>
      <w:marLeft w:val="0"/>
      <w:marRight w:val="0"/>
      <w:marTop w:val="0"/>
      <w:marBottom w:val="0"/>
      <w:divBdr>
        <w:top w:val="none" w:sz="0" w:space="0" w:color="auto"/>
        <w:left w:val="none" w:sz="0" w:space="0" w:color="auto"/>
        <w:bottom w:val="none" w:sz="0" w:space="0" w:color="auto"/>
        <w:right w:val="none" w:sz="0" w:space="0" w:color="auto"/>
      </w:divBdr>
      <w:divsChild>
        <w:div w:id="1489445778">
          <w:marLeft w:val="274"/>
          <w:marRight w:val="0"/>
          <w:marTop w:val="0"/>
          <w:marBottom w:val="0"/>
          <w:divBdr>
            <w:top w:val="none" w:sz="0" w:space="0" w:color="auto"/>
            <w:left w:val="none" w:sz="0" w:space="0" w:color="auto"/>
            <w:bottom w:val="none" w:sz="0" w:space="0" w:color="auto"/>
            <w:right w:val="none" w:sz="0" w:space="0" w:color="auto"/>
          </w:divBdr>
        </w:div>
        <w:div w:id="1792279895">
          <w:marLeft w:val="274"/>
          <w:marRight w:val="0"/>
          <w:marTop w:val="0"/>
          <w:marBottom w:val="0"/>
          <w:divBdr>
            <w:top w:val="none" w:sz="0" w:space="0" w:color="auto"/>
            <w:left w:val="none" w:sz="0" w:space="0" w:color="auto"/>
            <w:bottom w:val="none" w:sz="0" w:space="0" w:color="auto"/>
            <w:right w:val="none" w:sz="0" w:space="0" w:color="auto"/>
          </w:divBdr>
        </w:div>
        <w:div w:id="820662060">
          <w:marLeft w:val="274"/>
          <w:marRight w:val="0"/>
          <w:marTop w:val="0"/>
          <w:marBottom w:val="0"/>
          <w:divBdr>
            <w:top w:val="none" w:sz="0" w:space="0" w:color="auto"/>
            <w:left w:val="none" w:sz="0" w:space="0" w:color="auto"/>
            <w:bottom w:val="none" w:sz="0" w:space="0" w:color="auto"/>
            <w:right w:val="none" w:sz="0" w:space="0" w:color="auto"/>
          </w:divBdr>
        </w:div>
        <w:div w:id="1682048635">
          <w:marLeft w:val="274"/>
          <w:marRight w:val="0"/>
          <w:marTop w:val="0"/>
          <w:marBottom w:val="0"/>
          <w:divBdr>
            <w:top w:val="none" w:sz="0" w:space="0" w:color="auto"/>
            <w:left w:val="none" w:sz="0" w:space="0" w:color="auto"/>
            <w:bottom w:val="none" w:sz="0" w:space="0" w:color="auto"/>
            <w:right w:val="none" w:sz="0" w:space="0" w:color="auto"/>
          </w:divBdr>
        </w:div>
        <w:div w:id="1132943182">
          <w:marLeft w:val="274"/>
          <w:marRight w:val="0"/>
          <w:marTop w:val="0"/>
          <w:marBottom w:val="0"/>
          <w:divBdr>
            <w:top w:val="none" w:sz="0" w:space="0" w:color="auto"/>
            <w:left w:val="none" w:sz="0" w:space="0" w:color="auto"/>
            <w:bottom w:val="none" w:sz="0" w:space="0" w:color="auto"/>
            <w:right w:val="none" w:sz="0" w:space="0" w:color="auto"/>
          </w:divBdr>
        </w:div>
        <w:div w:id="336811842">
          <w:marLeft w:val="274"/>
          <w:marRight w:val="0"/>
          <w:marTop w:val="0"/>
          <w:marBottom w:val="0"/>
          <w:divBdr>
            <w:top w:val="none" w:sz="0" w:space="0" w:color="auto"/>
            <w:left w:val="none" w:sz="0" w:space="0" w:color="auto"/>
            <w:bottom w:val="none" w:sz="0" w:space="0" w:color="auto"/>
            <w:right w:val="none" w:sz="0" w:space="0" w:color="auto"/>
          </w:divBdr>
        </w:div>
      </w:divsChild>
    </w:div>
    <w:div w:id="1132136980">
      <w:bodyDiv w:val="1"/>
      <w:marLeft w:val="0"/>
      <w:marRight w:val="0"/>
      <w:marTop w:val="0"/>
      <w:marBottom w:val="0"/>
      <w:divBdr>
        <w:top w:val="none" w:sz="0" w:space="0" w:color="auto"/>
        <w:left w:val="none" w:sz="0" w:space="0" w:color="auto"/>
        <w:bottom w:val="none" w:sz="0" w:space="0" w:color="auto"/>
        <w:right w:val="none" w:sz="0" w:space="0" w:color="auto"/>
      </w:divBdr>
    </w:div>
    <w:div w:id="1437212735">
      <w:bodyDiv w:val="1"/>
      <w:marLeft w:val="0"/>
      <w:marRight w:val="0"/>
      <w:marTop w:val="0"/>
      <w:marBottom w:val="0"/>
      <w:divBdr>
        <w:top w:val="none" w:sz="0" w:space="0" w:color="auto"/>
        <w:left w:val="none" w:sz="0" w:space="0" w:color="auto"/>
        <w:bottom w:val="none" w:sz="0" w:space="0" w:color="auto"/>
        <w:right w:val="none" w:sz="0" w:space="0" w:color="auto"/>
      </w:divBdr>
    </w:div>
    <w:div w:id="1463881332">
      <w:bodyDiv w:val="1"/>
      <w:marLeft w:val="0"/>
      <w:marRight w:val="0"/>
      <w:marTop w:val="0"/>
      <w:marBottom w:val="0"/>
      <w:divBdr>
        <w:top w:val="none" w:sz="0" w:space="0" w:color="auto"/>
        <w:left w:val="none" w:sz="0" w:space="0" w:color="auto"/>
        <w:bottom w:val="none" w:sz="0" w:space="0" w:color="auto"/>
        <w:right w:val="none" w:sz="0" w:space="0" w:color="auto"/>
      </w:divBdr>
    </w:div>
    <w:div w:id="1821074693">
      <w:bodyDiv w:val="1"/>
      <w:marLeft w:val="0"/>
      <w:marRight w:val="0"/>
      <w:marTop w:val="0"/>
      <w:marBottom w:val="0"/>
      <w:divBdr>
        <w:top w:val="none" w:sz="0" w:space="0" w:color="auto"/>
        <w:left w:val="none" w:sz="0" w:space="0" w:color="auto"/>
        <w:bottom w:val="none" w:sz="0" w:space="0" w:color="auto"/>
        <w:right w:val="none" w:sz="0" w:space="0" w:color="auto"/>
      </w:divBdr>
    </w:div>
    <w:div w:id="201334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hyperlink" Target="https://www.cipd.co.uk/knowledge/strategy/analytics/factsheet" TargetMode="External"/><Relationship Id="rId3" Type="http://schemas.openxmlformats.org/officeDocument/2006/relationships/settings" Target="settings.xml"/><Relationship Id="rId21" Type="http://schemas.openxmlformats.org/officeDocument/2006/relationships/chart" Target="charts/chart3.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chart" Target="charts/chart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hyperlink" Target="https://www2.deloitte.com/content/dam/Deloitte/global/Documents/Deloitte-Analytics/dttl-analytics-analytics-advantage-report-061913.pdf" TargetMode="External"/><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s://www.forbes.com/sites/forbesagencycouncil/2019/10/01/the-age-of-analytics-and-the-importance-of-data-quality/" TargetMode="External"/><Relationship Id="rId14" Type="http://schemas.openxmlformats.org/officeDocument/2006/relationships/image" Target="media/image8.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ymru.nhs.uk\hdd_dfs\HomeDirs\Carmarthenshire\ff258618\CIPD%20People%20Practice\BCO02%20Principles%20of%20Analytics\Task%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ymru.nhs.uk\hdd_dfs\HomeDirs\Carmarthenshire\ff258618\CIPD%20People%20Practice\BCO02%20Principles%20of%20Analytics\Task%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ymru.nhs.uk\hdd_dfs\HomeDirs\Carmarthenshire\ff258618\CIPD%20People%20Practice\BCO02%20Principles%20of%20Analytics\Task%202.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Research &amp; Design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Agree or strongly agree</c:v>
                </c:pt>
              </c:strCache>
            </c:strRef>
          </c:tx>
          <c:spPr>
            <a:solidFill>
              <a:schemeClr val="accent1"/>
            </a:solidFill>
            <a:ln>
              <a:noFill/>
            </a:ln>
            <a:effectLst/>
          </c:spPr>
          <c:invertIfNegative val="0"/>
          <c:cat>
            <c:strRef>
              <c:f>Sheet1!$A$2:$A$11</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Sheet1!$B$2:$B$11</c:f>
              <c:numCache>
                <c:formatCode>0.00%</c:formatCode>
                <c:ptCount val="10"/>
                <c:pt idx="0">
                  <c:v>0.45300000000000001</c:v>
                </c:pt>
                <c:pt idx="1">
                  <c:v>0.69899999999999995</c:v>
                </c:pt>
                <c:pt idx="2">
                  <c:v>0.84219999999999995</c:v>
                </c:pt>
                <c:pt idx="3">
                  <c:v>2.18E-2</c:v>
                </c:pt>
                <c:pt idx="4">
                  <c:v>0.93200000000000005</c:v>
                </c:pt>
                <c:pt idx="5">
                  <c:v>0.91500000000000004</c:v>
                </c:pt>
                <c:pt idx="6">
                  <c:v>0.73299999999999998</c:v>
                </c:pt>
                <c:pt idx="7">
                  <c:v>0.65529999999999999</c:v>
                </c:pt>
                <c:pt idx="8">
                  <c:v>0.94169999999999998</c:v>
                </c:pt>
                <c:pt idx="9">
                  <c:v>0.70140000000000002</c:v>
                </c:pt>
              </c:numCache>
            </c:numRef>
          </c:val>
          <c:extLst>
            <c:ext xmlns:c16="http://schemas.microsoft.com/office/drawing/2014/chart" uri="{C3380CC4-5D6E-409C-BE32-E72D297353CC}">
              <c16:uniqueId val="{00000000-3214-4F70-8E1C-BB657CEEACFF}"/>
            </c:ext>
          </c:extLst>
        </c:ser>
        <c:ser>
          <c:idx val="1"/>
          <c:order val="1"/>
          <c:tx>
            <c:strRef>
              <c:f>Sheet1!$C$1</c:f>
              <c:strCache>
                <c:ptCount val="1"/>
                <c:pt idx="0">
                  <c:v>Neither agree nor disagree</c:v>
                </c:pt>
              </c:strCache>
            </c:strRef>
          </c:tx>
          <c:spPr>
            <a:solidFill>
              <a:schemeClr val="accent2"/>
            </a:solidFill>
            <a:ln>
              <a:noFill/>
            </a:ln>
            <a:effectLst/>
          </c:spPr>
          <c:invertIfNegative val="0"/>
          <c:cat>
            <c:strRef>
              <c:f>Sheet1!$A$2:$A$11</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Sheet1!$C$2:$C$11</c:f>
              <c:numCache>
                <c:formatCode>0.00%</c:formatCode>
                <c:ptCount val="10"/>
                <c:pt idx="0">
                  <c:v>0.12620000000000001</c:v>
                </c:pt>
                <c:pt idx="1">
                  <c:v>0.2233</c:v>
                </c:pt>
                <c:pt idx="2">
                  <c:v>4.8500000000000001E-2</c:v>
                </c:pt>
                <c:pt idx="3">
                  <c:v>1.9400000000000001E-2</c:v>
                </c:pt>
                <c:pt idx="4">
                  <c:v>1.4500000000000001E-2</c:v>
                </c:pt>
                <c:pt idx="5">
                  <c:v>2.4199999999999999E-2</c:v>
                </c:pt>
                <c:pt idx="6">
                  <c:v>9.7000000000000003E-2</c:v>
                </c:pt>
                <c:pt idx="7">
                  <c:v>6.3100000000000003E-2</c:v>
                </c:pt>
                <c:pt idx="8">
                  <c:v>2.3999999999999998E-3</c:v>
                </c:pt>
                <c:pt idx="9">
                  <c:v>0.23780000000000001</c:v>
                </c:pt>
              </c:numCache>
            </c:numRef>
          </c:val>
          <c:extLst>
            <c:ext xmlns:c16="http://schemas.microsoft.com/office/drawing/2014/chart" uri="{C3380CC4-5D6E-409C-BE32-E72D297353CC}">
              <c16:uniqueId val="{00000001-3214-4F70-8E1C-BB657CEEACFF}"/>
            </c:ext>
          </c:extLst>
        </c:ser>
        <c:ser>
          <c:idx val="2"/>
          <c:order val="2"/>
          <c:tx>
            <c:strRef>
              <c:f>Sheet1!$D$1</c:f>
              <c:strCache>
                <c:ptCount val="1"/>
                <c:pt idx="0">
                  <c:v>Disagree or strongly disagree</c:v>
                </c:pt>
              </c:strCache>
            </c:strRef>
          </c:tx>
          <c:spPr>
            <a:solidFill>
              <a:schemeClr val="accent3"/>
            </a:solidFill>
            <a:ln>
              <a:noFill/>
            </a:ln>
            <a:effectLst/>
          </c:spPr>
          <c:invertIfNegative val="0"/>
          <c:cat>
            <c:strRef>
              <c:f>Sheet1!$A$2:$A$11</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Sheet1!$D$2:$D$11</c:f>
              <c:numCache>
                <c:formatCode>0.00%</c:formatCode>
                <c:ptCount val="10"/>
                <c:pt idx="0">
                  <c:v>0.36649999999999999</c:v>
                </c:pt>
                <c:pt idx="1">
                  <c:v>2.4199999999999999E-2</c:v>
                </c:pt>
                <c:pt idx="2">
                  <c:v>5.5800000000000002E-2</c:v>
                </c:pt>
                <c:pt idx="3">
                  <c:v>0.90529999999999999</c:v>
                </c:pt>
                <c:pt idx="4" formatCode="0%">
                  <c:v>0</c:v>
                </c:pt>
                <c:pt idx="5">
                  <c:v>7.1999999999999998E-3</c:v>
                </c:pt>
                <c:pt idx="6">
                  <c:v>0.11650000000000001</c:v>
                </c:pt>
                <c:pt idx="7">
                  <c:v>0.2281</c:v>
                </c:pt>
                <c:pt idx="8">
                  <c:v>2.3999999999999998E-3</c:v>
                </c:pt>
                <c:pt idx="9">
                  <c:v>7.1999999999999998E-3</c:v>
                </c:pt>
              </c:numCache>
            </c:numRef>
          </c:val>
          <c:extLst>
            <c:ext xmlns:c16="http://schemas.microsoft.com/office/drawing/2014/chart" uri="{C3380CC4-5D6E-409C-BE32-E72D297353CC}">
              <c16:uniqueId val="{00000002-3214-4F70-8E1C-BB657CEEACFF}"/>
            </c:ext>
          </c:extLst>
        </c:ser>
        <c:ser>
          <c:idx val="3"/>
          <c:order val="3"/>
          <c:tx>
            <c:strRef>
              <c:f>Sheet1!$E$1</c:f>
              <c:strCache>
                <c:ptCount val="1"/>
                <c:pt idx="0">
                  <c:v>Did not respond </c:v>
                </c:pt>
              </c:strCache>
            </c:strRef>
          </c:tx>
          <c:spPr>
            <a:solidFill>
              <a:schemeClr val="accent4"/>
            </a:solidFill>
            <a:ln>
              <a:noFill/>
            </a:ln>
            <a:effectLst/>
          </c:spPr>
          <c:invertIfNegative val="0"/>
          <c:cat>
            <c:strRef>
              <c:f>Sheet1!$A$2:$A$11</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Sheet1!$E$2:$E$11</c:f>
              <c:numCache>
                <c:formatCode>0.00%</c:formatCode>
                <c:ptCount val="10"/>
                <c:pt idx="0">
                  <c:v>5.33E-2</c:v>
                </c:pt>
                <c:pt idx="1">
                  <c:v>5.33E-2</c:v>
                </c:pt>
                <c:pt idx="2">
                  <c:v>5.33E-2</c:v>
                </c:pt>
                <c:pt idx="3">
                  <c:v>5.33E-2</c:v>
                </c:pt>
                <c:pt idx="4">
                  <c:v>5.33E-2</c:v>
                </c:pt>
                <c:pt idx="5">
                  <c:v>5.33E-2</c:v>
                </c:pt>
                <c:pt idx="6">
                  <c:v>5.33E-2</c:v>
                </c:pt>
                <c:pt idx="7">
                  <c:v>5.33E-2</c:v>
                </c:pt>
                <c:pt idx="8">
                  <c:v>5.33E-2</c:v>
                </c:pt>
                <c:pt idx="9">
                  <c:v>5.33E-2</c:v>
                </c:pt>
              </c:numCache>
            </c:numRef>
          </c:val>
          <c:extLst>
            <c:ext xmlns:c16="http://schemas.microsoft.com/office/drawing/2014/chart" uri="{C3380CC4-5D6E-409C-BE32-E72D297353CC}">
              <c16:uniqueId val="{00000003-3214-4F70-8E1C-BB657CEEACFF}"/>
            </c:ext>
          </c:extLst>
        </c:ser>
        <c:dLbls>
          <c:showLegendKey val="0"/>
          <c:showVal val="0"/>
          <c:showCatName val="0"/>
          <c:showSerName val="0"/>
          <c:showPercent val="0"/>
          <c:showBubbleSize val="0"/>
        </c:dLbls>
        <c:gapWidth val="75"/>
        <c:overlap val="-25"/>
        <c:axId val="764532288"/>
        <c:axId val="764531040"/>
      </c:barChart>
      <c:catAx>
        <c:axId val="76453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531040"/>
        <c:crosses val="autoZero"/>
        <c:auto val="1"/>
        <c:lblAlgn val="ctr"/>
        <c:lblOffset val="100"/>
        <c:noMultiLvlLbl val="0"/>
      </c:catAx>
      <c:valAx>
        <c:axId val="7645310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53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Administration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Sheet1!$B$13</c:f>
              <c:strCache>
                <c:ptCount val="1"/>
                <c:pt idx="0">
                  <c:v>Agree or strongly agree</c:v>
                </c:pt>
              </c:strCache>
            </c:strRef>
          </c:tx>
          <c:spPr>
            <a:solidFill>
              <a:schemeClr val="accent1"/>
            </a:solidFill>
            <a:ln>
              <a:noFill/>
            </a:ln>
            <a:effectLst/>
          </c:spPr>
          <c:invertIfNegative val="0"/>
          <c:cat>
            <c:strRef>
              <c:f>Sheet1!$A$14:$A$23</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Sheet1!$B$14:$B$23</c:f>
              <c:numCache>
                <c:formatCode>0.00%</c:formatCode>
                <c:ptCount val="10"/>
                <c:pt idx="0">
                  <c:v>0.89200000000000002</c:v>
                </c:pt>
                <c:pt idx="1">
                  <c:v>6.1499999999999999E-2</c:v>
                </c:pt>
                <c:pt idx="2" formatCode="0%">
                  <c:v>0</c:v>
                </c:pt>
                <c:pt idx="3">
                  <c:v>0.123</c:v>
                </c:pt>
                <c:pt idx="4">
                  <c:v>4.6100000000000002E-2</c:v>
                </c:pt>
                <c:pt idx="5">
                  <c:v>0.32300000000000001</c:v>
                </c:pt>
                <c:pt idx="6">
                  <c:v>0.27689999999999998</c:v>
                </c:pt>
                <c:pt idx="7">
                  <c:v>0.78459999999999996</c:v>
                </c:pt>
                <c:pt idx="8">
                  <c:v>0.93840000000000001</c:v>
                </c:pt>
                <c:pt idx="9">
                  <c:v>4.6100000000000002E-2</c:v>
                </c:pt>
              </c:numCache>
            </c:numRef>
          </c:val>
          <c:extLst>
            <c:ext xmlns:c16="http://schemas.microsoft.com/office/drawing/2014/chart" uri="{C3380CC4-5D6E-409C-BE32-E72D297353CC}">
              <c16:uniqueId val="{00000000-DA33-4634-BFDE-F9AA714D803D}"/>
            </c:ext>
          </c:extLst>
        </c:ser>
        <c:ser>
          <c:idx val="1"/>
          <c:order val="1"/>
          <c:tx>
            <c:strRef>
              <c:f>Sheet1!$C$13</c:f>
              <c:strCache>
                <c:ptCount val="1"/>
                <c:pt idx="0">
                  <c:v>Neither agree nor disagree</c:v>
                </c:pt>
              </c:strCache>
            </c:strRef>
          </c:tx>
          <c:spPr>
            <a:solidFill>
              <a:schemeClr val="accent2"/>
            </a:solidFill>
            <a:ln>
              <a:noFill/>
            </a:ln>
            <a:effectLst/>
          </c:spPr>
          <c:invertIfNegative val="0"/>
          <c:cat>
            <c:strRef>
              <c:f>Sheet1!$A$14:$A$23</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Sheet1!$C$14:$C$23</c:f>
              <c:numCache>
                <c:formatCode>0%</c:formatCode>
                <c:ptCount val="10"/>
                <c:pt idx="0" formatCode="0.00%">
                  <c:v>1.5299999999999999E-2</c:v>
                </c:pt>
                <c:pt idx="1">
                  <c:v>0</c:v>
                </c:pt>
                <c:pt idx="2" formatCode="0.00%">
                  <c:v>0.27689999999999998</c:v>
                </c:pt>
                <c:pt idx="3" formatCode="0.00%">
                  <c:v>4.6100000000000002E-2</c:v>
                </c:pt>
                <c:pt idx="4" formatCode="0.00%">
                  <c:v>0.75380000000000003</c:v>
                </c:pt>
                <c:pt idx="5" formatCode="0.00%">
                  <c:v>7.6899999999999996E-2</c:v>
                </c:pt>
                <c:pt idx="6" formatCode="0.00%">
                  <c:v>0.27689999999999998</c:v>
                </c:pt>
                <c:pt idx="7" formatCode="0.00%">
                  <c:v>6.1499999999999999E-2</c:v>
                </c:pt>
                <c:pt idx="8">
                  <c:v>0</c:v>
                </c:pt>
                <c:pt idx="9">
                  <c:v>0</c:v>
                </c:pt>
              </c:numCache>
            </c:numRef>
          </c:val>
          <c:extLst>
            <c:ext xmlns:c16="http://schemas.microsoft.com/office/drawing/2014/chart" uri="{C3380CC4-5D6E-409C-BE32-E72D297353CC}">
              <c16:uniqueId val="{00000001-DA33-4634-BFDE-F9AA714D803D}"/>
            </c:ext>
          </c:extLst>
        </c:ser>
        <c:ser>
          <c:idx val="2"/>
          <c:order val="2"/>
          <c:tx>
            <c:strRef>
              <c:f>Sheet1!$D$13</c:f>
              <c:strCache>
                <c:ptCount val="1"/>
                <c:pt idx="0">
                  <c:v>Disagree or strongly disagree</c:v>
                </c:pt>
              </c:strCache>
            </c:strRef>
          </c:tx>
          <c:spPr>
            <a:solidFill>
              <a:schemeClr val="accent3"/>
            </a:solidFill>
            <a:ln>
              <a:noFill/>
            </a:ln>
            <a:effectLst/>
          </c:spPr>
          <c:invertIfNegative val="0"/>
          <c:cat>
            <c:strRef>
              <c:f>Sheet1!$A$14:$A$23</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Sheet1!$D$14:$D$23</c:f>
              <c:numCache>
                <c:formatCode>0.00%</c:formatCode>
                <c:ptCount val="10"/>
                <c:pt idx="0">
                  <c:v>3.0700000000000002E-2</c:v>
                </c:pt>
                <c:pt idx="1">
                  <c:v>0.87690000000000001</c:v>
                </c:pt>
                <c:pt idx="2">
                  <c:v>0.66149999999999998</c:v>
                </c:pt>
                <c:pt idx="3">
                  <c:v>0.76919999999999999</c:v>
                </c:pt>
                <c:pt idx="4">
                  <c:v>0.1384</c:v>
                </c:pt>
                <c:pt idx="5">
                  <c:v>0.53839999999999999</c:v>
                </c:pt>
                <c:pt idx="6">
                  <c:v>0.3846</c:v>
                </c:pt>
                <c:pt idx="7">
                  <c:v>9.2299999999999993E-2</c:v>
                </c:pt>
                <c:pt idx="8" formatCode="0%">
                  <c:v>0</c:v>
                </c:pt>
                <c:pt idx="9">
                  <c:v>0.89229999999999998</c:v>
                </c:pt>
              </c:numCache>
            </c:numRef>
          </c:val>
          <c:extLst>
            <c:ext xmlns:c16="http://schemas.microsoft.com/office/drawing/2014/chart" uri="{C3380CC4-5D6E-409C-BE32-E72D297353CC}">
              <c16:uniqueId val="{00000002-DA33-4634-BFDE-F9AA714D803D}"/>
            </c:ext>
          </c:extLst>
        </c:ser>
        <c:ser>
          <c:idx val="3"/>
          <c:order val="3"/>
          <c:tx>
            <c:strRef>
              <c:f>Sheet1!$E$13</c:f>
              <c:strCache>
                <c:ptCount val="1"/>
                <c:pt idx="0">
                  <c:v>Did not respond </c:v>
                </c:pt>
              </c:strCache>
            </c:strRef>
          </c:tx>
          <c:spPr>
            <a:solidFill>
              <a:schemeClr val="accent4"/>
            </a:solidFill>
            <a:ln>
              <a:noFill/>
            </a:ln>
            <a:effectLst/>
          </c:spPr>
          <c:invertIfNegative val="0"/>
          <c:cat>
            <c:strRef>
              <c:f>Sheet1!$A$14:$A$23</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Sheet1!$E$14:$E$23</c:f>
              <c:numCache>
                <c:formatCode>0.00%</c:formatCode>
                <c:ptCount val="10"/>
                <c:pt idx="0">
                  <c:v>6.1499999999999999E-2</c:v>
                </c:pt>
                <c:pt idx="1">
                  <c:v>6.1499999999999999E-2</c:v>
                </c:pt>
                <c:pt idx="2">
                  <c:v>6.1499999999999999E-2</c:v>
                </c:pt>
                <c:pt idx="3">
                  <c:v>6.1499999999999999E-2</c:v>
                </c:pt>
                <c:pt idx="4">
                  <c:v>6.1499999999999999E-2</c:v>
                </c:pt>
                <c:pt idx="5">
                  <c:v>6.1499999999999999E-2</c:v>
                </c:pt>
                <c:pt idx="6">
                  <c:v>6.1499999999999999E-2</c:v>
                </c:pt>
                <c:pt idx="7">
                  <c:v>6.1499999999999999E-2</c:v>
                </c:pt>
                <c:pt idx="8">
                  <c:v>6.1499999999999999E-2</c:v>
                </c:pt>
                <c:pt idx="9">
                  <c:v>6.1499999999999999E-2</c:v>
                </c:pt>
              </c:numCache>
            </c:numRef>
          </c:val>
          <c:extLst>
            <c:ext xmlns:c16="http://schemas.microsoft.com/office/drawing/2014/chart" uri="{C3380CC4-5D6E-409C-BE32-E72D297353CC}">
              <c16:uniqueId val="{00000003-DA33-4634-BFDE-F9AA714D803D}"/>
            </c:ext>
          </c:extLst>
        </c:ser>
        <c:dLbls>
          <c:showLegendKey val="0"/>
          <c:showVal val="0"/>
          <c:showCatName val="0"/>
          <c:showSerName val="0"/>
          <c:showPercent val="0"/>
          <c:showBubbleSize val="0"/>
        </c:dLbls>
        <c:gapWidth val="219"/>
        <c:overlap val="-27"/>
        <c:axId val="776626256"/>
        <c:axId val="776610864"/>
      </c:barChart>
      <c:catAx>
        <c:axId val="776626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610864"/>
        <c:crosses val="autoZero"/>
        <c:auto val="1"/>
        <c:lblAlgn val="ctr"/>
        <c:lblOffset val="100"/>
        <c:noMultiLvlLbl val="0"/>
      </c:catAx>
      <c:valAx>
        <c:axId val="7766108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626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Marketing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Sheet1!$B$25</c:f>
              <c:strCache>
                <c:ptCount val="1"/>
                <c:pt idx="0">
                  <c:v>Agree or strongly agree</c:v>
                </c:pt>
              </c:strCache>
            </c:strRef>
          </c:tx>
          <c:spPr>
            <a:solidFill>
              <a:schemeClr val="accent1"/>
            </a:solidFill>
            <a:ln>
              <a:noFill/>
            </a:ln>
            <a:effectLst/>
          </c:spPr>
          <c:invertIfNegative val="0"/>
          <c:cat>
            <c:strRef>
              <c:f>Sheet1!$A$26:$A$35</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Sheet1!$B$26:$B$35</c:f>
              <c:numCache>
                <c:formatCode>0%</c:formatCode>
                <c:ptCount val="10"/>
                <c:pt idx="0" formatCode="0.00%">
                  <c:v>0.1111</c:v>
                </c:pt>
                <c:pt idx="1">
                  <c:v>1</c:v>
                </c:pt>
                <c:pt idx="2">
                  <c:v>0</c:v>
                </c:pt>
                <c:pt idx="3">
                  <c:v>0</c:v>
                </c:pt>
                <c:pt idx="4" formatCode="0.00%">
                  <c:v>0.83330000000000004</c:v>
                </c:pt>
                <c:pt idx="5" formatCode="0.00%">
                  <c:v>0.77769999999999995</c:v>
                </c:pt>
                <c:pt idx="6" formatCode="0.00%">
                  <c:v>0.66659999999999997</c:v>
                </c:pt>
                <c:pt idx="7" formatCode="0.00%">
                  <c:v>0.55549999999999999</c:v>
                </c:pt>
                <c:pt idx="8" formatCode="0.00%">
                  <c:v>0.1111</c:v>
                </c:pt>
                <c:pt idx="9" formatCode="0.00%">
                  <c:v>0.94440000000000002</c:v>
                </c:pt>
              </c:numCache>
            </c:numRef>
          </c:val>
          <c:extLst>
            <c:ext xmlns:c16="http://schemas.microsoft.com/office/drawing/2014/chart" uri="{C3380CC4-5D6E-409C-BE32-E72D297353CC}">
              <c16:uniqueId val="{00000000-2E52-40EB-861D-EEE5617CA837}"/>
            </c:ext>
          </c:extLst>
        </c:ser>
        <c:ser>
          <c:idx val="1"/>
          <c:order val="1"/>
          <c:tx>
            <c:strRef>
              <c:f>Sheet1!$C$25</c:f>
              <c:strCache>
                <c:ptCount val="1"/>
                <c:pt idx="0">
                  <c:v>Neither agree nor disagree</c:v>
                </c:pt>
              </c:strCache>
            </c:strRef>
          </c:tx>
          <c:spPr>
            <a:solidFill>
              <a:schemeClr val="accent2"/>
            </a:solidFill>
            <a:ln>
              <a:noFill/>
            </a:ln>
            <a:effectLst/>
          </c:spPr>
          <c:invertIfNegative val="0"/>
          <c:cat>
            <c:strRef>
              <c:f>Sheet1!$A$26:$A$35</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Sheet1!$C$26:$C$35</c:f>
              <c:numCache>
                <c:formatCode>0%</c:formatCode>
                <c:ptCount val="10"/>
                <c:pt idx="0">
                  <c:v>0</c:v>
                </c:pt>
                <c:pt idx="1">
                  <c:v>0</c:v>
                </c:pt>
                <c:pt idx="2">
                  <c:v>0</c:v>
                </c:pt>
                <c:pt idx="3">
                  <c:v>1</c:v>
                </c:pt>
                <c:pt idx="4" formatCode="0.00%">
                  <c:v>0.1666</c:v>
                </c:pt>
                <c:pt idx="5" formatCode="0.00%">
                  <c:v>5.5500000000000001E-2</c:v>
                </c:pt>
                <c:pt idx="6" formatCode="0.00%">
                  <c:v>5.5500000000000001E-2</c:v>
                </c:pt>
                <c:pt idx="7" formatCode="0.00%">
                  <c:v>0.1666</c:v>
                </c:pt>
                <c:pt idx="8">
                  <c:v>0</c:v>
                </c:pt>
                <c:pt idx="9" formatCode="0.00%">
                  <c:v>5.5500000000000001E-2</c:v>
                </c:pt>
              </c:numCache>
            </c:numRef>
          </c:val>
          <c:extLst>
            <c:ext xmlns:c16="http://schemas.microsoft.com/office/drawing/2014/chart" uri="{C3380CC4-5D6E-409C-BE32-E72D297353CC}">
              <c16:uniqueId val="{00000001-2E52-40EB-861D-EEE5617CA837}"/>
            </c:ext>
          </c:extLst>
        </c:ser>
        <c:ser>
          <c:idx val="2"/>
          <c:order val="2"/>
          <c:tx>
            <c:strRef>
              <c:f>Sheet1!$D$25</c:f>
              <c:strCache>
                <c:ptCount val="1"/>
                <c:pt idx="0">
                  <c:v>Disagree or strongly disagree</c:v>
                </c:pt>
              </c:strCache>
            </c:strRef>
          </c:tx>
          <c:spPr>
            <a:solidFill>
              <a:schemeClr val="accent3"/>
            </a:solidFill>
            <a:ln>
              <a:noFill/>
            </a:ln>
            <a:effectLst/>
          </c:spPr>
          <c:invertIfNegative val="0"/>
          <c:cat>
            <c:strRef>
              <c:f>Sheet1!$A$26:$A$35</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Sheet1!$D$26:$D$35</c:f>
              <c:numCache>
                <c:formatCode>0%</c:formatCode>
                <c:ptCount val="10"/>
                <c:pt idx="0" formatCode="0.00%">
                  <c:v>0.88880000000000003</c:v>
                </c:pt>
                <c:pt idx="1">
                  <c:v>0</c:v>
                </c:pt>
                <c:pt idx="2">
                  <c:v>1</c:v>
                </c:pt>
                <c:pt idx="3">
                  <c:v>0</c:v>
                </c:pt>
                <c:pt idx="4">
                  <c:v>0</c:v>
                </c:pt>
                <c:pt idx="5" formatCode="0.00%">
                  <c:v>0.1666</c:v>
                </c:pt>
                <c:pt idx="6" formatCode="0.00%">
                  <c:v>0.2777</c:v>
                </c:pt>
                <c:pt idx="7" formatCode="0.00%">
                  <c:v>0.2777</c:v>
                </c:pt>
                <c:pt idx="8" formatCode="0.00%">
                  <c:v>0.88880000000000003</c:v>
                </c:pt>
                <c:pt idx="9">
                  <c:v>0</c:v>
                </c:pt>
              </c:numCache>
            </c:numRef>
          </c:val>
          <c:extLst>
            <c:ext xmlns:c16="http://schemas.microsoft.com/office/drawing/2014/chart" uri="{C3380CC4-5D6E-409C-BE32-E72D297353CC}">
              <c16:uniqueId val="{00000002-2E52-40EB-861D-EEE5617CA837}"/>
            </c:ext>
          </c:extLst>
        </c:ser>
        <c:ser>
          <c:idx val="3"/>
          <c:order val="3"/>
          <c:tx>
            <c:strRef>
              <c:f>Sheet1!$E$25</c:f>
              <c:strCache>
                <c:ptCount val="1"/>
                <c:pt idx="0">
                  <c:v>Did not respond </c:v>
                </c:pt>
              </c:strCache>
            </c:strRef>
          </c:tx>
          <c:spPr>
            <a:solidFill>
              <a:schemeClr val="accent4"/>
            </a:solidFill>
            <a:ln>
              <a:noFill/>
            </a:ln>
            <a:effectLst/>
          </c:spPr>
          <c:invertIfNegative val="0"/>
          <c:cat>
            <c:strRef>
              <c:f>Sheet1!$A$26:$A$35</c:f>
              <c:strCache>
                <c:ptCount val="10"/>
                <c:pt idx="0">
                  <c:v>It’s difficult to fulfil commitments outside my work because I spend too much time on my job.</c:v>
                </c:pt>
                <c:pt idx="1">
                  <c:v>The organisation provides flexi-time.</c:v>
                </c:pt>
                <c:pt idx="2">
                  <c:v>I’m allowed to work from home</c:v>
                </c:pt>
                <c:pt idx="3">
                  <c:v>I’m aware that that the organisation has the opportunity to job share</c:v>
                </c:pt>
                <c:pt idx="4">
                  <c:v>I have scope to use my own initiative in my job role</c:v>
                </c:pt>
                <c:pt idx="5">
                  <c:v>I’m provided with the opportunity to develop my skills</c:v>
                </c:pt>
                <c:pt idx="6">
                  <c:v>My line manager values the work I do.</c:v>
                </c:pt>
                <c:pt idx="7">
                  <c:v>I feel secure in my job role</c:v>
                </c:pt>
                <c:pt idx="8">
                  <c:v>I’m expected to complete my work outside of my contracted hours</c:v>
                </c:pt>
                <c:pt idx="9">
                  <c:v>Absence rates in my department are low </c:v>
                </c:pt>
              </c:strCache>
            </c:strRef>
          </c:cat>
          <c:val>
            <c:numRef>
              <c:f>Sheet1!$E$26:$E$35</c:f>
              <c:numCache>
                <c:formatCode>0%</c:formatCode>
                <c:ptCount val="10"/>
                <c:pt idx="0">
                  <c:v>0</c:v>
                </c:pt>
                <c:pt idx="1">
                  <c:v>0</c:v>
                </c:pt>
                <c:pt idx="2">
                  <c:v>0</c:v>
                </c:pt>
                <c:pt idx="3">
                  <c:v>0</c:v>
                </c:pt>
                <c:pt idx="4">
                  <c:v>0</c:v>
                </c:pt>
                <c:pt idx="5">
                  <c:v>0</c:v>
                </c:pt>
                <c:pt idx="6">
                  <c:v>0</c:v>
                </c:pt>
                <c:pt idx="7">
                  <c:v>0</c:v>
                </c:pt>
                <c:pt idx="8">
                  <c:v>0</c:v>
                </c:pt>
                <c:pt idx="9">
                  <c:v>0</c:v>
                </c:pt>
              </c:numCache>
            </c:numRef>
          </c:val>
          <c:extLst>
            <c:ext xmlns:c16="http://schemas.microsoft.com/office/drawing/2014/chart" uri="{C3380CC4-5D6E-409C-BE32-E72D297353CC}">
              <c16:uniqueId val="{00000003-2E52-40EB-861D-EEE5617CA837}"/>
            </c:ext>
          </c:extLst>
        </c:ser>
        <c:dLbls>
          <c:showLegendKey val="0"/>
          <c:showVal val="0"/>
          <c:showCatName val="0"/>
          <c:showSerName val="0"/>
          <c:showPercent val="0"/>
          <c:showBubbleSize val="0"/>
        </c:dLbls>
        <c:gapWidth val="219"/>
        <c:overlap val="-27"/>
        <c:axId val="776005520"/>
        <c:axId val="776007600"/>
      </c:barChart>
      <c:catAx>
        <c:axId val="776005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007600"/>
        <c:crosses val="autoZero"/>
        <c:auto val="1"/>
        <c:lblAlgn val="ctr"/>
        <c:lblOffset val="100"/>
        <c:noMultiLvlLbl val="0"/>
      </c:catAx>
      <c:valAx>
        <c:axId val="7760076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005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2473</TotalTime>
  <Pages>15</Pages>
  <Words>2866</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Davies (Hywel Dda UHB - Apprenticeship Academy Administrator)</dc:creator>
  <cp:keywords/>
  <dc:description/>
  <cp:lastModifiedBy>Ffion Davies (Hywel Dda UHB - Apprenticeship Academy Administrator)</cp:lastModifiedBy>
  <cp:revision>105</cp:revision>
  <dcterms:created xsi:type="dcterms:W3CDTF">2022-06-16T17:18:00Z</dcterms:created>
  <dcterms:modified xsi:type="dcterms:W3CDTF">2022-06-19T22:32:00Z</dcterms:modified>
</cp:coreProperties>
</file>