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B6377" w14:textId="62E1A489" w:rsidR="006142EA" w:rsidRPr="003F308C" w:rsidRDefault="006D1AC1">
      <w:pPr>
        <w:rPr>
          <w:rFonts w:ascii="Arial" w:hAnsi="Arial" w:cs="Arial"/>
        </w:rPr>
      </w:pPr>
      <w:r w:rsidRPr="003F308C">
        <w:rPr>
          <w:rFonts w:ascii="Arial" w:hAnsi="Arial" w:cs="Arial"/>
          <w:b/>
          <w:bCs/>
        </w:rPr>
        <w:t xml:space="preserve">Module Title: </w:t>
      </w:r>
      <w:r w:rsidRPr="003F308C">
        <w:rPr>
          <w:rFonts w:ascii="Arial" w:hAnsi="Arial" w:cs="Arial"/>
        </w:rPr>
        <w:t>Protecting</w:t>
      </w:r>
      <w:r w:rsidR="00825A6C" w:rsidRPr="003F308C">
        <w:rPr>
          <w:rFonts w:ascii="Arial" w:hAnsi="Arial" w:cs="Arial"/>
        </w:rPr>
        <w:t xml:space="preserve"> and Supporting Families in Health and Care</w:t>
      </w:r>
    </w:p>
    <w:p w14:paraId="014123D4" w14:textId="330B3ED2" w:rsidR="00825A6C" w:rsidRDefault="00C2671F">
      <w:pPr>
        <w:rPr>
          <w:rFonts w:ascii="Arial" w:hAnsi="Arial" w:cs="Arial"/>
        </w:rPr>
      </w:pPr>
      <w:r w:rsidRPr="003F308C">
        <w:rPr>
          <w:rFonts w:ascii="Arial" w:hAnsi="Arial" w:cs="Arial"/>
          <w:b/>
          <w:bCs/>
        </w:rPr>
        <w:t>Module Code:</w:t>
      </w:r>
      <w:r>
        <w:rPr>
          <w:rFonts w:ascii="Arial" w:hAnsi="Arial" w:cs="Arial"/>
        </w:rPr>
        <w:t xml:space="preserve"> </w:t>
      </w:r>
      <w:r w:rsidR="00145845">
        <w:rPr>
          <w:rFonts w:ascii="Arial" w:hAnsi="Arial" w:cs="Arial"/>
        </w:rPr>
        <w:t>BMHP5021</w:t>
      </w:r>
    </w:p>
    <w:p w14:paraId="31F6CFE5" w14:textId="12256579" w:rsidR="00145845" w:rsidRDefault="003F308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</w:t>
      </w:r>
      <w:r w:rsidR="00145845">
        <w:rPr>
          <w:rFonts w:ascii="Arial" w:hAnsi="Arial" w:cs="Arial"/>
          <w:b/>
          <w:bCs/>
        </w:rPr>
        <w:t xml:space="preserve"> Title:</w:t>
      </w:r>
      <w:r>
        <w:rPr>
          <w:rFonts w:ascii="Arial" w:hAnsi="Arial" w:cs="Arial"/>
        </w:rPr>
        <w:t xml:space="preserve"> </w:t>
      </w:r>
      <w:r w:rsidR="0023165C">
        <w:rPr>
          <w:rFonts w:ascii="Arial" w:hAnsi="Arial" w:cs="Arial"/>
        </w:rPr>
        <w:t>C</w:t>
      </w:r>
      <w:r>
        <w:rPr>
          <w:rFonts w:ascii="Arial" w:hAnsi="Arial" w:cs="Arial"/>
        </w:rPr>
        <w:t>omponent</w:t>
      </w:r>
      <w:r w:rsidR="0027327C">
        <w:rPr>
          <w:rFonts w:ascii="Arial" w:hAnsi="Arial" w:cs="Arial"/>
        </w:rPr>
        <w:t xml:space="preserve"> 1 : Presentation (</w:t>
      </w:r>
      <w:r w:rsidR="00EB379E">
        <w:rPr>
          <w:rFonts w:ascii="Arial" w:hAnsi="Arial" w:cs="Arial"/>
        </w:rPr>
        <w:t xml:space="preserve">Round-The-Table Group </w:t>
      </w:r>
      <w:r w:rsidR="009B46D1">
        <w:rPr>
          <w:rFonts w:ascii="Arial" w:hAnsi="Arial" w:cs="Arial"/>
        </w:rPr>
        <w:t>Discussion)</w:t>
      </w:r>
    </w:p>
    <w:p w14:paraId="41B36147" w14:textId="7DBE20D0" w:rsidR="009B46D1" w:rsidRDefault="009B46D1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Student Name: </w:t>
      </w:r>
      <w:r w:rsidR="00E1773C">
        <w:rPr>
          <w:rFonts w:ascii="Arial" w:hAnsi="Arial" w:cs="Arial"/>
        </w:rPr>
        <w:t>Maymunah Akhtar</w:t>
      </w:r>
    </w:p>
    <w:p w14:paraId="7E2ECA96" w14:textId="10889D91" w:rsidR="00E1773C" w:rsidRDefault="00E1773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Student Number:</w:t>
      </w:r>
      <w:r w:rsidRPr="00E6419B">
        <w:rPr>
          <w:rFonts w:ascii="Arial" w:hAnsi="Arial" w:cs="Arial"/>
        </w:rPr>
        <w:t xml:space="preserve"> </w:t>
      </w:r>
      <w:r w:rsidR="00E6419B" w:rsidRPr="00E6419B">
        <w:rPr>
          <w:rFonts w:ascii="Arial" w:hAnsi="Arial" w:cs="Arial"/>
        </w:rPr>
        <w:t>2433756</w:t>
      </w:r>
    </w:p>
    <w:p w14:paraId="3D39723A" w14:textId="77777777" w:rsidR="00C7057B" w:rsidRDefault="00B074D8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Lecturer: </w:t>
      </w:r>
      <w:r>
        <w:rPr>
          <w:rFonts w:ascii="Arial" w:hAnsi="Arial" w:cs="Arial"/>
        </w:rPr>
        <w:t xml:space="preserve">Kennedy </w:t>
      </w:r>
      <w:proofErr w:type="spellStart"/>
      <w:r>
        <w:rPr>
          <w:rFonts w:ascii="Arial" w:hAnsi="Arial" w:cs="Arial"/>
        </w:rPr>
        <w:t>Obohwemu</w:t>
      </w:r>
      <w:proofErr w:type="spellEnd"/>
    </w:p>
    <w:p w14:paraId="2D02D472" w14:textId="7385711E" w:rsidR="00C7057B" w:rsidRPr="00C7057B" w:rsidRDefault="00C7057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Date: </w:t>
      </w:r>
      <w:r w:rsidR="004028BB">
        <w:rPr>
          <w:rFonts w:ascii="Arial" w:hAnsi="Arial" w:cs="Arial"/>
        </w:rPr>
        <w:t>16</w:t>
      </w:r>
      <w:r w:rsidR="004028BB" w:rsidRPr="004028BB">
        <w:rPr>
          <w:rFonts w:ascii="Arial" w:hAnsi="Arial" w:cs="Arial"/>
          <w:vertAlign w:val="superscript"/>
        </w:rPr>
        <w:t>th</w:t>
      </w:r>
      <w:r w:rsidR="004028BB">
        <w:rPr>
          <w:rFonts w:ascii="Arial" w:hAnsi="Arial" w:cs="Arial"/>
        </w:rPr>
        <w:t xml:space="preserve"> October 2026 </w:t>
      </w:r>
    </w:p>
    <w:p w14:paraId="0C9F0A25" w14:textId="011FD4F5" w:rsidR="00E6419B" w:rsidRPr="00EA2678" w:rsidRDefault="00B074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CCFC0B5" w14:textId="77777777" w:rsidR="00825A6C" w:rsidRPr="006D1AC1" w:rsidRDefault="00825A6C">
      <w:pPr>
        <w:rPr>
          <w:rFonts w:ascii="Arial" w:hAnsi="Arial" w:cs="Arial"/>
        </w:rPr>
      </w:pPr>
    </w:p>
    <w:p w14:paraId="66EA076E" w14:textId="77777777" w:rsidR="00435224" w:rsidRDefault="00435224">
      <w:pPr>
        <w:rPr>
          <w:b/>
          <w:bCs/>
        </w:rPr>
      </w:pPr>
    </w:p>
    <w:p w14:paraId="208C456B" w14:textId="77777777" w:rsidR="00435224" w:rsidRDefault="00435224">
      <w:pPr>
        <w:rPr>
          <w:b/>
          <w:bCs/>
        </w:rPr>
      </w:pPr>
    </w:p>
    <w:p w14:paraId="5348C130" w14:textId="77777777" w:rsidR="00435224" w:rsidRDefault="00435224">
      <w:pPr>
        <w:rPr>
          <w:b/>
          <w:bCs/>
        </w:rPr>
      </w:pPr>
    </w:p>
    <w:p w14:paraId="07D9D839" w14:textId="77777777" w:rsidR="00435224" w:rsidRDefault="00435224">
      <w:pPr>
        <w:rPr>
          <w:b/>
          <w:bCs/>
        </w:rPr>
      </w:pPr>
    </w:p>
    <w:p w14:paraId="3FCCB762" w14:textId="77777777" w:rsidR="00435224" w:rsidRDefault="00435224">
      <w:pPr>
        <w:rPr>
          <w:b/>
          <w:bCs/>
        </w:rPr>
      </w:pPr>
    </w:p>
    <w:p w14:paraId="4F6AA7CA" w14:textId="77777777" w:rsidR="00435224" w:rsidRDefault="00435224">
      <w:pPr>
        <w:rPr>
          <w:b/>
          <w:bCs/>
        </w:rPr>
      </w:pPr>
    </w:p>
    <w:p w14:paraId="12CBEE16" w14:textId="77777777" w:rsidR="00435224" w:rsidRDefault="00435224">
      <w:pPr>
        <w:rPr>
          <w:b/>
          <w:bCs/>
        </w:rPr>
      </w:pPr>
    </w:p>
    <w:p w14:paraId="35373043" w14:textId="77777777" w:rsidR="00435224" w:rsidRDefault="00435224">
      <w:pPr>
        <w:rPr>
          <w:b/>
          <w:bCs/>
        </w:rPr>
      </w:pPr>
    </w:p>
    <w:p w14:paraId="2F62F5FD" w14:textId="77777777" w:rsidR="00435224" w:rsidRDefault="00435224">
      <w:pPr>
        <w:rPr>
          <w:b/>
          <w:bCs/>
        </w:rPr>
      </w:pPr>
    </w:p>
    <w:p w14:paraId="104E7765" w14:textId="77777777" w:rsidR="00435224" w:rsidRDefault="00435224">
      <w:pPr>
        <w:rPr>
          <w:b/>
          <w:bCs/>
        </w:rPr>
      </w:pPr>
    </w:p>
    <w:p w14:paraId="1D5BA56A" w14:textId="77777777" w:rsidR="00435224" w:rsidRDefault="00435224">
      <w:pPr>
        <w:rPr>
          <w:b/>
          <w:bCs/>
        </w:rPr>
      </w:pPr>
    </w:p>
    <w:p w14:paraId="06F63B01" w14:textId="77777777" w:rsidR="00435224" w:rsidRDefault="00435224">
      <w:pPr>
        <w:rPr>
          <w:b/>
          <w:bCs/>
        </w:rPr>
      </w:pPr>
    </w:p>
    <w:p w14:paraId="1A872D96" w14:textId="77777777" w:rsidR="00435224" w:rsidRDefault="00435224">
      <w:pPr>
        <w:rPr>
          <w:b/>
          <w:bCs/>
        </w:rPr>
      </w:pPr>
    </w:p>
    <w:p w14:paraId="637E4434" w14:textId="77777777" w:rsidR="00435224" w:rsidRDefault="00435224">
      <w:pPr>
        <w:rPr>
          <w:b/>
          <w:bCs/>
        </w:rPr>
      </w:pPr>
    </w:p>
    <w:p w14:paraId="1677172A" w14:textId="77777777" w:rsidR="00435224" w:rsidRDefault="00435224">
      <w:pPr>
        <w:rPr>
          <w:b/>
          <w:bCs/>
        </w:rPr>
      </w:pPr>
    </w:p>
    <w:p w14:paraId="7F332571" w14:textId="77777777" w:rsidR="00435224" w:rsidRDefault="00435224">
      <w:pPr>
        <w:rPr>
          <w:b/>
          <w:bCs/>
        </w:rPr>
      </w:pPr>
    </w:p>
    <w:p w14:paraId="23F1E377" w14:textId="77777777" w:rsidR="00435224" w:rsidRDefault="00435224">
      <w:pPr>
        <w:rPr>
          <w:b/>
          <w:bCs/>
        </w:rPr>
      </w:pPr>
    </w:p>
    <w:p w14:paraId="5540D35A" w14:textId="77777777" w:rsidR="000743B1" w:rsidRDefault="000743B1" w:rsidP="00435224">
      <w:pPr>
        <w:rPr>
          <w:b/>
          <w:bCs/>
        </w:rPr>
      </w:pPr>
    </w:p>
    <w:p w14:paraId="104956E5" w14:textId="5DF6845D" w:rsidR="00435224" w:rsidRPr="00B5514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lastRenderedPageBreak/>
        <w:t xml:space="preserve">Brandon, M., Belderson, P., Sorensen, P., Dickens, J., Sidebotham, P., Cleaver, H., Garstang, J., Harris, J. and Wate, R. (2020) Complexity and challenge: a triennial analysis of serious case reviews 2014 to 2017. London: Department for Education. Available at: </w:t>
      </w:r>
      <w:hyperlink r:id="rId4" w:history="1">
        <w:r w:rsidR="00F614AD" w:rsidRPr="00B55141">
          <w:rPr>
            <w:rStyle w:val="Hyperlink"/>
            <w:rFonts w:ascii="Arial" w:hAnsi="Arial" w:cs="Arial"/>
          </w:rPr>
          <w:t>Analysis of serious case reviews: 2014 to 2017 - GOV.UK</w:t>
        </w:r>
      </w:hyperlink>
      <w:r w:rsidR="00F614AD" w:rsidRPr="00B55141">
        <w:rPr>
          <w:rFonts w:ascii="Arial" w:hAnsi="Arial" w:cs="Arial"/>
        </w:rPr>
        <w:t xml:space="preserve">  </w:t>
      </w:r>
    </w:p>
    <w:p w14:paraId="59355BFB" w14:textId="3075F105" w:rsidR="005A70BC" w:rsidRPr="00B5514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t xml:space="preserve">Department for Education (2026a) Information sharing to safeguard children and young people. Available at: </w:t>
      </w:r>
      <w:hyperlink r:id="rId5" w:history="1">
        <w:r w:rsidR="005A70BC" w:rsidRPr="00B55141">
          <w:rPr>
            <w:rStyle w:val="Hyperlink"/>
            <w:rFonts w:ascii="Arial" w:hAnsi="Arial" w:cs="Arial"/>
          </w:rPr>
          <w:t>Information sharing to safeguard children and young people - GOV.UK</w:t>
        </w:r>
      </w:hyperlink>
      <w:r w:rsidR="005A70BC" w:rsidRPr="00B55141">
        <w:rPr>
          <w:rFonts w:ascii="Arial" w:hAnsi="Arial" w:cs="Arial"/>
        </w:rPr>
        <w:t xml:space="preserve"> </w:t>
      </w:r>
    </w:p>
    <w:p w14:paraId="272F235B" w14:textId="63F5578F" w:rsidR="00435224" w:rsidRPr="00B5514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t xml:space="preserve">Department for Education (2026b) Working together to safeguard children 2026: statutory guidance. Available at: </w:t>
      </w:r>
      <w:hyperlink r:id="rId6" w:history="1">
        <w:r w:rsidR="00DF5FA4" w:rsidRPr="00B55141">
          <w:rPr>
            <w:rStyle w:val="Hyperlink"/>
            <w:rFonts w:ascii="Arial" w:hAnsi="Arial" w:cs="Arial"/>
          </w:rPr>
          <w:t>Working together to safeguard children - GOV.UK</w:t>
        </w:r>
      </w:hyperlink>
    </w:p>
    <w:p w14:paraId="792C3098" w14:textId="24F24BC0" w:rsidR="00435224" w:rsidRPr="00B5514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t>Ferguson, H. (2017) ‘How children become invisible in child protection work: findings from research into day-to-day social work practice’, The British Journal of Social Work, 47(4), pp. 1007–1023. Available at:</w:t>
      </w:r>
      <w:r w:rsidR="00AF7B9D" w:rsidRPr="00AF7B9D">
        <w:t xml:space="preserve"> </w:t>
      </w:r>
      <w:hyperlink r:id="rId7" w:history="1">
        <w:r w:rsidR="00AF7B9D" w:rsidRPr="00AF7B9D">
          <w:rPr>
            <w:rStyle w:val="Hyperlink"/>
            <w:rFonts w:ascii="Arial" w:hAnsi="Arial" w:cs="Arial"/>
          </w:rPr>
          <w:t>How Children Become Invisible in Child Protection Work: Findings from Research int</w:t>
        </w:r>
        <w:r w:rsidR="00AF7B9D" w:rsidRPr="00AF7B9D">
          <w:rPr>
            <w:rStyle w:val="Hyperlink"/>
            <w:rFonts w:ascii="Arial" w:hAnsi="Arial" w:cs="Arial"/>
          </w:rPr>
          <w:t>o Day-to-Day Social Work Practice | The British Journal of Social Work | Oxford Academic</w:t>
        </w:r>
      </w:hyperlink>
      <w:r w:rsidR="00AF7B9D">
        <w:rPr>
          <w:rFonts w:ascii="Arial" w:hAnsi="Arial" w:cs="Arial"/>
        </w:rPr>
        <w:t xml:space="preserve"> </w:t>
      </w:r>
      <w:r w:rsidR="00AF7B9D" w:rsidRPr="00B55141">
        <w:rPr>
          <w:rFonts w:ascii="Arial" w:hAnsi="Arial" w:cs="Arial"/>
        </w:rPr>
        <w:t xml:space="preserve"> </w:t>
      </w:r>
    </w:p>
    <w:p w14:paraId="2F512896" w14:textId="162FCC96" w:rsidR="00435224" w:rsidRPr="00B5514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t>HM Government (1989) Children Act 1989. Available at:</w:t>
      </w:r>
      <w:r w:rsidR="00DC3B68" w:rsidRPr="00B55141">
        <w:rPr>
          <w:rFonts w:ascii="Arial" w:hAnsi="Arial" w:cs="Arial"/>
        </w:rPr>
        <w:t xml:space="preserve"> </w:t>
      </w:r>
      <w:hyperlink r:id="rId8" w:history="1">
        <w:r w:rsidR="00DC3B68" w:rsidRPr="00B55141">
          <w:rPr>
            <w:rStyle w:val="Hyperlink"/>
            <w:rFonts w:ascii="Arial" w:hAnsi="Arial" w:cs="Arial"/>
          </w:rPr>
          <w:t>Children Act 1989</w:t>
        </w:r>
      </w:hyperlink>
    </w:p>
    <w:p w14:paraId="1DA4C631" w14:textId="4D4153C2" w:rsidR="00435224" w:rsidRPr="00B5514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t xml:space="preserve">HM Government (2004) Children Act 2004. Available at: </w:t>
      </w:r>
      <w:hyperlink r:id="rId9" w:history="1">
        <w:r w:rsidR="00813BC9" w:rsidRPr="00B55141">
          <w:rPr>
            <w:rStyle w:val="Hyperlink"/>
            <w:rFonts w:ascii="Arial" w:hAnsi="Arial" w:cs="Arial"/>
          </w:rPr>
          <w:t>https://www.legislation.gov.uk/ukpga/2004/31/contents</w:t>
        </w:r>
      </w:hyperlink>
      <w:r w:rsidR="0066456C" w:rsidRPr="00B55141">
        <w:rPr>
          <w:rFonts w:ascii="Arial" w:hAnsi="Arial" w:cs="Arial"/>
        </w:rPr>
        <w:t xml:space="preserve"> </w:t>
      </w:r>
    </w:p>
    <w:p w14:paraId="1554BF04" w14:textId="35435F10" w:rsidR="00435224" w:rsidRPr="00B5514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t xml:space="preserve">Munro, E. (2011) The Munro review of child protection: final report – a child-centred system. London: Department for Education. Available at: </w:t>
      </w:r>
      <w:hyperlink r:id="rId10" w:history="1">
        <w:r w:rsidR="00F35744" w:rsidRPr="00B55141">
          <w:rPr>
            <w:rStyle w:val="Hyperlink"/>
            <w:rFonts w:ascii="Arial" w:hAnsi="Arial" w:cs="Arial"/>
          </w:rPr>
          <w:t>Munro review of child protection: a child-centred system - GOV.UK</w:t>
        </w:r>
      </w:hyperlink>
    </w:p>
    <w:p w14:paraId="4C7F31B4" w14:textId="5EDF471F" w:rsidR="00980AE6" w:rsidRPr="00B5514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t xml:space="preserve">National Institute for Health and Care Excellence (2009) Child maltreatment: when to suspect maltreatment in under 18s. NICE guideline CG89. Available at: </w:t>
      </w:r>
      <w:hyperlink r:id="rId11" w:history="1">
        <w:r w:rsidR="00980AE6" w:rsidRPr="00B55141">
          <w:rPr>
            <w:rStyle w:val="Hyperlink"/>
            <w:rFonts w:ascii="Arial" w:hAnsi="Arial" w:cs="Arial"/>
          </w:rPr>
          <w:t>https://www.nice.org.uk/guidance/cg89</w:t>
        </w:r>
      </w:hyperlink>
    </w:p>
    <w:p w14:paraId="02A3B04E" w14:textId="7B1B6905" w:rsidR="00435224" w:rsidRPr="00B55141" w:rsidRDefault="00435224" w:rsidP="00435224">
      <w:pPr>
        <w:rPr>
          <w:rFonts w:ascii="Arial" w:hAnsi="Arial" w:cs="Arial"/>
          <w:color w:val="467886" w:themeColor="hyperlink"/>
          <w:u w:val="single"/>
        </w:rPr>
      </w:pPr>
      <w:r w:rsidRPr="00B55141">
        <w:rPr>
          <w:rFonts w:ascii="Arial" w:hAnsi="Arial" w:cs="Arial"/>
        </w:rPr>
        <w:t xml:space="preserve">Sidebotham, P., Brandon, M., Bailey, S., </w:t>
      </w:r>
      <w:proofErr w:type="spellStart"/>
      <w:r w:rsidRPr="00B55141">
        <w:rPr>
          <w:rFonts w:ascii="Arial" w:hAnsi="Arial" w:cs="Arial"/>
        </w:rPr>
        <w:t>Belderson</w:t>
      </w:r>
      <w:proofErr w:type="spellEnd"/>
      <w:r w:rsidRPr="00B55141">
        <w:rPr>
          <w:rFonts w:ascii="Arial" w:hAnsi="Arial" w:cs="Arial"/>
        </w:rPr>
        <w:t xml:space="preserve">, P., Dodsworth, J., Garstang, J., Harrison, E., Retzer, A. and Sorensen, P. (2016) Pathways to harm, pathways to protection: a triennial analysis of serious case reviews 2011 to 2014. London: Department for Education. Available at: </w:t>
      </w:r>
      <w:hyperlink r:id="rId12" w:history="1">
        <w:r w:rsidR="00204884" w:rsidRPr="00B55141">
          <w:rPr>
            <w:rStyle w:val="Hyperlink"/>
            <w:rFonts w:ascii="Arial" w:hAnsi="Arial" w:cs="Arial"/>
          </w:rPr>
          <w:t>Analysis of case reviews: 2011 to 2014 - GOV.UK</w:t>
        </w:r>
      </w:hyperlink>
      <w:r w:rsidR="00204884" w:rsidRPr="00B55141">
        <w:rPr>
          <w:rFonts w:ascii="Arial" w:hAnsi="Arial" w:cs="Arial"/>
        </w:rPr>
        <w:t xml:space="preserve"> </w:t>
      </w:r>
    </w:p>
    <w:p w14:paraId="425D0C61" w14:textId="230CBFDB" w:rsidR="00435224" w:rsidRPr="00B5514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t xml:space="preserve">Social Work England (2019) Professional standards. Available at: </w:t>
      </w:r>
      <w:hyperlink r:id="rId13" w:history="1">
        <w:r w:rsidR="00AC2905" w:rsidRPr="00B55141">
          <w:rPr>
            <w:rStyle w:val="Hyperlink"/>
            <w:rFonts w:ascii="Arial" w:hAnsi="Arial" w:cs="Arial"/>
          </w:rPr>
          <w:t>Professional standards - Social Work England</w:t>
        </w:r>
      </w:hyperlink>
    </w:p>
    <w:p w14:paraId="06B0BC75" w14:textId="4DFC0023" w:rsidR="00435224" w:rsidRPr="00B5514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t xml:space="preserve">Dickens, J., Taylor, J., Cook, L., Cossar, J., Garstang, J., Hallett, N., Molloy, E., Rennolds, N., Rimmer, J. and Sorensen, P. (2022a) Learning for the future: final analysis of serious case reviews, 2017 to 2019. London: Department for Education. Available at: </w:t>
      </w:r>
      <w:hyperlink r:id="rId14" w:history="1">
        <w:r w:rsidR="003A4322" w:rsidRPr="003A4322">
          <w:rPr>
            <w:rStyle w:val="Hyperlink"/>
            <w:rFonts w:ascii="Arial" w:hAnsi="Arial" w:cs="Arial"/>
          </w:rPr>
          <w:t>Serious case reviews: analysis, lessons and challenges - GOV.UK</w:t>
        </w:r>
      </w:hyperlink>
    </w:p>
    <w:p w14:paraId="5C2F8DAB" w14:textId="77777777" w:rsidR="000743B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t xml:space="preserve">Dickens, J., Taylor, J., Cook, L., Cossar, J., Garstang, J. and Rimmer, J. (2022b) Serious case reviews 1998 to 2019: continuities, changes and challenges. London: Department for Education. Available at: </w:t>
      </w:r>
      <w:hyperlink r:id="rId15" w:history="1">
        <w:r w:rsidR="00C525F5" w:rsidRPr="005E54B1">
          <w:rPr>
            <w:rStyle w:val="Hyperlink"/>
            <w:rFonts w:ascii="Arial" w:hAnsi="Arial" w:cs="Arial"/>
          </w:rPr>
          <w:t>https://www.gov.uk/government/publications/serious-case-reviews-analysis-lessons-and-challenges</w:t>
        </w:r>
      </w:hyperlink>
      <w:r w:rsidR="00C525F5">
        <w:rPr>
          <w:rFonts w:ascii="Arial" w:hAnsi="Arial" w:cs="Arial"/>
        </w:rPr>
        <w:t xml:space="preserve"> </w:t>
      </w:r>
    </w:p>
    <w:p w14:paraId="1803E830" w14:textId="119D576C" w:rsidR="00435224" w:rsidRPr="00B5514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t>Ferguson, H. (2018) ‘How social workers reflect in action and when and why they don’t: the possibilities and limits to reflective practice in social work’, Social Work Education, 37(4), pp. 415–427. Available at:</w:t>
      </w:r>
      <w:r w:rsidR="00255731" w:rsidRPr="00B55141">
        <w:rPr>
          <w:rFonts w:ascii="Arial" w:hAnsi="Arial" w:cs="Arial"/>
        </w:rPr>
        <w:t xml:space="preserve"> </w:t>
      </w:r>
      <w:hyperlink r:id="rId16" w:history="1">
        <w:r w:rsidR="00255731" w:rsidRPr="00B55141">
          <w:rPr>
            <w:rStyle w:val="Hyperlink"/>
            <w:rFonts w:ascii="Arial" w:hAnsi="Arial" w:cs="Arial"/>
          </w:rPr>
          <w:t>Full article: How social workers reflect in action and when and why they don’t: the possibilities and limits to reflective practice in social work</w:t>
        </w:r>
      </w:hyperlink>
      <w:r w:rsidRPr="00B55141">
        <w:rPr>
          <w:rFonts w:ascii="Arial" w:hAnsi="Arial" w:cs="Arial"/>
        </w:rPr>
        <w:t>.</w:t>
      </w:r>
    </w:p>
    <w:p w14:paraId="3E2A15AF" w14:textId="7574F975" w:rsidR="00435224" w:rsidRPr="00B5514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t xml:space="preserve">Child Safeguarding Practice Review Panel (2022) National review into the murders of Arthur Labinjo-Hughes and Star Hobson: child protection in England. London: Department for Education. Available at: </w:t>
      </w:r>
      <w:hyperlink r:id="rId17" w:history="1">
        <w:r w:rsidR="002D0A6D" w:rsidRPr="00B55141">
          <w:rPr>
            <w:rStyle w:val="Hyperlink"/>
            <w:rFonts w:ascii="Arial" w:hAnsi="Arial" w:cs="Arial"/>
          </w:rPr>
          <w:t>National review into the murders of Arthur Labinjo-Hughes and Star Hobson - GOV.UK</w:t>
        </w:r>
      </w:hyperlink>
    </w:p>
    <w:p w14:paraId="504D3C72" w14:textId="4ABB0D83" w:rsidR="00435224" w:rsidRPr="00B55141" w:rsidRDefault="00435224" w:rsidP="00435224">
      <w:pPr>
        <w:rPr>
          <w:rFonts w:ascii="Arial" w:hAnsi="Arial" w:cs="Arial"/>
        </w:rPr>
      </w:pPr>
      <w:r w:rsidRPr="00B55141">
        <w:rPr>
          <w:rFonts w:ascii="Arial" w:hAnsi="Arial" w:cs="Arial"/>
        </w:rPr>
        <w:t xml:space="preserve">HM Government (2021) Domestic Abuse Act 2021. Available at: </w:t>
      </w:r>
      <w:hyperlink r:id="rId18" w:history="1">
        <w:r w:rsidR="004B036E" w:rsidRPr="00B55141">
          <w:rPr>
            <w:rStyle w:val="Hyperlink"/>
            <w:rFonts w:ascii="Arial" w:hAnsi="Arial" w:cs="Arial"/>
          </w:rPr>
          <w:t>Domestic Abuse Act 2021</w:t>
        </w:r>
      </w:hyperlink>
    </w:p>
    <w:p w14:paraId="664FD131" w14:textId="77777777" w:rsidR="004B036E" w:rsidRPr="00435224" w:rsidRDefault="004B036E" w:rsidP="00435224">
      <w:pPr>
        <w:rPr>
          <w:rFonts w:ascii="Arial" w:hAnsi="Arial" w:cs="Arial"/>
        </w:rPr>
      </w:pPr>
    </w:p>
    <w:p w14:paraId="2F3E62D2" w14:textId="77777777" w:rsidR="00435224" w:rsidRPr="00435224" w:rsidRDefault="00435224">
      <w:pPr>
        <w:rPr>
          <w:rFonts w:ascii="Arial" w:hAnsi="Arial" w:cs="Arial"/>
        </w:rPr>
      </w:pPr>
    </w:p>
    <w:sectPr w:rsidR="00435224" w:rsidRPr="004352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50"/>
    <w:rsid w:val="00052235"/>
    <w:rsid w:val="000743B1"/>
    <w:rsid w:val="00096567"/>
    <w:rsid w:val="000D3125"/>
    <w:rsid w:val="000F56CE"/>
    <w:rsid w:val="00126C3C"/>
    <w:rsid w:val="00145845"/>
    <w:rsid w:val="001562CF"/>
    <w:rsid w:val="001F21AE"/>
    <w:rsid w:val="00204884"/>
    <w:rsid w:val="0023165C"/>
    <w:rsid w:val="00255731"/>
    <w:rsid w:val="0027327C"/>
    <w:rsid w:val="00276C50"/>
    <w:rsid w:val="002C2199"/>
    <w:rsid w:val="002D0A6D"/>
    <w:rsid w:val="002F4378"/>
    <w:rsid w:val="00320F0B"/>
    <w:rsid w:val="003A4322"/>
    <w:rsid w:val="003B2A6A"/>
    <w:rsid w:val="003F308C"/>
    <w:rsid w:val="004028BB"/>
    <w:rsid w:val="00435224"/>
    <w:rsid w:val="0047785A"/>
    <w:rsid w:val="004916D3"/>
    <w:rsid w:val="004B036E"/>
    <w:rsid w:val="004E378C"/>
    <w:rsid w:val="004E4A53"/>
    <w:rsid w:val="005A70BC"/>
    <w:rsid w:val="006142EA"/>
    <w:rsid w:val="0066456C"/>
    <w:rsid w:val="006D1AC1"/>
    <w:rsid w:val="00813BC9"/>
    <w:rsid w:val="00825A6C"/>
    <w:rsid w:val="008B6DBC"/>
    <w:rsid w:val="00954A8C"/>
    <w:rsid w:val="00980AE6"/>
    <w:rsid w:val="00984542"/>
    <w:rsid w:val="009B46D1"/>
    <w:rsid w:val="009F6ABF"/>
    <w:rsid w:val="00A4134D"/>
    <w:rsid w:val="00AB1AF7"/>
    <w:rsid w:val="00AC2905"/>
    <w:rsid w:val="00AF7B9D"/>
    <w:rsid w:val="00B074D8"/>
    <w:rsid w:val="00B55141"/>
    <w:rsid w:val="00B8634A"/>
    <w:rsid w:val="00BB2FEB"/>
    <w:rsid w:val="00C2671F"/>
    <w:rsid w:val="00C525F5"/>
    <w:rsid w:val="00C62687"/>
    <w:rsid w:val="00C7057B"/>
    <w:rsid w:val="00D97C5A"/>
    <w:rsid w:val="00DB308C"/>
    <w:rsid w:val="00DC3B68"/>
    <w:rsid w:val="00DE3431"/>
    <w:rsid w:val="00DF5FA4"/>
    <w:rsid w:val="00E1773C"/>
    <w:rsid w:val="00E35750"/>
    <w:rsid w:val="00E6419B"/>
    <w:rsid w:val="00EA2678"/>
    <w:rsid w:val="00EB379E"/>
    <w:rsid w:val="00F35744"/>
    <w:rsid w:val="00F52051"/>
    <w:rsid w:val="00F614AD"/>
    <w:rsid w:val="00F7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82778"/>
  <w15:chartTrackingRefBased/>
  <w15:docId w15:val="{1868F130-FDAC-431B-AA2B-C78EE301F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C50"/>
  </w:style>
  <w:style w:type="paragraph" w:styleId="Heading1">
    <w:name w:val="heading 1"/>
    <w:basedOn w:val="Normal"/>
    <w:next w:val="Normal"/>
    <w:link w:val="Heading1Char"/>
    <w:uiPriority w:val="9"/>
    <w:qFormat/>
    <w:rsid w:val="00276C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6C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6C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6C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6C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6C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6C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6C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6C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C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6C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6C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6C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6C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6C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6C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6C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6C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6C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6C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6C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6C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6C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6C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6C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6C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6C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6C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6C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76C50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4134D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5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contents" TargetMode="External"/><Relationship Id="rId13" Type="http://schemas.openxmlformats.org/officeDocument/2006/relationships/hyperlink" Target="https://www.socialworkengland.org.uk/standards/professional-standards" TargetMode="External"/><Relationship Id="rId18" Type="http://schemas.openxmlformats.org/officeDocument/2006/relationships/hyperlink" Target="https://www.legislation.gov.uk/ukpga/2021/17/content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cademic.oup.com/bjsw/article/47/4/1007/2622323" TargetMode="External"/><Relationship Id="rId12" Type="http://schemas.openxmlformats.org/officeDocument/2006/relationships/hyperlink" Target="https://www.gov.uk/government/publications/analysis-of-serious-case-reviews-2011-to-2014" TargetMode="External"/><Relationship Id="rId17" Type="http://schemas.openxmlformats.org/officeDocument/2006/relationships/hyperlink" Target="https://www.gov.uk/government/publications/national-review-into-the-murders-of-arthur-labinjo-hughes-and-star-hobs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andfonline.com/doi/full/10.1080/02615479.2017.1413083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working-together-to-safeguard-children--2" TargetMode="External"/><Relationship Id="rId11" Type="http://schemas.openxmlformats.org/officeDocument/2006/relationships/hyperlink" Target="https://www.nice.org.uk/guidance/cg89" TargetMode="External"/><Relationship Id="rId5" Type="http://schemas.openxmlformats.org/officeDocument/2006/relationships/hyperlink" Target="https://www.gov.uk/government/publications/information-sharing-to-safeguard-children-and-young-people" TargetMode="External"/><Relationship Id="rId15" Type="http://schemas.openxmlformats.org/officeDocument/2006/relationships/hyperlink" Target="https://www.gov.uk/government/publications/serious-case-reviews-analysis-lessons-and-challenges" TargetMode="External"/><Relationship Id="rId10" Type="http://schemas.openxmlformats.org/officeDocument/2006/relationships/hyperlink" Target="https://www.gov.uk/government/publications/munro-review-of-child-protection-final-report-a-child-centred-system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gov.uk/government/publications/analysis-of-serious-case-reviews-2014-to-2017" TargetMode="External"/><Relationship Id="rId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gov.uk/government/publications/serious-case-reviews-analysis-lessons-and-challeng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4359</Characters>
  <Application>Microsoft Office Word</Application>
  <DocSecurity>0</DocSecurity>
  <Lines>36</Lines>
  <Paragraphs>10</Paragraphs>
  <ScaleCrop>false</ScaleCrop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Maymunah akhtar</dc:creator>
  <cp:keywords/>
  <dc:description/>
  <cp:lastModifiedBy>Maymunah akhtar</cp:lastModifiedBy>
  <cp:revision>62</cp:revision>
  <dcterms:created xsi:type="dcterms:W3CDTF">2026-10-12T20:10:00Z</dcterms:created>
  <dcterms:modified xsi:type="dcterms:W3CDTF">2026-10-16T01:00:00Z</dcterms:modified>
</cp:coreProperties>
</file>