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0A2250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D13FC">
              <w:rPr>
                <w:rFonts w:ascii="Times New Roman" w:hAnsi="Times New Roman" w:cs="Times New Roman"/>
                <w:b/>
                <w:color w:val="auto"/>
                <w:sz w:val="48"/>
              </w:rPr>
              <w:t>Adam Finn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4131BD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D13FC">
              <w:rPr>
                <w:rFonts w:ascii="Times New Roman" w:hAnsi="Times New Roman" w:cs="Times New Roman"/>
                <w:b/>
                <w:color w:val="auto"/>
                <w:sz w:val="48"/>
              </w:rPr>
              <w:t xml:space="preserve"> Finnly99@me.com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2A30825" w14:textId="0671E19E" w:rsidR="006D13FC" w:rsidRPr="005D3F07" w:rsidRDefault="006D13F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2329653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7961E7CA" w14:textId="77777777" w:rsidR="00CA0237" w:rsidRPr="00CA0237" w:rsidRDefault="00CA0237" w:rsidP="00CA0237">
            <w:pPr>
              <w:rPr>
                <w:sz w:val="24"/>
                <w:szCs w:val="24"/>
              </w:rPr>
            </w:pPr>
            <w:r w:rsidRPr="00CA0237">
              <w:rPr>
                <w:sz w:val="24"/>
                <w:szCs w:val="24"/>
              </w:rPr>
              <w:t xml:space="preserve">The focus of this task will be on safeguarding legislation, policies and procedures related to children. As safeguarding is such a broad topic, to understand the relevant legislation and policies it is beneficial to firstly explore the wider legislation that underpins and guides all framework and laws related to the protection of children in Wales. The European Convention on Human Rights (ECHR) which is enforced by the Human Rights Act 1998, outlines specific rights given to all persons irrespective of their differences. Key rights that have helped to shape and develop legislation and guidance </w:t>
            </w:r>
            <w:proofErr w:type="gramStart"/>
            <w:r w:rsidRPr="00CA0237">
              <w:rPr>
                <w:sz w:val="24"/>
                <w:szCs w:val="24"/>
              </w:rPr>
              <w:t>are;</w:t>
            </w:r>
            <w:proofErr w:type="gramEnd"/>
            <w:r w:rsidRPr="00CA0237">
              <w:rPr>
                <w:sz w:val="24"/>
                <w:szCs w:val="24"/>
              </w:rPr>
              <w:t xml:space="preserve"> article 2 – right to life, article 3 – prohibition of torture, article 5 – right to liberty and article 8 – respect for privacy. Additionally, the United Nations Convention on the Rights of the Child (1989) (UNCRC), outlines a definition of a child and agreed upon rights that all children should enjoy. This piece of legislation enforces governing bodies to ensure that all action is taken to ensure the safety of a child, and their rights are upheld.</w:t>
            </w:r>
          </w:p>
          <w:p w14:paraId="3C061A08" w14:textId="77777777" w:rsidR="00CA0237" w:rsidRPr="00CA0237" w:rsidRDefault="00CA0237" w:rsidP="00CA0237">
            <w:pPr>
              <w:rPr>
                <w:sz w:val="24"/>
                <w:szCs w:val="24"/>
              </w:rPr>
            </w:pPr>
            <w:r w:rsidRPr="00CA0237">
              <w:rPr>
                <w:sz w:val="24"/>
                <w:szCs w:val="24"/>
              </w:rPr>
              <w:t xml:space="preserve">Where international legislation such as the two outlined previously set out an overarching list of the necessity’s children must be offered, it is through national legislation where these rights become enforced in policy and practice. The key piece of legislation in Wales that offers guidance and legal duties to ensure the safety of children is the Social Services and Wellbeing (Wales) Act 2014 (SSWBA), the SSWBA also offers a definition of a child at risk, including subsequent definitions of various terms of abuse, alongside the process for each individual and team to safeguard that child. The act defines a child at risks as a child who: </w:t>
            </w:r>
          </w:p>
          <w:p w14:paraId="5121833E" w14:textId="77777777" w:rsidR="00CA0237" w:rsidRPr="00CA0237" w:rsidRDefault="00CA0237" w:rsidP="00CA0237">
            <w:pPr>
              <w:ind w:left="720" w:firstLine="30"/>
              <w:jc w:val="both"/>
              <w:rPr>
                <w:i/>
                <w:iCs/>
                <w:sz w:val="24"/>
                <w:szCs w:val="24"/>
              </w:rPr>
            </w:pPr>
            <w:r w:rsidRPr="00CA0237">
              <w:rPr>
                <w:i/>
                <w:iCs/>
                <w:sz w:val="24"/>
                <w:szCs w:val="24"/>
              </w:rPr>
              <w:t>“</w:t>
            </w:r>
            <w:proofErr w:type="gramStart"/>
            <w:r w:rsidRPr="00CA0237">
              <w:rPr>
                <w:i/>
                <w:iCs/>
                <w:sz w:val="24"/>
                <w:szCs w:val="24"/>
              </w:rPr>
              <w:t>is</w:t>
            </w:r>
            <w:proofErr w:type="gramEnd"/>
            <w:r w:rsidRPr="00CA0237">
              <w:rPr>
                <w:i/>
                <w:iCs/>
                <w:sz w:val="24"/>
                <w:szCs w:val="24"/>
              </w:rPr>
              <w:t xml:space="preserve"> experiencing or is at risk of abuse, neglect or other kinds of harm; and, who has needs for care and support (whether or not the authority is meeting any of those needs)”</w:t>
            </w:r>
          </w:p>
          <w:p w14:paraId="0DB4AF4D" w14:textId="77777777" w:rsidR="00CA0237" w:rsidRPr="00CA0237" w:rsidRDefault="00CA0237" w:rsidP="00CA0237">
            <w:pPr>
              <w:rPr>
                <w:sz w:val="24"/>
                <w:szCs w:val="24"/>
              </w:rPr>
            </w:pPr>
            <w:r w:rsidRPr="00CA0237">
              <w:rPr>
                <w:sz w:val="24"/>
                <w:szCs w:val="24"/>
              </w:rPr>
              <w:tab/>
            </w:r>
            <w:r w:rsidRPr="00CA0237">
              <w:rPr>
                <w:sz w:val="24"/>
                <w:szCs w:val="24"/>
              </w:rPr>
              <w:tab/>
            </w:r>
            <w:r w:rsidRPr="00CA0237">
              <w:rPr>
                <w:sz w:val="24"/>
                <w:szCs w:val="24"/>
              </w:rPr>
              <w:tab/>
            </w:r>
            <w:r w:rsidRPr="00CA0237">
              <w:rPr>
                <w:sz w:val="24"/>
                <w:szCs w:val="24"/>
              </w:rPr>
              <w:tab/>
            </w:r>
            <w:r w:rsidRPr="00CA0237">
              <w:rPr>
                <w:sz w:val="24"/>
                <w:szCs w:val="24"/>
              </w:rPr>
              <w:tab/>
            </w:r>
            <w:r w:rsidRPr="00CA0237">
              <w:rPr>
                <w:sz w:val="24"/>
                <w:szCs w:val="24"/>
              </w:rPr>
              <w:tab/>
            </w:r>
            <w:r w:rsidRPr="00CA0237">
              <w:rPr>
                <w:sz w:val="24"/>
                <w:szCs w:val="24"/>
              </w:rPr>
              <w:tab/>
              <w:t>(SSWBA, 2014, Part 7, Section 130 (4))</w:t>
            </w:r>
          </w:p>
          <w:p w14:paraId="67B5E547" w14:textId="77777777" w:rsidR="00CA0237" w:rsidRPr="00CA0237" w:rsidRDefault="00CA0237" w:rsidP="00CA0237">
            <w:pPr>
              <w:rPr>
                <w:sz w:val="24"/>
                <w:szCs w:val="24"/>
              </w:rPr>
            </w:pPr>
            <w:r w:rsidRPr="00CA0237">
              <w:rPr>
                <w:sz w:val="24"/>
                <w:szCs w:val="24"/>
              </w:rPr>
              <w:t xml:space="preserve">Section 130 of Part 7 from the SSWBA also outlines the duty that every member of the public must report any incidences of abuse or suspicions that a child is at risk to the local authority. Although the SSWBA has superseded the Childrens Act 1989, the duty to investigate a child at risk sits within section 47 of the Childrens Act. </w:t>
            </w:r>
          </w:p>
          <w:p w14:paraId="4829B97F" w14:textId="77777777" w:rsidR="00CA0237" w:rsidRPr="00CA0237" w:rsidRDefault="00CA0237" w:rsidP="00CA0237">
            <w:pPr>
              <w:rPr>
                <w:sz w:val="24"/>
                <w:szCs w:val="24"/>
              </w:rPr>
            </w:pPr>
            <w:r w:rsidRPr="00CA0237">
              <w:rPr>
                <w:sz w:val="24"/>
                <w:szCs w:val="24"/>
              </w:rPr>
              <w:t xml:space="preserve">A key procedural policy implemented by the SSWBA to better safeguard children from a proactive approach, is the introduction of Local Safeguarding Children Boards (LSCB). </w:t>
            </w:r>
            <w:r w:rsidRPr="00CA0237">
              <w:rPr>
                <w:sz w:val="24"/>
                <w:szCs w:val="24"/>
              </w:rPr>
              <w:lastRenderedPageBreak/>
              <w:t>These boards include designated safeguarding leads from the local authority, local health board and local police force. The main objectives of these boards are to; (a)to protect children within its area who are experiencing, or are at risk of, abuse, neglect or other kinds of harm, and (b)to prevent children within its area from becoming at risk of abuse, neglect or other kinds of harm (SSWBA 2014, part 7, s135).</w:t>
            </w:r>
          </w:p>
          <w:p w14:paraId="03BE1BC6" w14:textId="77777777" w:rsidR="00CA0237" w:rsidRPr="00CA0237" w:rsidRDefault="00CA0237" w:rsidP="00CA0237">
            <w:pPr>
              <w:rPr>
                <w:sz w:val="24"/>
                <w:szCs w:val="24"/>
              </w:rPr>
            </w:pPr>
            <w:r w:rsidRPr="00CA0237">
              <w:rPr>
                <w:sz w:val="24"/>
                <w:szCs w:val="24"/>
              </w:rPr>
              <w:t xml:space="preserve">While many of the policies and legislation outlined within this text target professionals, in 2019 the Wales Safeguarding Procedures was developed to give each member of the public access to core principles of the SSWBA and how to safeguard children, including their duty to report, how to report, different types of abuse and how to identify abuse. This child centred approach created a shared ethos that safeguarding children was everybody’s responsibility not just professionals who work with children. </w:t>
            </w:r>
          </w:p>
          <w:p w14:paraId="2F3C3E37" w14:textId="77777777" w:rsidR="00CA0237" w:rsidRDefault="00CA0237" w:rsidP="00CA0237"/>
          <w:p w14:paraId="352BA22B" w14:textId="77777777" w:rsidR="00CA0237" w:rsidRPr="002F5F8D" w:rsidRDefault="00CA0237" w:rsidP="00CA0237">
            <w:pPr>
              <w:rPr>
                <w:b/>
                <w:bCs/>
                <w:u w:val="single"/>
              </w:rPr>
            </w:pPr>
            <w:r w:rsidRPr="002F5F8D">
              <w:rPr>
                <w:b/>
                <w:bCs/>
                <w:u w:val="single"/>
              </w:rPr>
              <w:t>55</w:t>
            </w:r>
            <w:r>
              <w:rPr>
                <w:b/>
                <w:bCs/>
                <w:u w:val="single"/>
              </w:rPr>
              <w:t>0</w:t>
            </w: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354CE14C" w14:textId="77777777" w:rsidR="00163AB2" w:rsidRPr="00163AB2" w:rsidRDefault="00163AB2" w:rsidP="00163AB2">
            <w:pPr>
              <w:rPr>
                <w:sz w:val="24"/>
                <w:szCs w:val="24"/>
              </w:rPr>
            </w:pPr>
            <w:r w:rsidRPr="00163AB2">
              <w:rPr>
                <w:sz w:val="24"/>
                <w:szCs w:val="24"/>
              </w:rPr>
              <w:t xml:space="preserve">In Wales, safeguarding procedures for children and adults share common principles but differ in their specific applications and legal frameworks. While child safeguarding procedures are focused on the child’s lived experience and outcomes, adult safeguarding procedures emphasize the individual’s autonomy and right to safety. While recent legislation such as the Social Services and Wellbeing (Wales) Act 2014, has attempted to integrate safeguarding children and adults to make policies and procedures more compatible, there are still key differences that outline the differing approaches and assessment of vulnerability. </w:t>
            </w:r>
          </w:p>
          <w:p w14:paraId="72E1D30A" w14:textId="77777777" w:rsidR="00F624EF" w:rsidRDefault="00163AB2" w:rsidP="00163AB2">
            <w:pPr>
              <w:rPr>
                <w:sz w:val="24"/>
                <w:szCs w:val="24"/>
              </w:rPr>
            </w:pPr>
            <w:r w:rsidRPr="00163AB2">
              <w:rPr>
                <w:sz w:val="24"/>
                <w:szCs w:val="24"/>
              </w:rPr>
              <w:t xml:space="preserve">The differences in vulnerability between a child and an adult is a major factor that has shaped both legislation and procedures. Children, due to their age and developmental stage, are considered more vulnerable. The phase of development they are in makes them vulnerable to people in positions of trust and as they are less likely to possess the awareness or ability to articulate their experiences, especially in abusive scenarios. </w:t>
            </w:r>
          </w:p>
          <w:p w14:paraId="6F3E330A" w14:textId="77777777" w:rsidR="00F624EF" w:rsidRDefault="00F624EF" w:rsidP="00163AB2">
            <w:pPr>
              <w:rPr>
                <w:sz w:val="24"/>
                <w:szCs w:val="24"/>
              </w:rPr>
            </w:pPr>
          </w:p>
          <w:p w14:paraId="616BF92C" w14:textId="5C6A25EF" w:rsidR="00163AB2" w:rsidRPr="00163AB2" w:rsidRDefault="00163AB2" w:rsidP="00163AB2">
            <w:pPr>
              <w:rPr>
                <w:sz w:val="24"/>
                <w:szCs w:val="24"/>
              </w:rPr>
            </w:pPr>
            <w:r w:rsidRPr="00163AB2">
              <w:rPr>
                <w:sz w:val="24"/>
                <w:szCs w:val="24"/>
              </w:rPr>
              <w:t xml:space="preserve">Safeguarding children involves not only protecting them from harm but also ensuring their environmental needs and welfare are met, this is reflected within the Childrens Act 1989 and SSWBA 2014, outlining frequency of visits and stricter protocols and procedures that must be followed once a child is deemed at risk, including follow up support and intervention. </w:t>
            </w:r>
            <w:r w:rsidRPr="00163AB2">
              <w:rPr>
                <w:sz w:val="24"/>
                <w:szCs w:val="24"/>
              </w:rPr>
              <w:lastRenderedPageBreak/>
              <w:t xml:space="preserve">Adults at risk, typically referred to as ‘vulnerable adults’, include those who are in some way dependent on others for their care and support needs. Contrasting to children, these individuals may have had a lifetime of independence and autonomy, which needs to be considered and respected. A significant part of working with vulnerable adults is balancing the need to protect them from abuse and neglect while upholding their rights to make decisions about their own lives. </w:t>
            </w:r>
          </w:p>
          <w:p w14:paraId="064301A7" w14:textId="26ED2B92" w:rsidR="00163AB2" w:rsidRPr="00163AB2" w:rsidRDefault="00163AB2" w:rsidP="00163AB2">
            <w:pPr>
              <w:rPr>
                <w:sz w:val="24"/>
                <w:szCs w:val="24"/>
              </w:rPr>
            </w:pPr>
            <w:r w:rsidRPr="00163AB2">
              <w:rPr>
                <w:sz w:val="24"/>
                <w:szCs w:val="24"/>
              </w:rPr>
              <w:t xml:space="preserve">This difference is underpinned by legislation, specifically, the Mental Capacity Act (2005). The </w:t>
            </w:r>
            <w:proofErr w:type="gramStart"/>
            <w:r w:rsidRPr="00163AB2">
              <w:rPr>
                <w:sz w:val="24"/>
                <w:szCs w:val="24"/>
              </w:rPr>
              <w:t>principles</w:t>
            </w:r>
            <w:proofErr w:type="gramEnd"/>
            <w:r w:rsidRPr="00163AB2">
              <w:rPr>
                <w:sz w:val="24"/>
                <w:szCs w:val="24"/>
              </w:rPr>
              <w:t xml:space="preserve"> of the MCA protects outlines that adults are automatically assumed to have capacity to make decisions related to their lives and have the right to make unwise decisions, thus protecting their rights of choice and autonomy. Whereas children under the age of 16 are deemed to lack the mental capacity to make lasting </w:t>
            </w:r>
            <w:r w:rsidR="00F624EF" w:rsidRPr="00163AB2">
              <w:rPr>
                <w:sz w:val="24"/>
                <w:szCs w:val="24"/>
              </w:rPr>
              <w:t>decisions and</w:t>
            </w:r>
            <w:r w:rsidRPr="00163AB2">
              <w:rPr>
                <w:sz w:val="24"/>
                <w:szCs w:val="24"/>
              </w:rPr>
              <w:t xml:space="preserve"> are not afforded the option of unwise decision making. However, a child may be assessed to see if they have enough understanding to make up their own mind about the benefits and risks of the decision, this is termed ‘Gillick competence’.  Alternatively, where an adult is assessed as lacking capacity to make a specific decision due to an impairment of the mind or brain, the decision must be made in the persons best interest with </w:t>
            </w:r>
            <w:r w:rsidR="00F624EF" w:rsidRPr="00163AB2">
              <w:rPr>
                <w:sz w:val="24"/>
                <w:szCs w:val="24"/>
              </w:rPr>
              <w:t>their</w:t>
            </w:r>
            <w:r w:rsidRPr="00163AB2">
              <w:rPr>
                <w:sz w:val="24"/>
                <w:szCs w:val="24"/>
              </w:rPr>
              <w:t xml:space="preserve"> wishes and beliefs considered to make that decision. </w:t>
            </w:r>
          </w:p>
          <w:p w14:paraId="53A31006" w14:textId="77777777" w:rsidR="00163AB2" w:rsidRPr="00163AB2" w:rsidRDefault="00163AB2" w:rsidP="00163AB2">
            <w:pPr>
              <w:rPr>
                <w:sz w:val="24"/>
                <w:szCs w:val="24"/>
              </w:rPr>
            </w:pPr>
          </w:p>
          <w:p w14:paraId="31AAA467" w14:textId="77777777" w:rsidR="00163AB2" w:rsidRDefault="00163AB2" w:rsidP="00163AB2">
            <w:pPr>
              <w:rPr>
                <w:b/>
                <w:bCs/>
                <w:u w:val="single"/>
              </w:rPr>
            </w:pPr>
            <w:r w:rsidRPr="00FF603C">
              <w:rPr>
                <w:b/>
                <w:bCs/>
                <w:u w:val="single"/>
              </w:rPr>
              <w:t>4</w:t>
            </w:r>
            <w:r>
              <w:rPr>
                <w:b/>
                <w:bCs/>
                <w:u w:val="single"/>
              </w:rPr>
              <w:t>40</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BB294" w14:textId="77777777" w:rsidR="001C371F" w:rsidRDefault="001C371F">
      <w:r>
        <w:separator/>
      </w:r>
    </w:p>
  </w:endnote>
  <w:endnote w:type="continuationSeparator" w:id="0">
    <w:p w14:paraId="493C9FA2" w14:textId="77777777" w:rsidR="001C371F" w:rsidRDefault="001C37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5560A7" w14:textId="77777777" w:rsidR="001C371F" w:rsidRDefault="001C371F">
      <w:r>
        <w:separator/>
      </w:r>
    </w:p>
  </w:footnote>
  <w:footnote w:type="continuationSeparator" w:id="0">
    <w:p w14:paraId="08673446" w14:textId="77777777" w:rsidR="001C371F" w:rsidRDefault="001C37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3AB2"/>
    <w:rsid w:val="00164832"/>
    <w:rsid w:val="00171418"/>
    <w:rsid w:val="001772BF"/>
    <w:rsid w:val="001772DE"/>
    <w:rsid w:val="0019496C"/>
    <w:rsid w:val="001961CF"/>
    <w:rsid w:val="001A59BB"/>
    <w:rsid w:val="001A607E"/>
    <w:rsid w:val="001A6A51"/>
    <w:rsid w:val="001A79C4"/>
    <w:rsid w:val="001B331A"/>
    <w:rsid w:val="001C0237"/>
    <w:rsid w:val="001C0E74"/>
    <w:rsid w:val="001C371F"/>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3FC"/>
    <w:rsid w:val="006D18A3"/>
    <w:rsid w:val="006D5970"/>
    <w:rsid w:val="006E481E"/>
    <w:rsid w:val="006E795F"/>
    <w:rsid w:val="006F0862"/>
    <w:rsid w:val="006F1438"/>
    <w:rsid w:val="006F2A9E"/>
    <w:rsid w:val="006F5ED3"/>
    <w:rsid w:val="00700249"/>
    <w:rsid w:val="007069CD"/>
    <w:rsid w:val="00706BB5"/>
    <w:rsid w:val="0070700F"/>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AB8"/>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237"/>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24EF"/>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1122</Words>
  <Characters>6398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Adam Finn</cp:lastModifiedBy>
  <cp:revision>6</cp:revision>
  <cp:lastPrinted>2020-02-11T19:20:00Z</cp:lastPrinted>
  <dcterms:created xsi:type="dcterms:W3CDTF">2025-02-14T14:09:00Z</dcterms:created>
  <dcterms:modified xsi:type="dcterms:W3CDTF">2025-02-14T14:12:00Z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