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248093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63F47">
              <w:rPr>
                <w:rFonts w:ascii="Times New Roman" w:hAnsi="Times New Roman" w:cs="Times New Roman"/>
                <w:b/>
                <w:color w:val="auto"/>
                <w:sz w:val="48"/>
              </w:rPr>
              <w:t>Sarah Harrison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8EE559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63F47">
              <w:rPr>
                <w:rFonts w:ascii="Times New Roman" w:hAnsi="Times New Roman" w:cs="Times New Roman"/>
                <w:b/>
                <w:color w:val="auto"/>
                <w:sz w:val="48"/>
              </w:rPr>
              <w:t xml:space="preserve"> sarah.harrison@flintshire.gov.uk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56ECD77D" w14:textId="1FCB4371" w:rsidR="00763F47" w:rsidRPr="005D3F07" w:rsidRDefault="00763F47"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2232193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bookmarkStart w:id="0" w:name="_Hlk209784862"/>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bookmarkEnd w:id="0"/>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595AE6B1" w14:textId="77777777" w:rsidR="00284D4D" w:rsidRDefault="00284D4D" w:rsidP="00FF7EBB">
            <w:pPr>
              <w:jc w:val="both"/>
              <w:rPr>
                <w:iCs/>
                <w:sz w:val="24"/>
                <w:szCs w:val="24"/>
              </w:rPr>
            </w:pPr>
          </w:p>
          <w:p w14:paraId="59BB4597" w14:textId="77777777" w:rsidR="00284D4D" w:rsidRPr="00284D4D" w:rsidRDefault="00284D4D" w:rsidP="00FF7EBB">
            <w:pPr>
              <w:jc w:val="both"/>
              <w:rPr>
                <w:iCs/>
                <w:sz w:val="24"/>
                <w:szCs w:val="24"/>
              </w:rPr>
            </w:pPr>
          </w:p>
          <w:p w14:paraId="701D8D4D" w14:textId="38C2B218" w:rsidR="00D3203C" w:rsidRDefault="00D3203C" w:rsidP="00FF7EBB">
            <w:pPr>
              <w:jc w:val="both"/>
              <w:rPr>
                <w:i/>
                <w:sz w:val="24"/>
                <w:szCs w:val="24"/>
              </w:rPr>
            </w:pPr>
          </w:p>
          <w:p w14:paraId="203B2D86" w14:textId="77777777" w:rsidR="00404464" w:rsidRPr="00404464" w:rsidRDefault="00404464" w:rsidP="00404464">
            <w:pPr>
              <w:jc w:val="both"/>
              <w:rPr>
                <w:sz w:val="24"/>
                <w:szCs w:val="24"/>
              </w:rPr>
            </w:pPr>
            <w:r w:rsidRPr="00404464">
              <w:rPr>
                <w:sz w:val="24"/>
                <w:szCs w:val="24"/>
              </w:rPr>
              <w:t> </w:t>
            </w:r>
          </w:p>
          <w:p w14:paraId="6F6095CD" w14:textId="4B5B6F3E" w:rsidR="009475C2" w:rsidRDefault="009475C2" w:rsidP="009475C2">
            <w:pPr>
              <w:jc w:val="both"/>
              <w:rPr>
                <w:sz w:val="24"/>
                <w:szCs w:val="24"/>
              </w:rPr>
            </w:pPr>
            <w:r w:rsidRPr="009475C2">
              <w:rPr>
                <w:sz w:val="24"/>
                <w:szCs w:val="24"/>
              </w:rPr>
              <w:t>This case study reflects on my professional involvement in a Section 47 enquiry concerning the safeguarding of a child, whom I will refer to as 1, his mother 2, and his maternal grandmother 3. My engagement began when 1 was already open to Targeted Support under a Part 4 Care and Support Plan, following concerns about parenting routines, low school attendance, and 2’s capacity to meet 1’s needs consistently and safely (SSWBA, 2014). The existing plan, transferred from another team, highlighted that while services had been offered to 2, she did not consistently engage with them, resulting in the closure of support.</w:t>
            </w:r>
          </w:p>
          <w:p w14:paraId="2A0DB04F" w14:textId="77777777" w:rsidR="009475C2" w:rsidRPr="009475C2" w:rsidRDefault="009475C2" w:rsidP="009475C2">
            <w:pPr>
              <w:jc w:val="both"/>
              <w:rPr>
                <w:sz w:val="24"/>
                <w:szCs w:val="24"/>
              </w:rPr>
            </w:pPr>
          </w:p>
          <w:p w14:paraId="675FDB3F" w14:textId="654AE98C" w:rsidR="009475C2" w:rsidRDefault="009475C2" w:rsidP="009475C2">
            <w:pPr>
              <w:jc w:val="both"/>
              <w:rPr>
                <w:sz w:val="24"/>
                <w:szCs w:val="24"/>
              </w:rPr>
            </w:pPr>
            <w:r w:rsidRPr="009475C2">
              <w:rPr>
                <w:sz w:val="24"/>
                <w:szCs w:val="24"/>
              </w:rPr>
              <w:t xml:space="preserve">An anonymous referral was received by Children’s Services, alerting the department to a video circulating on social media depicting 2, the mother of 1, smoking a crack pipe. The receipt of such a referral triggers the formal child protection process within social services, beginning with a triage and screening of the information to determine its credibility, immediacy, and the potential risk to the child. Upon receipt, the referral is documented on the local authority’s child protection database, and initial enquiries are made to ascertain whether 1 is currently in immediate danger. The process includes contacting relevant professionals who may have existing knowledge of the child and family, such as school staff, health visitors, and any social workers previously involved. The anonymous nature of the referral requires careful consideration; although the source’s identity is unknown, the content cannot be disregarded due to the potential for significant harm. Social work practice dictates that all referrals </w:t>
            </w:r>
            <w:r w:rsidRPr="009475C2">
              <w:rPr>
                <w:sz w:val="24"/>
                <w:szCs w:val="24"/>
              </w:rPr>
              <w:lastRenderedPageBreak/>
              <w:t>indicating possible substance misuse, neglect, or exposure to unsafe environments must be assessed promptly in accordance with statutory guidance under the Children Act 1989 and the All Wales Child Protection Procedures</w:t>
            </w:r>
            <w:r>
              <w:rPr>
                <w:sz w:val="24"/>
                <w:szCs w:val="24"/>
              </w:rPr>
              <w:t>.</w:t>
            </w:r>
          </w:p>
          <w:p w14:paraId="622FA61C" w14:textId="77777777" w:rsidR="009475C2" w:rsidRPr="009475C2" w:rsidRDefault="009475C2" w:rsidP="009475C2">
            <w:pPr>
              <w:jc w:val="both"/>
              <w:rPr>
                <w:sz w:val="24"/>
                <w:szCs w:val="24"/>
              </w:rPr>
            </w:pPr>
          </w:p>
          <w:p w14:paraId="29973000" w14:textId="77777777" w:rsidR="009475C2" w:rsidRDefault="009475C2" w:rsidP="009475C2">
            <w:pPr>
              <w:jc w:val="both"/>
              <w:rPr>
                <w:sz w:val="24"/>
                <w:szCs w:val="24"/>
              </w:rPr>
            </w:pPr>
            <w:r w:rsidRPr="009475C2">
              <w:rPr>
                <w:sz w:val="24"/>
                <w:szCs w:val="24"/>
              </w:rPr>
              <w:t>On receiving the referral, I undertook a detailed review of all available documentation, including the Care and Support Plan, school attendance records, previous assessments, and any health or police notifications. Recognising the potential for significant harm, procedures were followed and my manager requested a Strategy Discussion with our local police force who agreed a single agency Section 47 Child Protection Enquiry under the Children Act 1989. I informed all relevant professionals of the enquiry, including school staff, health visitors, police, and colleagues across social services, to ensure multi-agency coordination and compliance with statutory procedures. The Section 47 enquiry required immediate assessment and careful planning to determine whether 1 was suffering, or likely to suffer, significant harm. It was essential to balance prompt intervention with careful information gathering to ensure evidence-based professional judgements</w:t>
            </w:r>
          </w:p>
          <w:p w14:paraId="636AF0CD" w14:textId="33FBC783" w:rsidR="009475C2" w:rsidRPr="009475C2" w:rsidRDefault="009475C2" w:rsidP="009475C2">
            <w:pPr>
              <w:jc w:val="both"/>
              <w:rPr>
                <w:sz w:val="24"/>
                <w:szCs w:val="24"/>
              </w:rPr>
            </w:pPr>
          </w:p>
          <w:p w14:paraId="18A4DE6A" w14:textId="169A5D49" w:rsidR="009475C2" w:rsidRDefault="009475C2" w:rsidP="009475C2">
            <w:pPr>
              <w:jc w:val="both"/>
              <w:rPr>
                <w:sz w:val="24"/>
                <w:szCs w:val="24"/>
              </w:rPr>
            </w:pPr>
            <w:r>
              <w:rPr>
                <w:sz w:val="24"/>
                <w:szCs w:val="24"/>
              </w:rPr>
              <w:t xml:space="preserve">Following the circulation of these videos on social media, 1 was residing with 3, which initially mitigated the risks to him. </w:t>
            </w:r>
            <w:r w:rsidRPr="009475C2">
              <w:rPr>
                <w:sz w:val="24"/>
                <w:szCs w:val="24"/>
              </w:rPr>
              <w:t xml:space="preserve">While the historical context of these videos was unclear, their existence raised serious safeguarding concerns regarding 2’s lifestyle choices and her ability to provide safe care. At this time, 2 was </w:t>
            </w:r>
            <w:r>
              <w:rPr>
                <w:sz w:val="24"/>
                <w:szCs w:val="24"/>
              </w:rPr>
              <w:t xml:space="preserve">now </w:t>
            </w:r>
            <w:r w:rsidRPr="009475C2">
              <w:rPr>
                <w:sz w:val="24"/>
                <w:szCs w:val="24"/>
              </w:rPr>
              <w:t>homeless, largely uncontactable, and demonstrated minimal insight into the impact of her behaviour on 1, raising urgent questions about parental responsibility and the legal authority to safeguard the child.</w:t>
            </w:r>
          </w:p>
          <w:p w14:paraId="0D41CB09" w14:textId="77777777" w:rsidR="009475C2" w:rsidRPr="009475C2" w:rsidRDefault="009475C2" w:rsidP="009475C2">
            <w:pPr>
              <w:jc w:val="both"/>
              <w:rPr>
                <w:sz w:val="24"/>
                <w:szCs w:val="24"/>
              </w:rPr>
            </w:pPr>
          </w:p>
          <w:p w14:paraId="07F5383E" w14:textId="77777777" w:rsidR="009475C2" w:rsidRDefault="009475C2" w:rsidP="009475C2">
            <w:pPr>
              <w:jc w:val="both"/>
              <w:rPr>
                <w:sz w:val="24"/>
                <w:szCs w:val="24"/>
              </w:rPr>
            </w:pPr>
            <w:r w:rsidRPr="009475C2">
              <w:rPr>
                <w:sz w:val="24"/>
                <w:szCs w:val="24"/>
              </w:rPr>
              <w:t>A crucial aspect of my work involved establishing a comprehensive understanding of the risks surrounding 1. I requested police checks on 2, 3, and other known male associates of 2. The checks revealed a concerning pattern: 2 had a history of shoplifting, involvement in drug use, prostitution, and poor choices in intimate relationships, some of which had exposed 1 to domestic abuse. Additionally, there were reports of violent interactions between 2 and 3 in 1’s presence, highlighting both adults’ lack of awareness of the emotional impact of their behaviour on him. Integrating these findings into my assessment allowed me to identify patterns of risk and recognise that 1’s wellbeing was compromised not only by neglect of routines and care but also by direct exposure to violence, instability, and unpredictable adult behaviour. The objective evidence gathered from the police checks supported the statutory threshold for a Section 47 intervention, providing a foundation for further professional analysis.</w:t>
            </w:r>
          </w:p>
          <w:p w14:paraId="6CCDF34D" w14:textId="77777777" w:rsidR="009475C2" w:rsidRPr="009475C2" w:rsidRDefault="009475C2" w:rsidP="009475C2">
            <w:pPr>
              <w:jc w:val="both"/>
              <w:rPr>
                <w:sz w:val="24"/>
                <w:szCs w:val="24"/>
              </w:rPr>
            </w:pPr>
          </w:p>
          <w:p w14:paraId="657B4AAF" w14:textId="77777777" w:rsidR="009475C2" w:rsidRDefault="009475C2" w:rsidP="009475C2">
            <w:pPr>
              <w:jc w:val="both"/>
              <w:rPr>
                <w:sz w:val="24"/>
                <w:szCs w:val="24"/>
              </w:rPr>
            </w:pPr>
            <w:r w:rsidRPr="009475C2">
              <w:rPr>
                <w:sz w:val="24"/>
                <w:szCs w:val="24"/>
              </w:rPr>
              <w:t xml:space="preserve">Engaging directly with 2 presented significant challenges throughout the Section 47 enquiry. 2 was homeless, and further checks revealed that this was the third period of homelessness in eight years, the first occurring when 1 was a small baby. This history of instability suggested a longstanding pattern of chaotic living circumstances and raised concerns regarding her capacity to provide consistent care over time. 2 was often uncontactable, which significantly impeded my ability to assess her parenting and her awareness of the risks posed to 1. When she did present in person, she frequently appeared potentially under the influence of substances and displayed pronounced emotional dysregulation. On several occasions, her presentation suggested signs consistent with drug withdrawal, including agitation, irritability, and heightened anxiety, which can profoundly impact cognitive functioning and decision-making (Miller &amp; Rollnick, 2013). One particularly memorable meeting occurred when 2 </w:t>
            </w:r>
            <w:r w:rsidRPr="009475C2">
              <w:rPr>
                <w:sz w:val="24"/>
                <w:szCs w:val="24"/>
              </w:rPr>
              <w:lastRenderedPageBreak/>
              <w:t>attended the local authority offices, homeless and visibly distressed. 2 became highly agitated at the prospect of returning to her home town, expressing hostility and defiance while simultaneously being defensive about her parenting. Her behaviour oscillated between aggression and vulnerability, indicating both emotional instability and the possible physiological effects of substance misuse. Engaging with 2 in these circumstances required careful risk assessment, de-escalation strategies, and a consistent professional stance to ensure that the safety of 1 remained the primary focus (Howe, 2011).</w:t>
            </w:r>
          </w:p>
          <w:p w14:paraId="78E04A09" w14:textId="77777777" w:rsidR="009475C2" w:rsidRPr="009475C2" w:rsidRDefault="009475C2" w:rsidP="009475C2">
            <w:pPr>
              <w:jc w:val="both"/>
              <w:rPr>
                <w:sz w:val="24"/>
                <w:szCs w:val="24"/>
              </w:rPr>
            </w:pPr>
          </w:p>
          <w:p w14:paraId="45ED0333" w14:textId="2EA01937" w:rsidR="009475C2" w:rsidRDefault="009475C2" w:rsidP="009475C2">
            <w:pPr>
              <w:jc w:val="both"/>
              <w:rPr>
                <w:sz w:val="24"/>
                <w:szCs w:val="24"/>
              </w:rPr>
            </w:pPr>
            <w:r w:rsidRPr="009475C2">
              <w:rPr>
                <w:sz w:val="24"/>
                <w:szCs w:val="24"/>
              </w:rPr>
              <w:t>I had to balance empathy for her circumstances, including the challenges associated with homelessness and substance dependency, with statutory responsibilities to protect 1, recognising that impaired parental capacity exacerbated by potential withdrawal, could have immediate and long-term impacts on his safety and emotional wellbeing. This situation reinforced the importance of applying professional judgement, trauma-informed practice, and anti-oppressive approaches when working with parents experiencing substance misuse and housing instability (Van der Kolk, 2014; Dominelli, 2002).</w:t>
            </w:r>
            <w:r>
              <w:rPr>
                <w:sz w:val="24"/>
                <w:szCs w:val="24"/>
              </w:rPr>
              <w:t xml:space="preserve"> </w:t>
            </w:r>
            <w:r w:rsidRPr="009475C2">
              <w:rPr>
                <w:sz w:val="24"/>
                <w:szCs w:val="24"/>
              </w:rPr>
              <w:t>Despite these difficulties, I recognised the importance of engaging with her to gather her perspective, assess her insight, and document risk. Each interaction was carefully recorded, noting her affect, verbal statements, and the potential impact on 1’s welfare. These encounters required the application of professional judgement, balancing empathy, anti-oppressive practice, and legal obligations. I reflected on the challenges of assessing parental capacity in contexts of homelessness, substance misuse, and relational conflict, understanding that while engagement is ideal, protection of the child remains paramount (Dominelli, 2002).</w:t>
            </w:r>
          </w:p>
          <w:p w14:paraId="6B04B4FC" w14:textId="77777777" w:rsidR="009475C2" w:rsidRPr="009475C2" w:rsidRDefault="009475C2" w:rsidP="009475C2">
            <w:pPr>
              <w:jc w:val="both"/>
              <w:rPr>
                <w:sz w:val="24"/>
                <w:szCs w:val="24"/>
              </w:rPr>
            </w:pPr>
          </w:p>
          <w:p w14:paraId="30A09D63" w14:textId="77777777" w:rsidR="009475C2" w:rsidRDefault="009475C2" w:rsidP="009475C2">
            <w:pPr>
              <w:jc w:val="both"/>
              <w:rPr>
                <w:sz w:val="24"/>
                <w:szCs w:val="24"/>
              </w:rPr>
            </w:pPr>
            <w:r w:rsidRPr="009475C2">
              <w:rPr>
                <w:sz w:val="24"/>
                <w:szCs w:val="24"/>
              </w:rPr>
              <w:t xml:space="preserve">A central component of the enquiry involved direct work with 1 to understand his daily lived experience and the emotional impact of the family circumstances. Given 2’s instructions that 1 should not speak openly with me, he reported, </w:t>
            </w:r>
            <w:r w:rsidRPr="009475C2">
              <w:rPr>
                <w:i/>
                <w:iCs/>
                <w:sz w:val="24"/>
                <w:szCs w:val="24"/>
              </w:rPr>
              <w:t>“Mum says that when I speak to you I make things worse for her</w:t>
            </w:r>
            <w:r w:rsidRPr="009475C2">
              <w:rPr>
                <w:sz w:val="24"/>
                <w:szCs w:val="24"/>
              </w:rPr>
              <w:t xml:space="preserve">”. I raised this during supervision with my manager and collaborative conversations took place with colleagues in our office. Following this, I developed creative, child-centred approaches. Within the school environment, I facilitated sessions using drawing as a medium for expression, allowing 1 to communicate safely without verbalising experiences that might provoke conflict with his mother. These sessions revealed deep insights into his emotional state and relational perceptions. For example, 1 drew his mother in prison, stating that he felt happy not seeing her. In contrast, drawings of his own facial expressions after encounters with 2 depicted sadness and fear. When illustrating 3, he stated, </w:t>
            </w:r>
            <w:r w:rsidRPr="009475C2">
              <w:rPr>
                <w:i/>
                <w:iCs/>
                <w:sz w:val="24"/>
                <w:szCs w:val="24"/>
              </w:rPr>
              <w:t>“I have to keep her safe because she keeps me safe</w:t>
            </w:r>
            <w:r w:rsidRPr="009475C2">
              <w:rPr>
                <w:sz w:val="24"/>
                <w:szCs w:val="24"/>
              </w:rPr>
              <w:t>,” indicating his awareness of her protective role despite limitations imposed by the conflicted adult relationship. These sessions were structured to encourage expression in a non-threatening way, allowing 1 to communicate complex feelings and experiences safely. They reinforced the importance of creativity in child-centred social work practice and demonstrated the significance of listening to children through methods other than verbal conversation (UNCRC, 1989).</w:t>
            </w:r>
          </w:p>
          <w:p w14:paraId="05D323B6" w14:textId="77777777" w:rsidR="009475C2" w:rsidRPr="009475C2" w:rsidRDefault="009475C2" w:rsidP="009475C2">
            <w:pPr>
              <w:jc w:val="both"/>
              <w:rPr>
                <w:sz w:val="24"/>
                <w:szCs w:val="24"/>
              </w:rPr>
            </w:pPr>
          </w:p>
          <w:p w14:paraId="1CC29AFC" w14:textId="77777777" w:rsidR="009475C2" w:rsidRDefault="009475C2" w:rsidP="009475C2">
            <w:pPr>
              <w:jc w:val="both"/>
              <w:rPr>
                <w:sz w:val="24"/>
                <w:szCs w:val="24"/>
              </w:rPr>
            </w:pPr>
            <w:r w:rsidRPr="009475C2">
              <w:rPr>
                <w:sz w:val="24"/>
                <w:szCs w:val="24"/>
              </w:rPr>
              <w:t xml:space="preserve">Notably, 1 drew pictures of his father, from whom he had been estranged, depicting positive interactions and happy scenes. These drawings were significant in highlighting 1’s emotional needs and his desire for secure attachment, particularly in contrast to the instability he experienced with his mother and grandmother. By illustrating himself alongside his father in safe and happy contexts, 1 was expressing a longing for predictability, emotional safety, and </w:t>
            </w:r>
            <w:r w:rsidRPr="009475C2">
              <w:rPr>
                <w:sz w:val="24"/>
                <w:szCs w:val="24"/>
              </w:rPr>
              <w:lastRenderedPageBreak/>
              <w:t>nurturing, which are core components of secure attachment as outlined by Bowlby (1988). Through these creative representations, 1 was able to communicate complex feelings of loss, longing, and hope that he could not verbalise, highlighting the utility of child-centred, non-verbal methods in social work practice (Wilson &amp; Penn, 2015). From a theoretical perspective, the use of attachment theory allowed me to interpret 1’s drawings as indicators of his relational needs and as evidence of the potential protective role that his father could play. The illustrations suggested that despite his estrangement, 1 retained a strong internal working model of a caregiver who could provide security and emotional support, reflecting his capacity for resilience within a fractured family system (Luthar et al., 2000).</w:t>
            </w:r>
          </w:p>
          <w:p w14:paraId="767C1D10" w14:textId="77777777" w:rsidR="009475C2" w:rsidRPr="009475C2" w:rsidRDefault="009475C2" w:rsidP="009475C2">
            <w:pPr>
              <w:jc w:val="both"/>
              <w:rPr>
                <w:sz w:val="24"/>
                <w:szCs w:val="24"/>
              </w:rPr>
            </w:pPr>
          </w:p>
          <w:p w14:paraId="70C07BFA" w14:textId="77777777" w:rsidR="009475C2" w:rsidRDefault="009475C2" w:rsidP="009475C2">
            <w:pPr>
              <w:jc w:val="both"/>
              <w:rPr>
                <w:sz w:val="24"/>
                <w:szCs w:val="24"/>
              </w:rPr>
            </w:pPr>
            <w:r w:rsidRPr="009475C2">
              <w:rPr>
                <w:sz w:val="24"/>
                <w:szCs w:val="24"/>
              </w:rPr>
              <w:t>These observations prompted me to explore the father as a potential alternative carer, integrating 1’s wishes into the safeguarding strategy and multi-agency discussions. This process aligned with Article 12 of the UNCRC, which obliges practitioners to give due weight to children’s views in matters affecting them, and Article 19, which underscores the right to protection from abuse and neglect. By using creative methods, I was able to ensure that 1’s voice was central to the enquiry and informed decisions regarding long-term safeguarding options. The drawings also highlighted 1’s understanding of other adults in his life, including extended family members, friends of his mother, and peers he had encountered, offering a holistic insight into his social world.</w:t>
            </w:r>
          </w:p>
          <w:p w14:paraId="032F8F04" w14:textId="77777777" w:rsidR="009475C2" w:rsidRPr="009475C2" w:rsidRDefault="009475C2" w:rsidP="009475C2">
            <w:pPr>
              <w:jc w:val="both"/>
              <w:rPr>
                <w:sz w:val="24"/>
                <w:szCs w:val="24"/>
              </w:rPr>
            </w:pPr>
          </w:p>
          <w:p w14:paraId="23611C22" w14:textId="77777777" w:rsidR="009475C2" w:rsidRDefault="009475C2" w:rsidP="009475C2">
            <w:pPr>
              <w:jc w:val="both"/>
              <w:rPr>
                <w:sz w:val="24"/>
                <w:szCs w:val="24"/>
              </w:rPr>
            </w:pPr>
            <w:r w:rsidRPr="009475C2">
              <w:rPr>
                <w:sz w:val="24"/>
                <w:szCs w:val="24"/>
              </w:rPr>
              <w:t>During the enquiry, I maintained a systematic approach to collecting information and assessing risk. I collated observations from school staff, health visitors, and colleagues, alongside direct work and police checks. The school reported a marked decline in 1’s emotional wellbeing, describing him as sad, withdrawn, and frequently tearful. Staff noted he was less engaged, often avoided interactions, and displayed signs of anxiety and low mood. I observed that 3, although committed to caring for 1, was unable to provide consistent safeguarding due to the complex and conflicted relationship with her daughter. This assessment highlighted that 1’s safety could not be assured without statutory intervention, and that the informal care arrangements in place were insufficient to mitigate risk.</w:t>
            </w:r>
          </w:p>
          <w:p w14:paraId="36FDB636" w14:textId="77777777" w:rsidR="009475C2" w:rsidRPr="009475C2" w:rsidRDefault="009475C2" w:rsidP="009475C2">
            <w:pPr>
              <w:jc w:val="both"/>
              <w:rPr>
                <w:sz w:val="24"/>
                <w:szCs w:val="24"/>
              </w:rPr>
            </w:pPr>
          </w:p>
          <w:p w14:paraId="5F8116FF" w14:textId="77777777" w:rsidR="009475C2" w:rsidRPr="009475C2" w:rsidRDefault="009475C2" w:rsidP="009475C2">
            <w:pPr>
              <w:jc w:val="both"/>
              <w:rPr>
                <w:sz w:val="24"/>
                <w:szCs w:val="24"/>
              </w:rPr>
            </w:pPr>
            <w:r w:rsidRPr="009475C2">
              <w:rPr>
                <w:sz w:val="24"/>
                <w:szCs w:val="24"/>
              </w:rPr>
              <w:t>While the Act does not specify a set number of days, statutory guidance and Welsh practice guidance (All Wales Child Protection Procedures, 2019; SSWBA 2014) indicate that enquiries should be completed promptly and efficiently, typically within 10–15 working days, unless there are exceptional circumstances.</w:t>
            </w:r>
          </w:p>
          <w:p w14:paraId="765C1BE3" w14:textId="77777777" w:rsidR="009475C2" w:rsidRPr="009475C2" w:rsidRDefault="009475C2" w:rsidP="009475C2">
            <w:pPr>
              <w:jc w:val="both"/>
              <w:rPr>
                <w:sz w:val="24"/>
                <w:szCs w:val="24"/>
              </w:rPr>
            </w:pPr>
            <w:r w:rsidRPr="009475C2">
              <w:rPr>
                <w:sz w:val="24"/>
                <w:szCs w:val="24"/>
              </w:rPr>
              <w:t>The focus is on timely decision-making to protect the child while allowing sufficient time to gather evidence from multiple sources (e.g., police checks, school reports, health professionals).</w:t>
            </w:r>
          </w:p>
          <w:p w14:paraId="46A6B8D8" w14:textId="77777777" w:rsidR="009475C2" w:rsidRDefault="009475C2" w:rsidP="009475C2">
            <w:pPr>
              <w:jc w:val="both"/>
              <w:rPr>
                <w:sz w:val="24"/>
                <w:szCs w:val="24"/>
              </w:rPr>
            </w:pPr>
            <w:r w:rsidRPr="009475C2">
              <w:rPr>
                <w:sz w:val="24"/>
                <w:szCs w:val="24"/>
              </w:rPr>
              <w:t xml:space="preserve">I coordinated input from multiple agencies, including school, police, health visitors, and colleagues within social services. Each piece of information was carefully analysed to identify patterns, assess risk levels, and support decision-making. Professional judgement drew on established social work theory. Attachment theory (Howe, 2011) provided a framework for understanding the impact of inconsistent caregiving, parental substance misuse, and intergenerational conflict on 1’s emotional development. Resilience theory (Luthar et al., 2000) informed my recognition of protective factors, particularly the stabilising influence of 3 and the potential positive relationship with his father. Trauma-informed principles (Van der Kolk, 2014) guided interpretation of drawings and behaviours, recognising how exposure to parental </w:t>
            </w:r>
            <w:r w:rsidRPr="009475C2">
              <w:rPr>
                <w:sz w:val="24"/>
                <w:szCs w:val="24"/>
              </w:rPr>
              <w:lastRenderedPageBreak/>
              <w:t>substance misuse, domestic conflict, and emotional neglect could affect self-esteem, emotional regulation, and perception of safety. Systems theory reinforced the necessity of viewing 1’s experiences within the broader family, school, and community context, highlighting the need for coordinated multi-agency interventions.</w:t>
            </w:r>
          </w:p>
          <w:p w14:paraId="55148189" w14:textId="77777777" w:rsidR="009475C2" w:rsidRPr="009475C2" w:rsidRDefault="009475C2" w:rsidP="009475C2">
            <w:pPr>
              <w:jc w:val="both"/>
              <w:rPr>
                <w:sz w:val="24"/>
                <w:szCs w:val="24"/>
              </w:rPr>
            </w:pPr>
          </w:p>
          <w:p w14:paraId="050E072C" w14:textId="77777777" w:rsidR="009475C2" w:rsidRDefault="009475C2" w:rsidP="009475C2">
            <w:pPr>
              <w:jc w:val="both"/>
              <w:rPr>
                <w:sz w:val="24"/>
                <w:szCs w:val="24"/>
              </w:rPr>
            </w:pPr>
            <w:r w:rsidRPr="009475C2">
              <w:rPr>
                <w:sz w:val="24"/>
                <w:szCs w:val="24"/>
              </w:rPr>
              <w:t>Throughout the enquiry, I encountered ethical challenges and tensions inherent in balancing family autonomy with statutory safeguarding responsibilities. The Human Rights Act 1998, incorporating the European Convention on Human Rights, mandates balancing 2’s Article 8 right to family life against 1’s Article 3 right to protection from inhuman or degrading treatment. While respecting parental rights was essential, 2’s lack of engagement, homelessness, substance misuse, and erratic behaviour required decisive protective action. Welsh statutory guidance, including the SSWBA 2014 and the All Wales Child Protection Procedures (Welsh Government, 2019), alongside National Occupational Standards (Social Care Wales, 2023), guided my decisions, ensuring that interventions were lawful, ethical, and child-centred.</w:t>
            </w:r>
          </w:p>
          <w:p w14:paraId="1BD82323" w14:textId="77777777" w:rsidR="009475C2" w:rsidRPr="009475C2" w:rsidRDefault="009475C2" w:rsidP="009475C2">
            <w:pPr>
              <w:jc w:val="both"/>
              <w:rPr>
                <w:sz w:val="24"/>
                <w:szCs w:val="24"/>
              </w:rPr>
            </w:pPr>
          </w:p>
          <w:p w14:paraId="0635C827" w14:textId="54FE9B72" w:rsidR="009475C2" w:rsidRDefault="009475C2" w:rsidP="009475C2">
            <w:pPr>
              <w:jc w:val="both"/>
              <w:rPr>
                <w:sz w:val="24"/>
                <w:szCs w:val="24"/>
              </w:rPr>
            </w:pPr>
            <w:r w:rsidRPr="009475C2">
              <w:rPr>
                <w:sz w:val="24"/>
                <w:szCs w:val="24"/>
              </w:rPr>
              <w:t xml:space="preserve">Reflective practice was central throughout the enquiry. I consistently examined my own emotional responses to the complexity of the family situation, utilising supervision to explore assumptions, challenge potential biases, and ensure decisions remained focused on 1’s welfare (Schön, 1983). Anti-oppressive practice informed my approach, ensuring that homelessness, substance use, or relational conflict did not result in unjustified value judgements, while recognising and acting upon tangible risk factors (Dominelli, 2002). Health and safety considerations were paramount </w:t>
            </w:r>
            <w:r>
              <w:rPr>
                <w:sz w:val="24"/>
                <w:szCs w:val="24"/>
              </w:rPr>
              <w:t>on the few occasions I could arrange to meet her at her mothers’ home. These</w:t>
            </w:r>
            <w:r w:rsidRPr="009475C2">
              <w:rPr>
                <w:sz w:val="24"/>
                <w:szCs w:val="24"/>
              </w:rPr>
              <w:t xml:space="preserve"> home visits, particularly when engaging with 2, who could be volatile, and 3, who was protective yet vulnerable. I used these visits to assess environmental risks, observe family interactions, and gather evidence to support the enquiry and any subsequent statutory intervention.</w:t>
            </w:r>
            <w:r>
              <w:rPr>
                <w:sz w:val="24"/>
                <w:szCs w:val="24"/>
              </w:rPr>
              <w:t xml:space="preserve"> On one occasion, the tension between 2 and 3 escalated to such extent, 2 stated she was going to end her life and left. This resulted in me calling the police and ambulance services to ensure the safety and well-being on 2. </w:t>
            </w:r>
          </w:p>
          <w:p w14:paraId="76968A36" w14:textId="77777777" w:rsidR="009475C2" w:rsidRPr="009475C2" w:rsidRDefault="009475C2" w:rsidP="009475C2">
            <w:pPr>
              <w:jc w:val="both"/>
              <w:rPr>
                <w:sz w:val="24"/>
                <w:szCs w:val="24"/>
              </w:rPr>
            </w:pPr>
          </w:p>
          <w:p w14:paraId="3FB01652" w14:textId="77777777" w:rsidR="009475C2" w:rsidRDefault="009475C2" w:rsidP="009475C2">
            <w:pPr>
              <w:jc w:val="both"/>
              <w:rPr>
                <w:sz w:val="24"/>
                <w:szCs w:val="24"/>
              </w:rPr>
            </w:pPr>
            <w:r w:rsidRPr="009475C2">
              <w:rPr>
                <w:sz w:val="24"/>
                <w:szCs w:val="24"/>
              </w:rPr>
              <w:t>Over the course of the enquiry, it became evident that the likelihood of ongoing risk to 1 was high. He was frequently upset and traumatised by his mother’s behaviour, including shouting, swearing, and emotional outbursts in front of 1 and 3. 1 described his mother as “</w:t>
            </w:r>
            <w:r w:rsidRPr="009475C2">
              <w:rPr>
                <w:i/>
                <w:iCs/>
                <w:sz w:val="24"/>
                <w:szCs w:val="24"/>
              </w:rPr>
              <w:t>sick in the head,”</w:t>
            </w:r>
            <w:r w:rsidRPr="009475C2">
              <w:rPr>
                <w:sz w:val="24"/>
                <w:szCs w:val="24"/>
              </w:rPr>
              <w:t xml:space="preserve"> reflecting the significant emotional impact of exposure to volatile adult behaviour. Despite 3’s commitment to protect him, her capacity was limited by her relationship with 2.</w:t>
            </w:r>
          </w:p>
          <w:p w14:paraId="584C373D" w14:textId="469E3DA7" w:rsidR="009475C2" w:rsidRPr="009475C2" w:rsidRDefault="009475C2" w:rsidP="009475C2">
            <w:pPr>
              <w:jc w:val="both"/>
              <w:rPr>
                <w:sz w:val="24"/>
                <w:szCs w:val="24"/>
              </w:rPr>
            </w:pPr>
            <w:r w:rsidRPr="009475C2">
              <w:rPr>
                <w:sz w:val="24"/>
                <w:szCs w:val="24"/>
              </w:rPr>
              <w:t xml:space="preserve"> </w:t>
            </w:r>
          </w:p>
          <w:p w14:paraId="7EF00C67" w14:textId="77777777" w:rsidR="009475C2" w:rsidRPr="009475C2" w:rsidRDefault="009475C2" w:rsidP="009475C2">
            <w:pPr>
              <w:jc w:val="both"/>
              <w:rPr>
                <w:sz w:val="24"/>
                <w:szCs w:val="24"/>
              </w:rPr>
            </w:pPr>
            <w:r w:rsidRPr="009475C2">
              <w:rPr>
                <w:sz w:val="24"/>
                <w:szCs w:val="24"/>
              </w:rPr>
              <w:t>At the conclusion of a Section 47 enquiry, the local authority must make a statutory decision regarding the next steps, guided primarily by the Children Act 1989, the Social Services and Well-being (Wales) Act 2014 (SSWBA), and the All Wales Child Protection Procedures (2019). The first possible outcome is to take no further action, (D1 – NFA), which may occur if the enquiry establishes that the child is not at risk of significant harm and that protective concerns are unfounded or have been adequately addressed. In such cases, the decision must be clearly documented, detailing the rationale and the evidence supporting it, in line with statutory requirements for accountability and transparency (Children Act, 1989; SSWBA, 2014).</w:t>
            </w:r>
          </w:p>
          <w:p w14:paraId="5A18C52D" w14:textId="77777777" w:rsidR="009475C2" w:rsidRDefault="009475C2" w:rsidP="009475C2">
            <w:pPr>
              <w:jc w:val="both"/>
              <w:rPr>
                <w:sz w:val="24"/>
                <w:szCs w:val="24"/>
              </w:rPr>
            </w:pPr>
            <w:r w:rsidRPr="009475C2">
              <w:rPr>
                <w:sz w:val="24"/>
                <w:szCs w:val="24"/>
              </w:rPr>
              <w:t xml:space="preserve">The second outcome is to initiate early help or support for the child and family. This aligns with the principles of the SSWBA 2014, which emphasises prevention and promoting </w:t>
            </w:r>
            <w:r w:rsidRPr="009475C2">
              <w:rPr>
                <w:sz w:val="24"/>
                <w:szCs w:val="24"/>
              </w:rPr>
              <w:lastRenderedPageBreak/>
              <w:t>wellbeing, and may involve offering a Care and Support Plan under Part 4 of the Act to address identified needs before risks escalate (SSWBA, 2014). (D2 – Substantiated – Not at further Risk) Early intervention might include parenting support, family therapy, or educational and health services to strengthen protective factors. Crucially, even when risk is not sufficient to trigger statutory child protection measures, ongoing monitoring and multi-agency collaboration are required to safeguard the child’s welfare.</w:t>
            </w:r>
          </w:p>
          <w:p w14:paraId="1917B940" w14:textId="77777777" w:rsidR="009475C2" w:rsidRPr="009475C2" w:rsidRDefault="009475C2" w:rsidP="009475C2">
            <w:pPr>
              <w:jc w:val="both"/>
              <w:rPr>
                <w:sz w:val="24"/>
                <w:szCs w:val="24"/>
              </w:rPr>
            </w:pPr>
          </w:p>
          <w:p w14:paraId="03512FA2" w14:textId="77777777" w:rsidR="009475C2" w:rsidRDefault="009475C2" w:rsidP="009475C2">
            <w:pPr>
              <w:jc w:val="both"/>
              <w:rPr>
                <w:sz w:val="24"/>
                <w:szCs w:val="24"/>
              </w:rPr>
            </w:pPr>
            <w:r w:rsidRPr="009475C2">
              <w:rPr>
                <w:sz w:val="24"/>
                <w:szCs w:val="24"/>
              </w:rPr>
              <w:t>The third, and most serious, outcome is to convene an Initial Child Protection Conference (ICPC) to consider whether a Child Protection Plan is necessary. (D3 – Substantiated – At Risk). Thus, the decision at the end of a Section 47 enquiry reflects a legally mandated, evidence-based, and child-centred process, balancing the child’s immediate protection, long-term wellbeing, and the proportionality of intervention in line with statutory obligations.</w:t>
            </w:r>
          </w:p>
          <w:p w14:paraId="018F3BEF" w14:textId="77777777" w:rsidR="009475C2" w:rsidRPr="009475C2" w:rsidRDefault="009475C2" w:rsidP="009475C2">
            <w:pPr>
              <w:jc w:val="both"/>
              <w:rPr>
                <w:sz w:val="24"/>
                <w:szCs w:val="24"/>
              </w:rPr>
            </w:pPr>
          </w:p>
          <w:p w14:paraId="5C9D1CFC" w14:textId="77777777" w:rsidR="009475C2" w:rsidRDefault="009475C2" w:rsidP="009475C2">
            <w:pPr>
              <w:jc w:val="both"/>
              <w:rPr>
                <w:sz w:val="24"/>
                <w:szCs w:val="24"/>
              </w:rPr>
            </w:pPr>
            <w:r w:rsidRPr="009475C2">
              <w:rPr>
                <w:sz w:val="24"/>
                <w:szCs w:val="24"/>
              </w:rPr>
              <w:t>These findings necessitated an Initial Child Protection Case Conference and consideration of a safeguarding plan. Concurrently, the recent application by 1’s biological father for a Child Arrangement Order offered a potential route to long-term stability and protection, aligning with 1’s expressed preference to live with his father, as evidenced through direct work.</w:t>
            </w:r>
          </w:p>
          <w:p w14:paraId="2B23F05B" w14:textId="77777777" w:rsidR="009475C2" w:rsidRPr="009475C2" w:rsidRDefault="009475C2" w:rsidP="009475C2">
            <w:pPr>
              <w:jc w:val="both"/>
              <w:rPr>
                <w:sz w:val="24"/>
                <w:szCs w:val="24"/>
              </w:rPr>
            </w:pPr>
          </w:p>
          <w:p w14:paraId="126DE62A" w14:textId="77777777" w:rsidR="009475C2" w:rsidRDefault="009475C2" w:rsidP="009475C2">
            <w:pPr>
              <w:jc w:val="both"/>
              <w:rPr>
                <w:sz w:val="24"/>
                <w:szCs w:val="24"/>
              </w:rPr>
            </w:pPr>
            <w:r w:rsidRPr="009475C2">
              <w:rPr>
                <w:sz w:val="24"/>
                <w:szCs w:val="24"/>
              </w:rPr>
              <w:t>My professional interventions throughout the enquiry focused on gathering and analysing information, engaging 1 through creative methods, observing interactions in naturalistic settings, and making judgements informed by legislation, policy, and social work theory. Direct work with 1 provided insights into his emotional wellbeing, relational attachments, and preferences for care, informing both risk assessment and alternative care planning. Engagement with 2 and 3 enabled assessment of parental capacity, documentation of risk, and coordination of multi-agency support. This approach demonstrated the integration of legislation, professional judgement, and reflective practice, ensuring that statutory obligations were met while keeping the child’s welfare central.</w:t>
            </w:r>
          </w:p>
          <w:p w14:paraId="57C09AB2" w14:textId="77777777" w:rsidR="009475C2" w:rsidRPr="009475C2" w:rsidRDefault="009475C2" w:rsidP="009475C2">
            <w:pPr>
              <w:jc w:val="both"/>
              <w:rPr>
                <w:sz w:val="24"/>
                <w:szCs w:val="24"/>
              </w:rPr>
            </w:pPr>
          </w:p>
          <w:p w14:paraId="1D2391FB" w14:textId="77777777" w:rsidR="009475C2" w:rsidRPr="009475C2" w:rsidRDefault="009475C2" w:rsidP="009475C2">
            <w:pPr>
              <w:jc w:val="both"/>
              <w:rPr>
                <w:sz w:val="24"/>
                <w:szCs w:val="24"/>
              </w:rPr>
            </w:pPr>
            <w:r w:rsidRPr="009475C2">
              <w:rPr>
                <w:sz w:val="24"/>
                <w:szCs w:val="24"/>
              </w:rPr>
              <w:t>The case exemplifies the distinctive context of safeguarding practice in Wales, where legislation, culture, language, and professional values intersect. The SSWBA 2014 emphasises child-centred, integrated approaches, addressing both immediate safety and long-term developmental outcomes. The Well-being of Future Generations (Wales) Act 2015 requires planning interventions that promote sustainable, positive outcomes over time (Welsh Government, 2015). In this case, long-term considerations included exploring care with 1’s father, maintaining educational engagement, and supporting emotional resilience through consistent professional interaction. The Welsh approach to safeguarding, which prioritises holistic assessment, prevention, and early intervention, guided all stages of my enquiry.</w:t>
            </w:r>
          </w:p>
          <w:p w14:paraId="78A410EA" w14:textId="77777777" w:rsidR="009475C2" w:rsidRDefault="009475C2" w:rsidP="009475C2">
            <w:pPr>
              <w:jc w:val="both"/>
              <w:rPr>
                <w:sz w:val="24"/>
                <w:szCs w:val="24"/>
              </w:rPr>
            </w:pPr>
            <w:r w:rsidRPr="009475C2">
              <w:rPr>
                <w:sz w:val="24"/>
                <w:szCs w:val="24"/>
              </w:rPr>
              <w:t xml:space="preserve">This enquiry also illustrates the interface between Welsh social services and UK, European, and international frameworks. While the Children Act 1989 applies across England and Wales, Welsh legislation embeds safeguarding within a broader wellbeing framework. The UNCRC (1989) provides international guidance on children’s rights to participate in decisions affecting them and to protection from harm. The Human Rights Act (1998) and equality legislation guide the balancing of parental rights with child protection obligations, while the Welsh Language (Wales) Measure 2011 ensures that communication is accessible and culturally appropriate. Awareness of these frameworks informed my practice and reinforced a rights-based, inclusive </w:t>
            </w:r>
            <w:r w:rsidRPr="009475C2">
              <w:rPr>
                <w:sz w:val="24"/>
                <w:szCs w:val="24"/>
              </w:rPr>
              <w:lastRenderedPageBreak/>
              <w:t>approach, highlighting how professional judgement must navigate multiple legislative and ethical layers.</w:t>
            </w:r>
          </w:p>
          <w:p w14:paraId="53424A6F" w14:textId="77777777" w:rsidR="009475C2" w:rsidRPr="009475C2" w:rsidRDefault="009475C2" w:rsidP="009475C2">
            <w:pPr>
              <w:jc w:val="both"/>
              <w:rPr>
                <w:sz w:val="24"/>
                <w:szCs w:val="24"/>
              </w:rPr>
            </w:pPr>
          </w:p>
          <w:p w14:paraId="4929CCD4" w14:textId="77777777" w:rsidR="009475C2" w:rsidRPr="009475C2" w:rsidRDefault="009475C2" w:rsidP="009475C2">
            <w:pPr>
              <w:jc w:val="both"/>
              <w:rPr>
                <w:sz w:val="24"/>
                <w:szCs w:val="24"/>
              </w:rPr>
            </w:pPr>
            <w:r w:rsidRPr="009475C2">
              <w:rPr>
                <w:sz w:val="24"/>
                <w:szCs w:val="24"/>
              </w:rPr>
              <w:t>Reflecting critically, the enquiry emphasised the importance of creative, child-centred engagement methods in high-risk cases. 1’s drawings provided crucial evidence of his emotional state, attachment needs, and care preferences, informing professional judgement and multi-agency planning. Direct engagement with 2 and 3 enabled assessment of parental capacity, documentation of risk, and facilitation of safeguarding interventions. Supervision and reflective practice supported ethical decision-making, critical analysis, and continuous professional development. The enquiry demonstrated how social work theory, legislation, policy, and child-centred approaches intersect to inform practice in complex safeguarding situations.</w:t>
            </w:r>
          </w:p>
          <w:p w14:paraId="63A3C98A" w14:textId="77777777" w:rsidR="009475C2" w:rsidRPr="009475C2" w:rsidRDefault="009475C2" w:rsidP="009475C2">
            <w:pPr>
              <w:jc w:val="both"/>
              <w:rPr>
                <w:sz w:val="24"/>
                <w:szCs w:val="24"/>
              </w:rPr>
            </w:pPr>
            <w:r w:rsidRPr="009475C2">
              <w:rPr>
                <w:sz w:val="24"/>
                <w:szCs w:val="24"/>
              </w:rPr>
              <w:t>Multi-agency collaboration was pivotal. Communication with the school, police, health visitors, and social work colleagues ensured information-sharing, comprehensive risk assessment, and coordinated planning of statutory responses. This evidences that positive collaborative conversations and relationships with other professionals is a crucially important factor within multi-agency working. My role involved managing diverse information, analysing risk, and contributing to professional discussion and decision-making. This collaborative approach reflected professional accountability, critical thinking, and leadership in safeguarding practice. By integrating professional knowledge, legislative frameworks, and reflective insights, I contributed to a child-centred, evidence-based, and legally compliant safeguarding strategy.</w:t>
            </w:r>
          </w:p>
          <w:p w14:paraId="1D779BE3" w14:textId="77777777" w:rsidR="009475C2" w:rsidRDefault="009475C2" w:rsidP="009475C2">
            <w:pPr>
              <w:jc w:val="both"/>
              <w:rPr>
                <w:sz w:val="24"/>
                <w:szCs w:val="24"/>
              </w:rPr>
            </w:pPr>
            <w:r w:rsidRPr="009475C2">
              <w:rPr>
                <w:sz w:val="24"/>
                <w:szCs w:val="24"/>
              </w:rPr>
              <w:t>Ultimately, the enquiry reinforced the impact of parental substance misuse, intergenerational conflict, and emotional harm on children. It demonstrated the necessity of creative engagement to elicit children’s views, the importance of professional judgement in complex situations, and the requirement to balance child protection, ethical considerations, and anti-oppressive practice. By integrating legislation, social work theory, reflective practice, and multi-agency collaboration, I ensured statutory compliance while prioritising 1’s immediate safety, long-term wellbeing, and voice in decision-making.</w:t>
            </w:r>
          </w:p>
          <w:p w14:paraId="5A218B77" w14:textId="77777777" w:rsidR="009475C2" w:rsidRPr="009475C2" w:rsidRDefault="009475C2" w:rsidP="009475C2">
            <w:pPr>
              <w:jc w:val="both"/>
              <w:rPr>
                <w:sz w:val="24"/>
                <w:szCs w:val="24"/>
              </w:rPr>
            </w:pPr>
          </w:p>
          <w:p w14:paraId="10A40465" w14:textId="77777777" w:rsidR="009475C2" w:rsidRDefault="009475C2" w:rsidP="009475C2">
            <w:pPr>
              <w:jc w:val="both"/>
              <w:rPr>
                <w:sz w:val="24"/>
                <w:szCs w:val="24"/>
              </w:rPr>
            </w:pPr>
            <w:r w:rsidRPr="009475C2">
              <w:rPr>
                <w:sz w:val="24"/>
                <w:szCs w:val="24"/>
              </w:rPr>
              <w:t>In conclusion, this Section 47 enquiry highlighted the complexity of safeguarding a child exposed to parental substance misuse, intergenerational conflict, and emotional harm. My professional interventions, including police checks, engagement with 2 and 3, and child-centred direct work with 1 through drawing and school visits provided a robust evidential basis for statutory intervention. The enquiry demonstrated the importance of integrating legislation, policy, and social work theory with reflective practice, child-centred approaches, and multi-agency collaboration. Working within the distinctive context of Wales, I ensured that statutory requirements were met while prioritising 1’s immediate safety, long-term wellbeing, and expressed wishes. The case reinforced my understanding of professional judgement, ethical reflection, and application of child-centred, evidence-informed approaches in complex safeguarding situations, enhancing both my practical skills and critical understanding of statutory social work practice.</w:t>
            </w:r>
          </w:p>
          <w:p w14:paraId="4097350A" w14:textId="77777777" w:rsidR="009475C2" w:rsidRPr="009475C2" w:rsidRDefault="009475C2" w:rsidP="009475C2">
            <w:pPr>
              <w:jc w:val="both"/>
              <w:rPr>
                <w:sz w:val="24"/>
                <w:szCs w:val="24"/>
              </w:rPr>
            </w:pPr>
          </w:p>
          <w:p w14:paraId="7F49619E" w14:textId="27C252E9" w:rsidR="009475C2" w:rsidRPr="009475C2" w:rsidRDefault="009475C2" w:rsidP="009475C2">
            <w:pPr>
              <w:jc w:val="both"/>
              <w:rPr>
                <w:sz w:val="24"/>
                <w:szCs w:val="24"/>
              </w:rPr>
            </w:pPr>
            <w:r w:rsidRPr="009475C2">
              <w:rPr>
                <w:sz w:val="24"/>
                <w:szCs w:val="24"/>
              </w:rPr>
              <w:t xml:space="preserve">On </w:t>
            </w:r>
            <w:r>
              <w:rPr>
                <w:sz w:val="24"/>
                <w:szCs w:val="24"/>
              </w:rPr>
              <w:t xml:space="preserve">further deeper </w:t>
            </w:r>
            <w:r w:rsidRPr="009475C2">
              <w:rPr>
                <w:sz w:val="24"/>
                <w:szCs w:val="24"/>
              </w:rPr>
              <w:t xml:space="preserve">reflection of this Section 47 enquiry, I experienced a deep sense of empathy and sadness for all three individuals involved: 1, 2, and 3, while maintaining the professional lens required in safeguarding practice. For 1, the impact of eight years without consistent security or stability was profoundly evident. His drawings, narratives, and behaviours reflected </w:t>
            </w:r>
            <w:r w:rsidRPr="009475C2">
              <w:rPr>
                <w:sz w:val="24"/>
                <w:szCs w:val="24"/>
              </w:rPr>
              <w:lastRenderedPageBreak/>
              <w:t>a child who had experienced disrupted attachment, emotional neglect, and exposure to intergenerational conflict, particularly the ongoing tension between his mother and grandmother. He was denied the opportunity to maintain the relationship he desired with his father, and his illustrations of his father and his bedroom at his father’s home revealed a longing for safety, stability, and emotional connection. From an attachment perspective (Bowlby, 1988; Howe, 2011), these representations indicated 1’s internal working model of care and the importance of secure relational bonds for his development. Observing and interpreting these expressions reinforced the depth of his vulnerability and highlighted the critical importance of interventions that prioritise both immediate safety and long-term emotional wellbeing.</w:t>
            </w:r>
          </w:p>
          <w:p w14:paraId="3D32DCD0" w14:textId="77777777" w:rsidR="009475C2" w:rsidRPr="009475C2" w:rsidRDefault="009475C2" w:rsidP="009475C2">
            <w:pPr>
              <w:jc w:val="both"/>
              <w:rPr>
                <w:sz w:val="24"/>
                <w:szCs w:val="24"/>
              </w:rPr>
            </w:pPr>
          </w:p>
          <w:p w14:paraId="634DFF7C" w14:textId="77777777" w:rsidR="009475C2" w:rsidRDefault="009475C2" w:rsidP="009475C2">
            <w:pPr>
              <w:jc w:val="both"/>
              <w:rPr>
                <w:sz w:val="24"/>
                <w:szCs w:val="24"/>
              </w:rPr>
            </w:pPr>
            <w:r w:rsidRPr="009475C2">
              <w:rPr>
                <w:sz w:val="24"/>
                <w:szCs w:val="24"/>
              </w:rPr>
              <w:t>For 2, my reflections were tempered by an understanding of the historical, social, and psychological factors that had shaped her life. Her childhood experiences, early relational patterns, and repeated exposure to adversity appeared to influence her adult choices, including patterns of substance misuse, engagement in unstable relationships, and inconsistent parenting. These behaviours had a direct and significant impact on 1, yet considering her circumstances reminded me of the importance of empathy, anti-oppressive practice, and professional reflection in social work (Dominelli, 2002; SSWBA, 2014). Recognising 2 as a human being with her own vulnerabilities was essential, not to excuse harmful behaviours but to ensure that professional engagement remained fair, compassionate, and ethically grounded. Trauma-informed practice (Van der Kolk, 2014) helped me interpret her presentations, particularly when she was agitated, under the influence of substances, or displaying behaviours suggestive of withdrawal, recognising that these factors affected both her parenting capacity and her interactions with 1.</w:t>
            </w:r>
          </w:p>
          <w:p w14:paraId="6D01AFFC" w14:textId="77777777" w:rsidR="009475C2" w:rsidRPr="009475C2" w:rsidRDefault="009475C2" w:rsidP="009475C2">
            <w:pPr>
              <w:jc w:val="both"/>
              <w:rPr>
                <w:sz w:val="24"/>
                <w:szCs w:val="24"/>
              </w:rPr>
            </w:pPr>
          </w:p>
          <w:p w14:paraId="424F35C7" w14:textId="77777777" w:rsidR="009475C2" w:rsidRDefault="009475C2" w:rsidP="009475C2">
            <w:pPr>
              <w:jc w:val="both"/>
              <w:rPr>
                <w:sz w:val="24"/>
                <w:szCs w:val="24"/>
              </w:rPr>
            </w:pPr>
            <w:r w:rsidRPr="009475C2">
              <w:rPr>
                <w:sz w:val="24"/>
                <w:szCs w:val="24"/>
              </w:rPr>
              <w:t>For 3, the maternal grandmother, reflection highlighted the complexity of kinship care. She demonstrated considerable commitment to 1’s protection and wellbeing, yet her ability to safeguard him was constrained by her conflicted relationship with her daughter and her reluctance to formalise parental responsibility. This tension created both confusion and inconsistency in protective arrangements, emphasising the systemic and relational challenges inherent in family-based caregiving. Systems theory (Bronfenbrenner, 1979) provided a useful framework for understanding how 1’s experiences were embedded within a network of family, social, and institutional influences, underscoring the importance of coordinated multi-agency intervention.</w:t>
            </w:r>
          </w:p>
          <w:p w14:paraId="6B0935CF" w14:textId="77777777" w:rsidR="009475C2" w:rsidRPr="009475C2" w:rsidRDefault="009475C2" w:rsidP="009475C2">
            <w:pPr>
              <w:jc w:val="both"/>
              <w:rPr>
                <w:sz w:val="24"/>
                <w:szCs w:val="24"/>
              </w:rPr>
            </w:pPr>
          </w:p>
          <w:p w14:paraId="73CEE530" w14:textId="77777777" w:rsidR="009475C2" w:rsidRPr="009475C2" w:rsidRDefault="009475C2" w:rsidP="009475C2">
            <w:pPr>
              <w:jc w:val="both"/>
              <w:rPr>
                <w:sz w:val="24"/>
                <w:szCs w:val="24"/>
              </w:rPr>
            </w:pPr>
            <w:r w:rsidRPr="009475C2">
              <w:rPr>
                <w:sz w:val="24"/>
                <w:szCs w:val="24"/>
              </w:rPr>
              <w:t>While the outcomes achieved through the Section 47 enquiry and subsequent statutory planning were in 1’s best interests, reflection in social work extends beyond outcomes to understanding the “why” behind behaviours, decisions, and systemic patterns (Schön, 1983). Considering the broader context, including the emotional histories, relational dynamics, and social constraints affecting all parties, this is reinforced by the necessity of maintaining a reflective, compassionate, and evidence-informed approach. Balancing statutory obligations with empathy, professional judgement, and awareness of each individual’s humanity ensured that the interventions were child-centred, ethically sound, and informed by both theory and legislation, including the Children Act 1989, the SSWBA 2014, and the UNCRC 1989.</w:t>
            </w:r>
          </w:p>
          <w:p w14:paraId="633B50BB" w14:textId="77777777" w:rsidR="009475C2" w:rsidRPr="009475C2" w:rsidRDefault="009475C2" w:rsidP="009475C2">
            <w:pPr>
              <w:jc w:val="both"/>
              <w:rPr>
                <w:sz w:val="24"/>
                <w:szCs w:val="24"/>
              </w:rPr>
            </w:pPr>
            <w:r w:rsidRPr="009475C2">
              <w:rPr>
                <w:sz w:val="24"/>
                <w:szCs w:val="24"/>
              </w:rPr>
              <w:t xml:space="preserve">This reflective process strengthened my professional insight, reminding me that safeguarding is not solely about risk mitigation or compliance with statutory frameworks, but also about </w:t>
            </w:r>
            <w:r w:rsidRPr="009475C2">
              <w:rPr>
                <w:sz w:val="24"/>
                <w:szCs w:val="24"/>
              </w:rPr>
              <w:lastRenderedPageBreak/>
              <w:t>understanding the complex human stories behind those risks and ensuring that interventions promote the child’s emotional, relational, and developmental wellbeing in the long term.</w:t>
            </w:r>
          </w:p>
          <w:p w14:paraId="227BC490" w14:textId="7594FE28" w:rsidR="00404464" w:rsidRPr="00404464" w:rsidRDefault="00404464" w:rsidP="00404464">
            <w:pPr>
              <w:jc w:val="both"/>
              <w:rPr>
                <w:sz w:val="24"/>
                <w:szCs w:val="24"/>
              </w:rPr>
            </w:pPr>
          </w:p>
          <w:p w14:paraId="20370495" w14:textId="79B79501" w:rsidR="00D3203C" w:rsidRPr="00404464" w:rsidRDefault="00D3203C" w:rsidP="00FF7EBB">
            <w:pPr>
              <w:jc w:val="both"/>
              <w:rPr>
                <w:sz w:val="24"/>
                <w:szCs w:val="24"/>
              </w:rPr>
            </w:pPr>
          </w:p>
          <w:p w14:paraId="12DC2F24" w14:textId="4FABBE90" w:rsidR="00D3203C" w:rsidRPr="009475C2" w:rsidRDefault="009475C2" w:rsidP="00FF7EBB">
            <w:pPr>
              <w:jc w:val="both"/>
              <w:rPr>
                <w:iCs/>
                <w:sz w:val="24"/>
                <w:szCs w:val="24"/>
              </w:rPr>
            </w:pPr>
            <w:r>
              <w:rPr>
                <w:iCs/>
                <w:sz w:val="24"/>
                <w:szCs w:val="24"/>
              </w:rPr>
              <w:t>(3860 words)</w:t>
            </w: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25D"/>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69E0"/>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4D4D"/>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4FAD"/>
    <w:rsid w:val="003F67A4"/>
    <w:rsid w:val="00400786"/>
    <w:rsid w:val="00401FDA"/>
    <w:rsid w:val="00404464"/>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3065"/>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0AC8"/>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3F47"/>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2614"/>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BDD"/>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475C2"/>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43ED"/>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5D4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9AA"/>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7039792">
      <w:bodyDiv w:val="1"/>
      <w:marLeft w:val="0"/>
      <w:marRight w:val="0"/>
      <w:marTop w:val="0"/>
      <w:marBottom w:val="0"/>
      <w:divBdr>
        <w:top w:val="none" w:sz="0" w:space="0" w:color="auto"/>
        <w:left w:val="none" w:sz="0" w:space="0" w:color="auto"/>
        <w:bottom w:val="none" w:sz="0" w:space="0" w:color="auto"/>
        <w:right w:val="none" w:sz="0" w:space="0" w:color="auto"/>
      </w:divBdr>
    </w:div>
    <w:div w:id="514882894">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9374791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454331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4061</Words>
  <Characters>25144</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Sarah Harrison</cp:lastModifiedBy>
  <cp:revision>2</cp:revision>
  <cp:lastPrinted>2020-02-11T19:20:00Z</cp:lastPrinted>
  <dcterms:created xsi:type="dcterms:W3CDTF">2025-10-06T15:55:00Z</dcterms:created>
  <dcterms:modified xsi:type="dcterms:W3CDTF">2025-10-06T15:55:00Z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