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B1E5E" w14:textId="77777777" w:rsidR="0080222D" w:rsidRDefault="00000000">
      <w:pPr>
        <w:pStyle w:val="Subtitle"/>
        <w:spacing w:before="1280" w:after="360"/>
      </w:pPr>
      <w:r>
        <w:t>Coursework Portfolio</w:t>
      </w:r>
    </w:p>
    <w:p w14:paraId="0B28EC78" w14:textId="77777777" w:rsidR="0080222D" w:rsidRDefault="00000000">
      <w:pPr>
        <w:pStyle w:val="Title"/>
        <w:spacing w:after="280"/>
        <w:jc w:val="left"/>
      </w:pPr>
      <w:r>
        <w:t>Kingstanding Community Disability Services</w:t>
      </w:r>
      <w:r>
        <w:br/>
        <w:t>and Ambulance Services</w:t>
      </w:r>
    </w:p>
    <w:p w14:paraId="3C0475C9" w14:textId="77777777" w:rsidR="0080222D" w:rsidRDefault="00000000">
      <w:pPr>
        <w:pStyle w:val="Subtitle"/>
      </w:pPr>
      <w:r>
        <w:t>Task 1 Guided Scenario Report and Task 2 Essay</w:t>
      </w:r>
    </w:p>
    <w:p w14:paraId="122770B8" w14:textId="77777777" w:rsidR="0080222D" w:rsidRDefault="00000000">
      <w:pPr>
        <w:spacing w:before="560" w:after="120"/>
      </w:pPr>
      <w:r>
        <w:t>Student name: [Insert name]</w:t>
      </w:r>
    </w:p>
    <w:p w14:paraId="0E1C0E60" w14:textId="77777777" w:rsidR="0080222D" w:rsidRDefault="00000000">
      <w:pPr>
        <w:spacing w:after="120"/>
      </w:pPr>
      <w:r>
        <w:t>Student number: [Insert student number]</w:t>
      </w:r>
    </w:p>
    <w:p w14:paraId="65602FF2" w14:textId="77777777" w:rsidR="0080222D" w:rsidRDefault="00000000">
      <w:pPr>
        <w:spacing w:after="120"/>
      </w:pPr>
      <w:r>
        <w:t>Module code: LCHS4003</w:t>
      </w:r>
    </w:p>
    <w:p w14:paraId="361C4429" w14:textId="77777777" w:rsidR="0080222D" w:rsidRDefault="00000000">
      <w:pPr>
        <w:spacing w:after="120"/>
      </w:pPr>
      <w:r>
        <w:t>Module title: Introduction to Health and Social Care</w:t>
      </w:r>
    </w:p>
    <w:p w14:paraId="756FAC49" w14:textId="77777777" w:rsidR="0080222D" w:rsidRDefault="00000000">
      <w:pPr>
        <w:spacing w:after="120"/>
      </w:pPr>
      <w:r>
        <w:t>Lecturer: Dr Helen Parsons</w:t>
      </w:r>
    </w:p>
    <w:p w14:paraId="58317317" w14:textId="77777777" w:rsidR="0080222D" w:rsidRDefault="00000000">
      <w:pPr>
        <w:spacing w:after="120"/>
      </w:pPr>
      <w:r>
        <w:t>Assignment title: Written Assignment</w:t>
      </w:r>
    </w:p>
    <w:p w14:paraId="7C191BE2" w14:textId="77777777" w:rsidR="0080222D" w:rsidRDefault="00000000">
      <w:pPr>
        <w:spacing w:after="120"/>
      </w:pPr>
      <w:r>
        <w:t>Word count: 1,669 (Task 1: 750; Task 2: 919)</w:t>
      </w:r>
    </w:p>
    <w:p w14:paraId="6A4FA7D5" w14:textId="77777777" w:rsidR="0080222D" w:rsidRDefault="00000000">
      <w:r>
        <w:br w:type="page"/>
      </w:r>
    </w:p>
    <w:p w14:paraId="0CE6849A" w14:textId="77777777" w:rsidR="00497F65" w:rsidRDefault="00000000" w:rsidP="003E4967">
      <w:pPr>
        <w:pStyle w:val="Heading1"/>
      </w:pPr>
      <w:r>
        <w:lastRenderedPageBreak/>
        <w:t>Task 1 Community Disability Services in Kingstanding</w:t>
      </w:r>
    </w:p>
    <w:p w14:paraId="0279C2D8" w14:textId="77777777" w:rsidR="00497F65" w:rsidRDefault="00000000">
      <w:pPr>
        <w:spacing w:after="20"/>
      </w:pPr>
      <w:r>
        <w:rPr>
          <w:sz w:val="22"/>
        </w:rPr>
        <w:t>To: Councillor John Lambert, Birmingham City Council</w:t>
      </w:r>
    </w:p>
    <w:p w14:paraId="1434831B" w14:textId="77777777" w:rsidR="00497F65" w:rsidRDefault="00000000">
      <w:pPr>
        <w:spacing w:after="20"/>
      </w:pPr>
      <w:r>
        <w:rPr>
          <w:sz w:val="22"/>
        </w:rPr>
        <w:t>Local area: Kingstanding ward, B44 8EA</w:t>
      </w:r>
    </w:p>
    <w:p w14:paraId="3D9663D9" w14:textId="77777777" w:rsidR="00497F65" w:rsidRDefault="00000000">
      <w:pPr>
        <w:spacing w:after="20"/>
      </w:pPr>
      <w:r>
        <w:rPr>
          <w:sz w:val="22"/>
        </w:rPr>
        <w:t>Date: 19 October 2026</w:t>
      </w:r>
    </w:p>
    <w:p w14:paraId="4D815FC9" w14:textId="77777777" w:rsidR="00497F65" w:rsidRDefault="00000000" w:rsidP="003E4967">
      <w:pPr>
        <w:pStyle w:val="Heading2"/>
      </w:pPr>
      <w:bookmarkStart w:id="0" w:name="Task1Body"/>
      <w:r>
        <w:t>Introduction</w:t>
      </w:r>
    </w:p>
    <w:p w14:paraId="2C0548A1" w14:textId="2B2AB871" w:rsidR="00E15E8C" w:rsidRDefault="00E15E8C">
      <w:pPr>
        <w:spacing w:after="60"/>
      </w:pPr>
      <w:r w:rsidRPr="00E15E8C">
        <w:t>Kingstanding residents who have complex learning disabilities or autism require community disability services that enable them to live their lives, make choices and participate. This report requests Councillor John Lambert's support for a specialist supported living capacity targeted review and pilot. The council's ward factsheet shows that there are 2,781 working age disabled residents in the ward, which is 20.4% compared to the 16.1% disabled residents across Birmingham (Birmingham City Council, 2023, p. 4). These are general disability statistics which show the need for accessible support, but not learning disability, eligibility for care or unmet need. The proposal addresses Birmingham's identified specialist market gap and a ward review has identified who is affected and what support they would like to receive in Kingstanding. Its goal is to keep people in their community and avoid needless crises.</w:t>
      </w:r>
    </w:p>
    <w:p w14:paraId="1B16A42A" w14:textId="77777777" w:rsidR="00497F65" w:rsidRDefault="00000000" w:rsidP="003E4967">
      <w:pPr>
        <w:pStyle w:val="Heading2"/>
      </w:pPr>
      <w:r>
        <w:t>Impact on the community</w:t>
      </w:r>
    </w:p>
    <w:p w14:paraId="6F116E58" w14:textId="77777777" w:rsidR="00E15E8C" w:rsidRDefault="00E15E8C" w:rsidP="00E15E8C">
      <w:pPr>
        <w:spacing w:after="60"/>
      </w:pPr>
      <w:r>
        <w:t>The council's Supported Living Market Position Statement highlights the need for individuals with complex needs, behaviours of concern and intensive specialist support, as part of their learning disability or autism. Both are needed; provision of standard accommodation will not address this gap (Birmingham City Council, 2025, pp. 2, 5-6). Affected residents may lose their independence and have disrupted family life and greater dependency on informal carers if appropriate support is not provided in a timely manner. Few opportunities for planned breaks may also impact on carers' employment and health.</w:t>
      </w:r>
    </w:p>
    <w:p w14:paraId="12E8AC7C" w14:textId="0AC314CB" w:rsidR="00E15E8C" w:rsidRDefault="00E15E8C" w:rsidP="00E15E8C">
      <w:pPr>
        <w:spacing w:after="60"/>
      </w:pPr>
      <w:r>
        <w:t>The 2026 CQC assessment identifies that there are still areas for improvement in specialist and out of hours provision and that assessment and review is delayed. It also acknowledges adequate overall capacity and good services, enabling a targeted response to complex needs (Care Quality Commission, 2026). Placement away from Birmingham may be appropriate if selected by the person but if it is due to lack of suitable local support contact with familiar people and activities may be limited. The proposed review should differentiate between personal preference and limited choice.</w:t>
      </w:r>
    </w:p>
    <w:p w14:paraId="2DD7DD9C" w14:textId="77777777" w:rsidR="00497F65" w:rsidRDefault="00000000" w:rsidP="003E4967">
      <w:pPr>
        <w:pStyle w:val="Heading2"/>
      </w:pPr>
      <w:r>
        <w:lastRenderedPageBreak/>
        <w:t>Recommended response</w:t>
      </w:r>
    </w:p>
    <w:p w14:paraId="6CD5B2F3" w14:textId="77777777" w:rsidR="00E15E8C" w:rsidRDefault="00E15E8C" w:rsidP="00E15E8C">
      <w:pPr>
        <w:spacing w:after="60"/>
      </w:pPr>
      <w:r>
        <w:t>The Care Act 2014 part 1 forms the basis for action, section 1 promotes individual wellbeing, section 5 requires market shaping for diverse, high quality provision, section 9 and 10 requires assessment where adults/carers are thought to have support needs. This proposed programme of local improvement should be guided by these duties.</w:t>
      </w:r>
    </w:p>
    <w:p w14:paraId="5D3F18C0" w14:textId="77777777" w:rsidR="00E15E8C" w:rsidRDefault="00E15E8C" w:rsidP="00E15E8C">
      <w:pPr>
        <w:spacing w:after="60"/>
      </w:pPr>
      <w:r>
        <w:t>Adult social care commissioners should identify, within six weeks, residents waiting for an appropriate specialist support, assessment or review in conjunction with the Kingstanding ward team. Anonymised information from social work, housing and NHS partners should be coordinated by a named commissioning officer. Accessible conversations with adults / carers, including communication support and face-to-face. This should set up individual preferences, any current risks and why there has been no appropriate support to date. The desired outcomes should be identified via section 9 assessments and the provision of carers should be identified separately via section 10 assessments.</w:t>
      </w:r>
    </w:p>
    <w:p w14:paraId="58A55CFC" w14:textId="77777777" w:rsidR="00E15E8C" w:rsidRDefault="00E15E8C" w:rsidP="00E15E8C">
      <w:pPr>
        <w:spacing w:after="60"/>
      </w:pPr>
      <w:r>
        <w:t>Commissioners should ask current quality assured supported living providers to set up a small pilot for those with known gaps, between months two and four. Specialist staff training, consistent support teams, crisis arrangements and opportunities for education, employment and social participation should be included in the specifications. Housing officers should consider the possibility of making adaptations to existing accommodation before building new accommodation to meet individual needs. Smaller bespoke setups could be suitable to those that are unable to attend larger events comfortably. Providers should be chosen by residents and their support tailored to their needs, as outlined in section 1 which focuses on control of everyday life.</w:t>
      </w:r>
    </w:p>
    <w:p w14:paraId="5AED0437" w14:textId="77777777" w:rsidR="00E15E8C" w:rsidRDefault="00E15E8C" w:rsidP="00E15E8C">
      <w:pPr>
        <w:spacing w:after="60"/>
      </w:pPr>
      <w:r>
        <w:t>Resources should be agreed to via a costed business case for staffing, training, accommodation and contingency support. Commissioners should consider suitable joint funding with NHS partners and consider options in relation to current expenditure. While shared support can make the support more affordable, savings should not be based on incompatible placements or on reduced individual support. Digital support should complement, where appropriate and acceptable, human support. Existing commissioning and community resources should be used as much as possible in the initial delivery and then expanded if effective and sustainable funding is achieved.</w:t>
      </w:r>
    </w:p>
    <w:p w14:paraId="51C7958F" w14:textId="77777777" w:rsidR="00E15E8C" w:rsidRDefault="00E15E8C" w:rsidP="00E15E8C">
      <w:pPr>
        <w:spacing w:after="60"/>
      </w:pPr>
      <w:r>
        <w:t xml:space="preserve">Officers should determine a realistic funding envelope prior to reaching out to providers for proposals, to provide residents with deliverable options. The continuity of existing services </w:t>
      </w:r>
      <w:r>
        <w:lastRenderedPageBreak/>
        <w:t>should be maintained during the transition, and a transition should involve an agreed contact, contingency plan and review date to ensure continuity and to manage emerging risks.</w:t>
      </w:r>
    </w:p>
    <w:p w14:paraId="4342EAA8" w14:textId="70C17825" w:rsidR="00E15E8C" w:rsidRDefault="00E15E8C" w:rsidP="00E15E8C">
      <w:pPr>
        <w:spacing w:after="60"/>
      </w:pPr>
      <w:r>
        <w:t>Commissioning lead to report to the appropriate scrutiny committee and ward councillors by month six. These should include waiting times, continuity, avoidable out of area placements, progress of residents towards their preferred goals and carers' wellbeing and cost per package. Prompt service changes should be made as a result of feedback and complaints.</w:t>
      </w:r>
    </w:p>
    <w:p w14:paraId="5A519983" w14:textId="77777777" w:rsidR="00E15E8C" w:rsidRDefault="00E15E8C">
      <w:pPr>
        <w:keepNext/>
        <w:spacing w:before="100" w:after="60"/>
        <w:rPr>
          <w:b/>
        </w:rPr>
      </w:pPr>
    </w:p>
    <w:p w14:paraId="218BFE47" w14:textId="5879F8FB" w:rsidR="00497F65" w:rsidRDefault="00000000" w:rsidP="003E4967">
      <w:pPr>
        <w:pStyle w:val="Heading2"/>
      </w:pPr>
      <w:r>
        <w:t>Conclusion</w:t>
      </w:r>
    </w:p>
    <w:p w14:paraId="1725C124" w14:textId="632D0CC0" w:rsidR="00E15E8C" w:rsidRDefault="00E15E8C">
      <w:pPr>
        <w:spacing w:after="60"/>
      </w:pPr>
      <w:r w:rsidRPr="00E15E8C">
        <w:t>Kingstanding requires an educated response to Birmingham's lack of specialist community support for disability. A targeted pilot would link the market-shaping role of the council with individual assessments and residents' preferences. Councillor Lambert should request the appointment of a named lead, a six week needs review and a six month evaluation. This ensures that improvement is measurable, and that affordability, independence and quality of people's daily lives are at the core of it all.</w:t>
      </w:r>
    </w:p>
    <w:bookmarkEnd w:id="0"/>
    <w:p w14:paraId="377C06D4" w14:textId="77777777" w:rsidR="00497F65" w:rsidRDefault="00000000">
      <w:r>
        <w:br w:type="page"/>
      </w:r>
    </w:p>
    <w:p w14:paraId="226DC8DE" w14:textId="77777777" w:rsidR="004B5342" w:rsidRPr="004B5342" w:rsidRDefault="004B5342" w:rsidP="003E4967">
      <w:pPr>
        <w:pStyle w:val="Heading2"/>
        <w:rPr>
          <w:lang w:val="en-US"/>
        </w:rPr>
      </w:pPr>
      <w:r w:rsidRPr="004B5342">
        <w:rPr>
          <w:lang w:val="en-US"/>
        </w:rPr>
        <w:lastRenderedPageBreak/>
        <w:t>Reference list</w:t>
      </w:r>
    </w:p>
    <w:p w14:paraId="68BFACDC" w14:textId="77777777" w:rsidR="004B5342" w:rsidRPr="004B5342" w:rsidRDefault="004B5342" w:rsidP="004B5342">
      <w:pPr>
        <w:spacing w:after="240"/>
        <w:jc w:val="left"/>
        <w:rPr>
          <w:rFonts w:eastAsia="Times New Roman"/>
          <w:color w:val="auto"/>
          <w:szCs w:val="24"/>
          <w:lang w:val="en-US"/>
        </w:rPr>
      </w:pPr>
      <w:r w:rsidRPr="004B5342">
        <w:rPr>
          <w:rFonts w:eastAsia="Times New Roman"/>
          <w:color w:val="auto"/>
          <w:szCs w:val="24"/>
          <w:lang w:val="en-US"/>
        </w:rPr>
        <w:t xml:space="preserve">Birmingham City Council (2023) </w:t>
      </w:r>
      <w:r w:rsidRPr="004B5342">
        <w:rPr>
          <w:rFonts w:eastAsia="Times New Roman"/>
          <w:i/>
          <w:iCs/>
          <w:color w:val="auto"/>
          <w:szCs w:val="24"/>
          <w:lang w:val="en-US"/>
        </w:rPr>
        <w:t>Kingstanding Ward Factsheet</w:t>
      </w:r>
      <w:r w:rsidRPr="004B5342">
        <w:rPr>
          <w:rFonts w:eastAsia="Times New Roman"/>
          <w:color w:val="auto"/>
          <w:szCs w:val="24"/>
          <w:lang w:val="en-US"/>
        </w:rPr>
        <w:t xml:space="preserve"> [Ward factsheet]. Available at: https://www.birmingham.gov.uk/download/downloads/id/15478/kingstanding_profile.pdf.</w:t>
      </w:r>
    </w:p>
    <w:p w14:paraId="1C576750" w14:textId="77777777" w:rsidR="004B5342" w:rsidRPr="004B5342" w:rsidRDefault="004B5342" w:rsidP="004B5342">
      <w:pPr>
        <w:spacing w:after="240"/>
        <w:jc w:val="left"/>
        <w:rPr>
          <w:rFonts w:eastAsia="Times New Roman"/>
          <w:color w:val="auto"/>
          <w:szCs w:val="24"/>
          <w:lang w:val="en-US"/>
        </w:rPr>
      </w:pPr>
      <w:r w:rsidRPr="004B5342">
        <w:rPr>
          <w:rFonts w:eastAsia="Times New Roman"/>
          <w:color w:val="auto"/>
          <w:szCs w:val="24"/>
          <w:lang w:val="en-US"/>
        </w:rPr>
        <w:t xml:space="preserve">Birmingham City Council (2025) </w:t>
      </w:r>
      <w:r w:rsidRPr="004B5342">
        <w:rPr>
          <w:rFonts w:eastAsia="Times New Roman"/>
          <w:i/>
          <w:iCs/>
          <w:color w:val="auto"/>
          <w:szCs w:val="24"/>
          <w:lang w:val="en-US"/>
        </w:rPr>
        <w:t>Market position statement 2025 - supported living</w:t>
      </w:r>
      <w:r w:rsidRPr="004B5342">
        <w:rPr>
          <w:rFonts w:eastAsia="Times New Roman"/>
          <w:color w:val="auto"/>
          <w:szCs w:val="24"/>
          <w:lang w:val="en-US"/>
        </w:rPr>
        <w:t>. Market position statement. Birmingham City Council. Available at: https://www.birmingham.gov.uk/download/downloads/id/30888/supported_living_-_mps_-_full_document.pdf.</w:t>
      </w:r>
    </w:p>
    <w:p w14:paraId="60233769" w14:textId="77777777" w:rsidR="004B5342" w:rsidRPr="004B5342" w:rsidRDefault="004B5342" w:rsidP="004B5342">
      <w:pPr>
        <w:spacing w:after="240"/>
        <w:jc w:val="left"/>
        <w:rPr>
          <w:rFonts w:eastAsia="Times New Roman"/>
          <w:color w:val="auto"/>
          <w:szCs w:val="24"/>
          <w:lang w:val="en-US"/>
        </w:rPr>
      </w:pPr>
      <w:r w:rsidRPr="004B5342">
        <w:rPr>
          <w:rFonts w:eastAsia="Times New Roman"/>
          <w:i/>
          <w:iCs/>
          <w:color w:val="auto"/>
          <w:szCs w:val="24"/>
          <w:lang w:val="en-US"/>
        </w:rPr>
        <w:t>Care act 2014</w:t>
      </w:r>
      <w:r w:rsidRPr="004B5342">
        <w:rPr>
          <w:rFonts w:eastAsia="Times New Roman"/>
          <w:color w:val="auto"/>
          <w:szCs w:val="24"/>
          <w:lang w:val="en-US"/>
        </w:rPr>
        <w:t xml:space="preserve"> [UK Public General Acts, 2014 c. 23] (2014). Available at: https://www.legislation.gov.uk/ukpga/2014/23/part/1.</w:t>
      </w:r>
    </w:p>
    <w:p w14:paraId="42119EB2" w14:textId="77777777" w:rsidR="004B5342" w:rsidRPr="004B5342" w:rsidRDefault="004B5342" w:rsidP="004B5342">
      <w:pPr>
        <w:spacing w:after="240"/>
        <w:jc w:val="left"/>
        <w:rPr>
          <w:rFonts w:eastAsia="Times New Roman"/>
          <w:color w:val="auto"/>
          <w:szCs w:val="24"/>
          <w:lang w:val="en-US"/>
        </w:rPr>
      </w:pPr>
      <w:r w:rsidRPr="004B5342">
        <w:rPr>
          <w:rFonts w:eastAsia="Times New Roman"/>
          <w:color w:val="auto"/>
          <w:szCs w:val="24"/>
          <w:lang w:val="en-US"/>
        </w:rPr>
        <w:t xml:space="preserve">Care Quality Commission (2026) </w:t>
      </w:r>
      <w:r w:rsidRPr="004B5342">
        <w:rPr>
          <w:rFonts w:eastAsia="Times New Roman"/>
          <w:i/>
          <w:iCs/>
          <w:color w:val="auto"/>
          <w:szCs w:val="24"/>
          <w:lang w:val="en-US"/>
        </w:rPr>
        <w:t>Birmingham City Council Local Authority Assessment (may 2026): Overall summary</w:t>
      </w:r>
      <w:r w:rsidRPr="004B5342">
        <w:rPr>
          <w:rFonts w:eastAsia="Times New Roman"/>
          <w:color w:val="auto"/>
          <w:szCs w:val="24"/>
          <w:lang w:val="en-US"/>
        </w:rPr>
        <w:t xml:space="preserve"> [Local authority assessment]. Available at: https://www.cqc.org.uk/care-services/local-authority-assessment-reports/birmingham-council/birmingham-0526/summary.</w:t>
      </w:r>
    </w:p>
    <w:p w14:paraId="0025223F" w14:textId="77777777" w:rsidR="004B5342" w:rsidRPr="004B5342" w:rsidRDefault="004B5342" w:rsidP="004B5342">
      <w:pPr>
        <w:rPr>
          <w:lang w:val="en-US"/>
        </w:rPr>
      </w:pPr>
    </w:p>
    <w:p w14:paraId="2112E3B6" w14:textId="77777777" w:rsidR="004B5342" w:rsidRDefault="004B5342">
      <w:pPr>
        <w:spacing w:after="200" w:line="276" w:lineRule="auto"/>
        <w:jc w:val="left"/>
        <w:rPr>
          <w:rFonts w:cstheme="majorBidi"/>
          <w:b/>
          <w:bCs/>
          <w:sz w:val="26"/>
          <w:szCs w:val="28"/>
        </w:rPr>
      </w:pPr>
      <w:r>
        <w:br w:type="page"/>
      </w:r>
    </w:p>
    <w:p w14:paraId="2C1EB195" w14:textId="0C3AD7DD" w:rsidR="0080222D" w:rsidRPr="008341E5" w:rsidRDefault="003E4967" w:rsidP="008341E5">
      <w:pPr>
        <w:pStyle w:val="Heading1"/>
        <w:jc w:val="center"/>
      </w:pPr>
      <w:r>
        <w:lastRenderedPageBreak/>
        <w:t xml:space="preserve">Task 2: </w:t>
      </w:r>
      <w:r w:rsidR="00000000">
        <w:t>Ambulance Services</w:t>
      </w:r>
    </w:p>
    <w:p w14:paraId="308F6E4E" w14:textId="77777777" w:rsidR="00F93D8F" w:rsidRDefault="00F93D8F" w:rsidP="00F93D8F">
      <w:r>
        <w:t>Ambulance services are a vital bridge between sickness and/or injury in the community and the correct treatment. Their utility is not only for transporting patients, but also for clinicians to determine risk, provide immediate care and determine which service is best for the patient, whether hospital or otherwise. This essay proposes that their role in quality of life is a combination of timely interventions and safe decisions, compassionate communications, and coordinated follow-up.</w:t>
      </w:r>
    </w:p>
    <w:p w14:paraId="098783A0" w14:textId="77777777" w:rsidR="00F93D8F" w:rsidRDefault="00F93D8F" w:rsidP="00F93D8F">
      <w:r>
        <w:t>The provision of ambulances in the UK came from the nineteenth century fever ambulances and the hand litters operated by the police which concentrated on the transport of patients rather than on the provision of advanced care. Williams (2012) outlines the development of local advanced-resuscitation training in the early 1970s, the change of ambulance services to the NHS in 1974 and standardised education from 1985. Such alterations contributed to the transformation of a rather practical transport profession in a clinical service. In recent years, paramedic training in the UK has shifted from a short course in the workplace to an undergraduate degree, leading to increased autonomy for paramedics (McAteer, McCance and Goode, 2026). This history accounts for the fact that the service remains an emergency response service, yet more and more addresses complex healthcare needs. But if clinical responsibility is to be increased, appropriate education and organisational assistance is needed, as well as professional development, in order to facilitate consistently person-centred practice.</w:t>
      </w:r>
    </w:p>
    <w:p w14:paraId="2ED14A12" w14:textId="77777777" w:rsidR="00F93D8F" w:rsidRDefault="00F93D8F" w:rsidP="00F93D8F">
      <w:r>
        <w:t>Today's ambulance service involves resuscitation, assessment, treatment, and transport and referral for both physical and mental health conditions. Moore et al. (2023) reported that there was a discrepancy between dispatch and clinicians' on-scene impression when dealing with mental health emergencies in the East Midlands. These findings represent the complexity of the services in the region and do not necessarily reflect the national level of performance in 2018-2020. However, it shows how the assessment process and referral to specialist advice over the telephone can impact the pathway a patient receives. Early mental health referral improvements need to be considered to ensure that reducing conveyance does not impact safety.</w:t>
      </w:r>
    </w:p>
    <w:p w14:paraId="2E13702E" w14:textId="77777777" w:rsidR="00F93D8F" w:rsidRDefault="00F93D8F" w:rsidP="00F93D8F">
      <w:r>
        <w:t xml:space="preserve">Timely access can make a difference, however, the type of access is also a life-saver. Price et al. (2024) reported a relationship between direct conveyance to CACs and better outcomes in a subset of patients who were resuscitated from witnessed collapse and initially shockable </w:t>
      </w:r>
      <w:r>
        <w:lastRenderedPageBreak/>
        <w:t>rhythms. It is an observational regional study, and cannot prove that specialist transport led to the improvement or that all cardiac arrest patients would benefit equally. Kirby et al (2025) found that, based on one service's records from 2018 to 2019, there was a delay in response for those who arrested following an emergency call, compared with patients already in arrest. There is a significant amount of missing arrest-time data, so there is not a high level of confidence in the results, but it shows the need to be aware of deterioration prior to making dispatch decisions.</w:t>
      </w:r>
    </w:p>
    <w:p w14:paraId="3AC34DCF" w14:textId="77777777" w:rsidR="00F93D8F" w:rsidRDefault="00F93D8F" w:rsidP="00F93D8F">
      <w:r>
        <w:t>An appropriate care may also be avoiding an unnecessary trip to the emergency department. Noble et al. (2024) discussed possible alternative pathways for adults with known epilepsy in workshops with 27 stakeholders. A preferred configuration included where appropriate access to medical records, specialist advice, GP notification and follow up. This could help to prevent choice being undermined and minimise disruption to daily life and enhance continuity. But, the feasibility judgements of the participants do not indicate clinical effectiveness, safety or affordability. The study thus recommends the development and testing of coordinated alternatives instead of just the augmentation of non-conveyance. These pathways should have clear eligibility requirements and partner services. This more general approach is particularly important if the patient's current issue is indicative of their ongoing healthcare needs, as they would likely have an ongoing healthcare problem if the issue was only addressed in isolation.</w:t>
      </w:r>
    </w:p>
    <w:p w14:paraId="718CC168" w14:textId="77777777" w:rsidR="00F93D8F" w:rsidRDefault="00F93D8F" w:rsidP="00F93D8F">
      <w:r>
        <w:t>Quality of life also refers to the circumstances that a person lives in and whether or not they can become independent. Pek et al. (2023) analyzed 31 studies and associated lower quality of life post cardiac arrest with anxiety, depression and decreased neurocognitive functioning. These international findings suggest that psychological and rehabilitation needs should be addressed, but don't necessarily mean that a specific ambulance intervention contributes to a better long-term wellbeing. Compassionate explanation, reassurance and involvement in decisions is also important, especially if patients are frightened or feel they are not in control. McAteer, McCance and Goode (2026) find tensions between person-centred ideals, time pressures and risk management but their evidence is focussed in Sweden and so generalisation to the UK is limited.</w:t>
      </w:r>
    </w:p>
    <w:p w14:paraId="3FE4B05D" w14:textId="77777777" w:rsidR="00F93D8F" w:rsidRDefault="00F93D8F" w:rsidP="00F93D8F">
      <w:r>
        <w:t xml:space="preserve">So, fast responses are not enough to create service quality. Blanchard, Coster and Pap (2025) make the case for safety, effectiveness, patient experience and equity, in addition to time. Their commentaries offer a helpful framework, but not experimental evidence. In ambulance services, this involves measuring the right referrals, respectful communication/patient </w:t>
      </w:r>
      <w:r>
        <w:lastRenderedPageBreak/>
        <w:t>outcomes and arrival times. Equity also needs to be taken into account when considering if different communities can access appropriate support and that clinical urgency should be the priority for prioritisation.</w:t>
      </w:r>
    </w:p>
    <w:p w14:paraId="434EA3BF" w14:textId="77777777" w:rsidR="0080222D" w:rsidRDefault="00F93D8F" w:rsidP="00F93D8F">
      <w:r>
        <w:t>Ambulance services have thus become an integral part of mobile health care. Their best work is that they are quick to treat time critical illness and carefully assess and provide access to broader services. For improvement of the quality of life, survival and patient's independence, emotional wellbeing and choices are both needed. These outcomes should be considered when planning service development in the future, and should not be used as a proxy for the speed or number of trips to hospital as a measure of quality of service.</w:t>
      </w:r>
      <w:r>
        <w:br w:type="page"/>
      </w:r>
    </w:p>
    <w:p w14:paraId="3AECA690" w14:textId="77777777" w:rsidR="008341E5" w:rsidRPr="008341E5" w:rsidRDefault="008341E5" w:rsidP="003E4967">
      <w:pPr>
        <w:pStyle w:val="Heading2"/>
        <w:rPr>
          <w:lang w:val="en-US"/>
        </w:rPr>
      </w:pPr>
      <w:r w:rsidRPr="008341E5">
        <w:rPr>
          <w:lang w:val="en-US"/>
        </w:rPr>
        <w:lastRenderedPageBreak/>
        <w:t>Reference list</w:t>
      </w:r>
    </w:p>
    <w:p w14:paraId="23BEA36D"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Blanchard, I.E., Coster, J.E. and Pap, R. (2025) “Time heals all wounds: A commentary on global quality measurement in paramedicine,” </w:t>
      </w:r>
      <w:r w:rsidRPr="008341E5">
        <w:rPr>
          <w:rFonts w:eastAsia="Times New Roman"/>
          <w:i/>
          <w:iCs/>
          <w:color w:val="auto"/>
          <w:szCs w:val="24"/>
          <w:lang w:val="en-US"/>
        </w:rPr>
        <w:t>Paramedicine</w:t>
      </w:r>
      <w:r w:rsidRPr="008341E5">
        <w:rPr>
          <w:rFonts w:eastAsia="Times New Roman"/>
          <w:color w:val="auto"/>
          <w:szCs w:val="24"/>
          <w:lang w:val="en-US"/>
        </w:rPr>
        <w:t>, 22(3), pp. 105--110. Available at: https://doi.org/10.1177/27536386251330909.</w:t>
      </w:r>
    </w:p>
    <w:p w14:paraId="63906084"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Kirby, K., White, P., Voss, S. and Benger, J. (2025) “Understanding the emergency medical service response to patients who are at imminent risk of out-of-hospital cardiac arrest,” </w:t>
      </w:r>
      <w:r w:rsidRPr="008341E5">
        <w:rPr>
          <w:rFonts w:eastAsia="Times New Roman"/>
          <w:i/>
          <w:iCs/>
          <w:color w:val="auto"/>
          <w:szCs w:val="24"/>
          <w:lang w:val="en-US"/>
        </w:rPr>
        <w:t>Paramedicine</w:t>
      </w:r>
      <w:r w:rsidRPr="008341E5">
        <w:rPr>
          <w:rFonts w:eastAsia="Times New Roman"/>
          <w:color w:val="auto"/>
          <w:szCs w:val="24"/>
          <w:lang w:val="en-US"/>
        </w:rPr>
        <w:t>, 22(2), pp. 70--79. Available at: https://doi.org/10.1177/27536386241302116.</w:t>
      </w:r>
    </w:p>
    <w:p w14:paraId="34D39294"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McAteer, L., McCance, T. and Goode, D. (2026) “How does paramedicine conceptualise and implement person-centredness in the reality of practice: A hybrid scoping/methodological review,” </w:t>
      </w:r>
      <w:r w:rsidRPr="008341E5">
        <w:rPr>
          <w:rFonts w:eastAsia="Times New Roman"/>
          <w:i/>
          <w:iCs/>
          <w:color w:val="auto"/>
          <w:szCs w:val="24"/>
          <w:lang w:val="en-US"/>
        </w:rPr>
        <w:t>Paramedicine</w:t>
      </w:r>
      <w:r w:rsidRPr="008341E5">
        <w:rPr>
          <w:rFonts w:eastAsia="Times New Roman"/>
          <w:color w:val="auto"/>
          <w:szCs w:val="24"/>
          <w:lang w:val="en-US"/>
        </w:rPr>
        <w:t>, 23(5), pp. 253--274. Available at: https://doi.org/10.1177/27536386261425272.</w:t>
      </w:r>
    </w:p>
    <w:p w14:paraId="33AAFD73"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Moore, H.E., Siriwardena, A.N., Gussy, M. and Spaight, R. (2023) “Mental health emergencies attended by ambulances in the United Kingdom and the implications for health service delivery: A cross-sectional study,” </w:t>
      </w:r>
      <w:r w:rsidRPr="008341E5">
        <w:rPr>
          <w:rFonts w:eastAsia="Times New Roman"/>
          <w:i/>
          <w:iCs/>
          <w:color w:val="auto"/>
          <w:szCs w:val="24"/>
          <w:lang w:val="en-US"/>
        </w:rPr>
        <w:t>Journal of Health Services Research &amp; Policy</w:t>
      </w:r>
      <w:r w:rsidRPr="008341E5">
        <w:rPr>
          <w:rFonts w:eastAsia="Times New Roman"/>
          <w:color w:val="auto"/>
          <w:szCs w:val="24"/>
          <w:lang w:val="en-US"/>
        </w:rPr>
        <w:t>, 28(2), pp. 138--146. Available at: https://doi.org/10.1177/13558196221119913.</w:t>
      </w:r>
    </w:p>
    <w:p w14:paraId="41C9FBC5"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Noble, A.J. </w:t>
      </w:r>
      <w:r w:rsidRPr="008341E5">
        <w:rPr>
          <w:rFonts w:eastAsia="Times New Roman"/>
          <w:i/>
          <w:iCs/>
          <w:color w:val="auto"/>
          <w:szCs w:val="24"/>
          <w:lang w:val="en-US"/>
        </w:rPr>
        <w:t>et al.</w:t>
      </w:r>
      <w:r w:rsidRPr="008341E5">
        <w:rPr>
          <w:rFonts w:eastAsia="Times New Roman"/>
          <w:color w:val="auto"/>
          <w:szCs w:val="24"/>
          <w:lang w:val="en-US"/>
        </w:rPr>
        <w:t xml:space="preserve"> (2024) “Service users’ preferences and feasibility – which alternative care pathway for adult ambulance users achieves the optimal balance? Workshops for the COLLABORATE project,” </w:t>
      </w:r>
      <w:r w:rsidRPr="008341E5">
        <w:rPr>
          <w:rFonts w:eastAsia="Times New Roman"/>
          <w:i/>
          <w:iCs/>
          <w:color w:val="auto"/>
          <w:szCs w:val="24"/>
          <w:lang w:val="en-US"/>
        </w:rPr>
        <w:t>Seizure: European Journal of Epilepsy</w:t>
      </w:r>
      <w:r w:rsidRPr="008341E5">
        <w:rPr>
          <w:rFonts w:eastAsia="Times New Roman"/>
          <w:color w:val="auto"/>
          <w:szCs w:val="24"/>
          <w:lang w:val="en-US"/>
        </w:rPr>
        <w:t>, 118, pp. 17--27. Available at: https://doi.org/10.1016/j.seizure.2024.04.010.</w:t>
      </w:r>
    </w:p>
    <w:p w14:paraId="7CCC89FB"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Pek, P.P., Fan, K.C., Ong, M.E.H., Luo, N., Østbye, T., Lim, S.L. and Ho, A.F. (2023) “Determinants of health-related quality of life after out-of-hospital cardiac arrest (OHCA): A systematic review,” </w:t>
      </w:r>
      <w:r w:rsidRPr="008341E5">
        <w:rPr>
          <w:rFonts w:eastAsia="Times New Roman"/>
          <w:i/>
          <w:iCs/>
          <w:color w:val="auto"/>
          <w:szCs w:val="24"/>
          <w:lang w:val="en-US"/>
        </w:rPr>
        <w:t>Resuscitation</w:t>
      </w:r>
      <w:r w:rsidRPr="008341E5">
        <w:rPr>
          <w:rFonts w:eastAsia="Times New Roman"/>
          <w:color w:val="auto"/>
          <w:szCs w:val="24"/>
          <w:lang w:val="en-US"/>
        </w:rPr>
        <w:t>, 188, p. 109794. Available at: https://doi.org/10.1016/j.resuscitation.2023.109794.</w:t>
      </w:r>
    </w:p>
    <w:p w14:paraId="4DD66515" w14:textId="77777777" w:rsidR="008341E5" w:rsidRPr="008341E5" w:rsidRDefault="008341E5" w:rsidP="008341E5">
      <w:pPr>
        <w:spacing w:after="240"/>
        <w:rPr>
          <w:rFonts w:eastAsia="Times New Roman"/>
          <w:color w:val="auto"/>
          <w:szCs w:val="24"/>
          <w:lang w:val="en-US"/>
        </w:rPr>
      </w:pPr>
      <w:r w:rsidRPr="008341E5">
        <w:rPr>
          <w:rFonts w:eastAsia="Times New Roman"/>
          <w:color w:val="auto"/>
          <w:szCs w:val="24"/>
          <w:lang w:val="en-US"/>
        </w:rPr>
        <w:t xml:space="preserve">Price, J., Rees, P., Lachowycz, K., Starr, Z., Pareek, N., Keeble, T.R., Major, R. and Barnard, E.B.G. (2024) “Increased survival for resuscitated Utstein-comparator group patients conveyed directly to cardiac arrest centres in a large rural and suburban population in England,” </w:t>
      </w:r>
      <w:r w:rsidRPr="008341E5">
        <w:rPr>
          <w:rFonts w:eastAsia="Times New Roman"/>
          <w:i/>
          <w:iCs/>
          <w:color w:val="auto"/>
          <w:szCs w:val="24"/>
          <w:lang w:val="en-US"/>
        </w:rPr>
        <w:t>Resuscitation</w:t>
      </w:r>
      <w:r w:rsidRPr="008341E5">
        <w:rPr>
          <w:rFonts w:eastAsia="Times New Roman"/>
          <w:color w:val="auto"/>
          <w:szCs w:val="24"/>
          <w:lang w:val="en-US"/>
        </w:rPr>
        <w:t>, 201, p. 110280. Available at: https://doi.org/10.1016/j.resuscitation.2024.110280.</w:t>
      </w:r>
    </w:p>
    <w:p w14:paraId="34F0BD0F" w14:textId="77777777" w:rsidR="0080222D" w:rsidRPr="008341E5" w:rsidRDefault="008341E5" w:rsidP="008341E5">
      <w:pPr>
        <w:spacing w:after="240"/>
        <w:rPr>
          <w:rFonts w:eastAsia="Times New Roman"/>
          <w:color w:val="auto"/>
          <w:szCs w:val="24"/>
          <w:lang w:val="en-US"/>
        </w:rPr>
      </w:pPr>
      <w:r w:rsidRPr="008341E5">
        <w:rPr>
          <w:rFonts w:eastAsia="Times New Roman"/>
          <w:color w:val="auto"/>
          <w:szCs w:val="24"/>
          <w:lang w:val="en-US"/>
        </w:rPr>
        <w:lastRenderedPageBreak/>
        <w:t xml:space="preserve">Williams, A. (2012) “Emotion work in paramedic practice: The implications for nurse educators,” </w:t>
      </w:r>
      <w:r w:rsidRPr="008341E5">
        <w:rPr>
          <w:rFonts w:eastAsia="Times New Roman"/>
          <w:i/>
          <w:iCs/>
          <w:color w:val="auto"/>
          <w:szCs w:val="24"/>
          <w:lang w:val="en-US"/>
        </w:rPr>
        <w:t>Nurse Education Today</w:t>
      </w:r>
      <w:r w:rsidRPr="008341E5">
        <w:rPr>
          <w:rFonts w:eastAsia="Times New Roman"/>
          <w:color w:val="auto"/>
          <w:szCs w:val="24"/>
          <w:lang w:val="en-US"/>
        </w:rPr>
        <w:t>, 32(4), pp. 368--372. Available at: https://doi.org/10.1016/j.nedt.2011.05.008.</w:t>
      </w:r>
    </w:p>
    <w:sectPr w:rsidR="0080222D" w:rsidRPr="008341E5" w:rsidSect="00034616">
      <w:footerReference w:type="default" r:id="rId8"/>
      <w:pgSz w:w="12240" w:h="15840"/>
      <w:pgMar w:top="1080" w:right="1080" w:bottom="1080" w:left="108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10EBE" w14:textId="77777777" w:rsidR="00AF66C6" w:rsidRDefault="00AF66C6">
      <w:pPr>
        <w:spacing w:after="0" w:line="240" w:lineRule="auto"/>
      </w:pPr>
      <w:r>
        <w:separator/>
      </w:r>
    </w:p>
  </w:endnote>
  <w:endnote w:type="continuationSeparator" w:id="0">
    <w:p w14:paraId="6682C45F" w14:textId="77777777" w:rsidR="00AF66C6" w:rsidRDefault="00AF6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FFD16" w14:textId="77777777" w:rsidR="0080222D" w:rsidRDefault="00000000">
    <w:pPr>
      <w:pStyle w:val="Foote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EC343" w14:textId="77777777" w:rsidR="00AF66C6" w:rsidRDefault="00AF66C6">
      <w:pPr>
        <w:spacing w:after="0" w:line="240" w:lineRule="auto"/>
      </w:pPr>
      <w:r>
        <w:separator/>
      </w:r>
    </w:p>
  </w:footnote>
  <w:footnote w:type="continuationSeparator" w:id="0">
    <w:p w14:paraId="5D4FA42D" w14:textId="77777777" w:rsidR="00AF66C6" w:rsidRDefault="00AF66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50642166">
    <w:abstractNumId w:val="8"/>
  </w:num>
  <w:num w:numId="2" w16cid:durableId="1252161331">
    <w:abstractNumId w:val="6"/>
  </w:num>
  <w:num w:numId="3" w16cid:durableId="210307933">
    <w:abstractNumId w:val="5"/>
  </w:num>
  <w:num w:numId="4" w16cid:durableId="1935892621">
    <w:abstractNumId w:val="4"/>
  </w:num>
  <w:num w:numId="5" w16cid:durableId="1164081381">
    <w:abstractNumId w:val="7"/>
  </w:num>
  <w:num w:numId="6" w16cid:durableId="2123962943">
    <w:abstractNumId w:val="3"/>
  </w:num>
  <w:num w:numId="7" w16cid:durableId="1999916382">
    <w:abstractNumId w:val="2"/>
  </w:num>
  <w:num w:numId="8" w16cid:durableId="1610039936">
    <w:abstractNumId w:val="1"/>
  </w:num>
  <w:num w:numId="9" w16cid:durableId="525947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3510"/>
    <w:rsid w:val="00142A27"/>
    <w:rsid w:val="0015074B"/>
    <w:rsid w:val="0029639D"/>
    <w:rsid w:val="00326F90"/>
    <w:rsid w:val="003E4967"/>
    <w:rsid w:val="00497F65"/>
    <w:rsid w:val="004B5342"/>
    <w:rsid w:val="004E5CF4"/>
    <w:rsid w:val="00762BC7"/>
    <w:rsid w:val="00764F6A"/>
    <w:rsid w:val="007C339C"/>
    <w:rsid w:val="0080222D"/>
    <w:rsid w:val="008341E5"/>
    <w:rsid w:val="00A1130F"/>
    <w:rsid w:val="00AA1D8D"/>
    <w:rsid w:val="00AF66C6"/>
    <w:rsid w:val="00B47730"/>
    <w:rsid w:val="00B76F97"/>
    <w:rsid w:val="00C25062"/>
    <w:rsid w:val="00CB0664"/>
    <w:rsid w:val="00E15E8C"/>
    <w:rsid w:val="00F93D8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D4C759"/>
  <w14:defaultImageDpi w14:val="300"/>
  <w15:docId w15:val="{C871C98E-3A7F-4746-98BB-001891E9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CF4"/>
    <w:pPr>
      <w:spacing w:after="80" w:line="360" w:lineRule="auto"/>
      <w:jc w:val="both"/>
    </w:pPr>
    <w:rPr>
      <w:rFonts w:ascii="Arial" w:eastAsia="Arial" w:hAnsi="Arial" w:cs="Arial"/>
      <w:color w:val="000000"/>
      <w:sz w:val="24"/>
      <w:lang w:val="en-GB"/>
    </w:rPr>
  </w:style>
  <w:style w:type="paragraph" w:styleId="Heading1">
    <w:name w:val="heading 1"/>
    <w:basedOn w:val="Normal"/>
    <w:next w:val="Normal"/>
    <w:link w:val="Heading1Char"/>
    <w:uiPriority w:val="9"/>
    <w:qFormat/>
    <w:rsid w:val="003E4967"/>
    <w:pPr>
      <w:keepNext/>
      <w:keepLines/>
      <w:spacing w:before="480" w:after="200"/>
      <w:outlineLvl w:val="0"/>
    </w:pPr>
    <w:rPr>
      <w:rFonts w:cstheme="majorBidi"/>
      <w:b/>
      <w:bCs/>
      <w:sz w:val="28"/>
      <w:szCs w:val="28"/>
    </w:rPr>
  </w:style>
  <w:style w:type="paragraph" w:styleId="Heading2">
    <w:name w:val="heading 2"/>
    <w:basedOn w:val="Normal"/>
    <w:next w:val="Normal"/>
    <w:link w:val="Heading2Char"/>
    <w:uiPriority w:val="9"/>
    <w:unhideWhenUsed/>
    <w:qFormat/>
    <w:rsid w:val="003E4967"/>
    <w:pPr>
      <w:keepNext/>
      <w:keepLines/>
      <w:spacing w:before="200" w:after="0"/>
      <w:outlineLvl w:val="1"/>
    </w:pPr>
    <w:rPr>
      <w:rFonts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3E4967"/>
    <w:rPr>
      <w:rFonts w:ascii="Arial" w:eastAsia="Arial" w:hAnsi="Arial" w:cstheme="majorBidi"/>
      <w:b/>
      <w:bCs/>
      <w:color w:val="000000"/>
      <w:sz w:val="28"/>
      <w:szCs w:val="28"/>
      <w:lang w:val="en-GB"/>
    </w:rPr>
  </w:style>
  <w:style w:type="character" w:customStyle="1" w:styleId="Heading2Char">
    <w:name w:val="Heading 2 Char"/>
    <w:basedOn w:val="DefaultParagraphFont"/>
    <w:link w:val="Heading2"/>
    <w:uiPriority w:val="9"/>
    <w:rsid w:val="003E4967"/>
    <w:rPr>
      <w:rFonts w:ascii="Arial" w:eastAsia="Arial" w:hAnsi="Arial" w:cstheme="majorBidi"/>
      <w:b/>
      <w:bCs/>
      <w:color w:val="000000"/>
      <w:sz w:val="24"/>
      <w:szCs w:val="26"/>
      <w:lang w:val="en-GB"/>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contextualSpacing/>
    </w:pPr>
    <w:rPr>
      <w:rFonts w:cstheme="majorBidi"/>
      <w:b/>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cstheme="majorBidi"/>
      <w:iCs/>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Ambulance Services in the United Kingdom</dc:title>
  <dc:subject>LCHS4003 Task 2 Essay</dc:subject>
  <dc:creator/>
  <cp:keywords/>
  <dc:description/>
  <cp:lastModifiedBy>Local User</cp:lastModifiedBy>
  <cp:revision>10</cp:revision>
  <dcterms:created xsi:type="dcterms:W3CDTF">2013-12-23T23:15:00Z</dcterms:created>
  <dcterms:modified xsi:type="dcterms:W3CDTF">2026-10-18T22:44:00Z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e09a49dfb124eef353c92a60025746051552ae850920e489bc906add5c8c8293</vt:lpwstr>
  </property>
</Properties>
</file>