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539E4" w14:textId="77777777" w:rsidR="00C345DF" w:rsidRDefault="00C345DF">
      <w:pPr>
        <w:rPr>
          <w:rFonts w:cs="Calibri"/>
          <w:sz w:val="24"/>
          <w:szCs w:val="24"/>
        </w:rPr>
      </w:pPr>
    </w:p>
    <w:p w14:paraId="4E13FE22" w14:textId="77777777" w:rsidR="00C345DF" w:rsidRDefault="00C345DF">
      <w:pPr>
        <w:rPr>
          <w:rFonts w:cs="Calibri"/>
          <w:sz w:val="24"/>
          <w:szCs w:val="24"/>
        </w:rPr>
      </w:pPr>
    </w:p>
    <w:p w14:paraId="2E34395A" w14:textId="77777777" w:rsidR="00ED0D73" w:rsidRDefault="00ED0D73" w:rsidP="00ED0D73">
      <w:pPr>
        <w:jc w:val="center"/>
        <w:rPr>
          <w:rFonts w:cs="Calibri"/>
          <w:sz w:val="56"/>
          <w:szCs w:val="56"/>
        </w:rPr>
      </w:pPr>
    </w:p>
    <w:p w14:paraId="357D0BAF" w14:textId="77777777" w:rsidR="00ED0D73" w:rsidRDefault="00ED0D73" w:rsidP="00ED0D73">
      <w:pPr>
        <w:jc w:val="center"/>
        <w:rPr>
          <w:rFonts w:cs="Calibri"/>
          <w:sz w:val="56"/>
          <w:szCs w:val="56"/>
        </w:rPr>
      </w:pPr>
    </w:p>
    <w:p w14:paraId="2C02A9E1" w14:textId="2488F71E" w:rsidR="00C345DF" w:rsidRPr="00ED0D73" w:rsidRDefault="00C345DF" w:rsidP="00ED0D73">
      <w:pPr>
        <w:jc w:val="center"/>
        <w:rPr>
          <w:rFonts w:cs="Calibri"/>
          <w:sz w:val="56"/>
          <w:szCs w:val="56"/>
        </w:rPr>
      </w:pPr>
      <w:r w:rsidRPr="00ED0D73">
        <w:rPr>
          <w:rFonts w:cs="Calibri"/>
          <w:sz w:val="56"/>
          <w:szCs w:val="56"/>
        </w:rPr>
        <w:t>Rahima Khatun</w:t>
      </w:r>
    </w:p>
    <w:p w14:paraId="44C08A66" w14:textId="0C86129D" w:rsidR="00C345DF" w:rsidRPr="00ED0D73" w:rsidRDefault="00812793" w:rsidP="00ED0D73">
      <w:pPr>
        <w:jc w:val="center"/>
        <w:rPr>
          <w:rFonts w:cs="Calibri"/>
          <w:sz w:val="56"/>
          <w:szCs w:val="56"/>
        </w:rPr>
      </w:pPr>
      <w:r w:rsidRPr="00ED0D73">
        <w:rPr>
          <w:rFonts w:cs="Calibri"/>
          <w:sz w:val="56"/>
          <w:szCs w:val="56"/>
        </w:rPr>
        <w:t>2023148</w:t>
      </w:r>
    </w:p>
    <w:p w14:paraId="15E3EDBB" w14:textId="245E5559" w:rsidR="00812793" w:rsidRDefault="00812793" w:rsidP="00ED0D73">
      <w:pPr>
        <w:jc w:val="center"/>
        <w:rPr>
          <w:rFonts w:cs="Calibri"/>
          <w:sz w:val="56"/>
          <w:szCs w:val="56"/>
        </w:rPr>
      </w:pPr>
      <w:r w:rsidRPr="00ED0D73">
        <w:rPr>
          <w:rFonts w:cs="Calibri"/>
          <w:sz w:val="56"/>
          <w:szCs w:val="56"/>
        </w:rPr>
        <w:t>Criminal Law</w:t>
      </w:r>
    </w:p>
    <w:p w14:paraId="490D1E0F" w14:textId="77777777" w:rsidR="00ED0D73" w:rsidRDefault="00ED0D73" w:rsidP="00ED0D73">
      <w:pPr>
        <w:jc w:val="center"/>
        <w:rPr>
          <w:rFonts w:cs="Calibri"/>
          <w:sz w:val="56"/>
          <w:szCs w:val="56"/>
        </w:rPr>
      </w:pPr>
    </w:p>
    <w:p w14:paraId="1B1B3BC8" w14:textId="02BD849C" w:rsidR="00ED0D73" w:rsidRPr="00ED0D73" w:rsidRDefault="00ED0D73" w:rsidP="00ED0D73">
      <w:pPr>
        <w:jc w:val="center"/>
        <w:rPr>
          <w:rFonts w:cs="Calibri"/>
          <w:sz w:val="56"/>
          <w:szCs w:val="56"/>
        </w:rPr>
      </w:pPr>
      <w:r>
        <w:rPr>
          <w:rFonts w:cs="Calibri"/>
          <w:sz w:val="56"/>
          <w:szCs w:val="56"/>
        </w:rPr>
        <w:t xml:space="preserve">Consider whether </w:t>
      </w:r>
      <w:r w:rsidR="000074A9">
        <w:rPr>
          <w:rFonts w:cs="Calibri"/>
          <w:sz w:val="56"/>
          <w:szCs w:val="56"/>
        </w:rPr>
        <w:t xml:space="preserve">the defence of insanity is fit for purpose or is in need for </w:t>
      </w:r>
      <w:r w:rsidR="00937A95">
        <w:rPr>
          <w:rFonts w:cs="Calibri"/>
          <w:sz w:val="56"/>
          <w:szCs w:val="56"/>
        </w:rPr>
        <w:t>reform?</w:t>
      </w:r>
    </w:p>
    <w:p w14:paraId="00471F41" w14:textId="77777777" w:rsidR="00C345DF" w:rsidRDefault="00C345DF">
      <w:pPr>
        <w:rPr>
          <w:rFonts w:cs="Calibri"/>
          <w:sz w:val="24"/>
          <w:szCs w:val="24"/>
        </w:rPr>
      </w:pPr>
    </w:p>
    <w:p w14:paraId="1ECC49A8" w14:textId="77777777" w:rsidR="00C345DF" w:rsidRDefault="00C345DF">
      <w:pPr>
        <w:rPr>
          <w:rFonts w:cs="Calibri"/>
          <w:sz w:val="24"/>
          <w:szCs w:val="24"/>
        </w:rPr>
      </w:pPr>
    </w:p>
    <w:p w14:paraId="101C2A81" w14:textId="77777777" w:rsidR="00C345DF" w:rsidRDefault="00C345DF">
      <w:pPr>
        <w:rPr>
          <w:rFonts w:cs="Calibri"/>
          <w:sz w:val="24"/>
          <w:szCs w:val="24"/>
        </w:rPr>
      </w:pPr>
    </w:p>
    <w:p w14:paraId="7D53C58D" w14:textId="77777777" w:rsidR="00C345DF" w:rsidRDefault="00C345DF">
      <w:pPr>
        <w:rPr>
          <w:rFonts w:cs="Calibri"/>
          <w:sz w:val="24"/>
          <w:szCs w:val="24"/>
        </w:rPr>
      </w:pPr>
    </w:p>
    <w:p w14:paraId="40D69A66" w14:textId="77777777" w:rsidR="00C345DF" w:rsidRDefault="00C345DF">
      <w:pPr>
        <w:rPr>
          <w:rFonts w:cs="Calibri"/>
          <w:sz w:val="24"/>
          <w:szCs w:val="24"/>
        </w:rPr>
      </w:pPr>
    </w:p>
    <w:p w14:paraId="5DDB5B6D" w14:textId="77777777" w:rsidR="00C345DF" w:rsidRDefault="00C345DF">
      <w:pPr>
        <w:rPr>
          <w:rFonts w:cs="Calibri"/>
          <w:sz w:val="24"/>
          <w:szCs w:val="24"/>
        </w:rPr>
      </w:pPr>
    </w:p>
    <w:p w14:paraId="527FBBD5" w14:textId="77777777" w:rsidR="00C345DF" w:rsidRDefault="00C345DF">
      <w:pPr>
        <w:rPr>
          <w:rFonts w:cs="Calibri"/>
          <w:sz w:val="24"/>
          <w:szCs w:val="24"/>
        </w:rPr>
      </w:pPr>
    </w:p>
    <w:p w14:paraId="393FEAE3" w14:textId="77777777" w:rsidR="00C345DF" w:rsidRDefault="00C345DF">
      <w:pPr>
        <w:rPr>
          <w:rFonts w:cs="Calibri"/>
          <w:sz w:val="24"/>
          <w:szCs w:val="24"/>
        </w:rPr>
      </w:pPr>
    </w:p>
    <w:p w14:paraId="25AE286B" w14:textId="77777777" w:rsidR="00C345DF" w:rsidRDefault="00C345DF">
      <w:pPr>
        <w:rPr>
          <w:rFonts w:cs="Calibri"/>
          <w:sz w:val="24"/>
          <w:szCs w:val="24"/>
        </w:rPr>
      </w:pPr>
    </w:p>
    <w:p w14:paraId="3ED980E7" w14:textId="77777777" w:rsidR="00C345DF" w:rsidRDefault="00C345DF">
      <w:pPr>
        <w:rPr>
          <w:rFonts w:cs="Calibri"/>
          <w:sz w:val="24"/>
          <w:szCs w:val="24"/>
        </w:rPr>
      </w:pPr>
    </w:p>
    <w:p w14:paraId="72BF4600" w14:textId="77777777" w:rsidR="00C345DF" w:rsidRDefault="00C345DF">
      <w:pPr>
        <w:rPr>
          <w:rFonts w:cs="Calibri"/>
          <w:sz w:val="24"/>
          <w:szCs w:val="24"/>
        </w:rPr>
      </w:pPr>
    </w:p>
    <w:p w14:paraId="0526BA7C" w14:textId="77777777" w:rsidR="00F20745" w:rsidRDefault="00F20745" w:rsidP="000C64C5">
      <w:pPr>
        <w:spacing w:line="276" w:lineRule="auto"/>
        <w:rPr>
          <w:rFonts w:cs="Calibri"/>
          <w:sz w:val="24"/>
          <w:szCs w:val="24"/>
        </w:rPr>
      </w:pPr>
    </w:p>
    <w:p w14:paraId="5246AF61" w14:textId="74600488" w:rsidR="00731B23" w:rsidRPr="006747DB" w:rsidRDefault="00644EB9" w:rsidP="006747DB">
      <w:pPr>
        <w:spacing w:line="360" w:lineRule="auto"/>
        <w:rPr>
          <w:rFonts w:ascii="Arial" w:hAnsi="Arial" w:cs="Arial"/>
          <w:sz w:val="24"/>
          <w:szCs w:val="24"/>
        </w:rPr>
      </w:pPr>
      <w:r w:rsidRPr="006747DB">
        <w:rPr>
          <w:rFonts w:ascii="Arial" w:hAnsi="Arial" w:cs="Arial"/>
          <w:sz w:val="24"/>
          <w:szCs w:val="24"/>
        </w:rPr>
        <w:lastRenderedPageBreak/>
        <w:t xml:space="preserve">This assignment will demonstrate a working knowledge and </w:t>
      </w:r>
      <w:r w:rsidR="00D07701" w:rsidRPr="006747DB">
        <w:rPr>
          <w:rFonts w:ascii="Arial" w:hAnsi="Arial" w:cs="Arial"/>
          <w:sz w:val="24"/>
          <w:szCs w:val="24"/>
        </w:rPr>
        <w:t>understanding</w:t>
      </w:r>
      <w:r w:rsidRPr="006747DB">
        <w:rPr>
          <w:rFonts w:ascii="Arial" w:hAnsi="Arial" w:cs="Arial"/>
          <w:sz w:val="24"/>
          <w:szCs w:val="24"/>
        </w:rPr>
        <w:t xml:space="preserve"> of the general principles</w:t>
      </w:r>
      <w:r w:rsidR="00363676" w:rsidRPr="006747DB">
        <w:rPr>
          <w:rFonts w:ascii="Arial" w:hAnsi="Arial" w:cs="Arial"/>
          <w:sz w:val="24"/>
          <w:szCs w:val="24"/>
        </w:rPr>
        <w:t xml:space="preserve"> of criminal </w:t>
      </w:r>
      <w:r w:rsidR="00D07701" w:rsidRPr="006747DB">
        <w:rPr>
          <w:rFonts w:ascii="Arial" w:hAnsi="Arial" w:cs="Arial"/>
          <w:sz w:val="24"/>
          <w:szCs w:val="24"/>
        </w:rPr>
        <w:t>liability</w:t>
      </w:r>
      <w:r w:rsidR="00363676" w:rsidRPr="006747DB">
        <w:rPr>
          <w:rFonts w:ascii="Arial" w:hAnsi="Arial" w:cs="Arial"/>
          <w:sz w:val="24"/>
          <w:szCs w:val="24"/>
        </w:rPr>
        <w:t xml:space="preserve">. This assignment will also demonstrate a working knowledge </w:t>
      </w:r>
      <w:r w:rsidR="00D07701" w:rsidRPr="006747DB">
        <w:rPr>
          <w:rFonts w:ascii="Arial" w:hAnsi="Arial" w:cs="Arial"/>
          <w:sz w:val="24"/>
          <w:szCs w:val="24"/>
        </w:rPr>
        <w:t xml:space="preserve">and understanding of the social, moral, </w:t>
      </w:r>
      <w:r w:rsidR="00522558" w:rsidRPr="006747DB">
        <w:rPr>
          <w:rFonts w:ascii="Arial" w:hAnsi="Arial" w:cs="Arial"/>
          <w:sz w:val="24"/>
          <w:szCs w:val="24"/>
        </w:rPr>
        <w:t>ethical,</w:t>
      </w:r>
      <w:r w:rsidR="00D07701" w:rsidRPr="006747DB">
        <w:rPr>
          <w:rFonts w:ascii="Arial" w:hAnsi="Arial" w:cs="Arial"/>
          <w:sz w:val="24"/>
          <w:szCs w:val="24"/>
        </w:rPr>
        <w:t xml:space="preserve"> and philosophical issues underlying criminal law and the ability to debate issues in relation to more general ethical perspectives. </w:t>
      </w:r>
    </w:p>
    <w:p w14:paraId="5F4D2497" w14:textId="2D819DFB" w:rsidR="00731B23" w:rsidRPr="006747DB" w:rsidRDefault="00731B23" w:rsidP="006747DB">
      <w:pPr>
        <w:spacing w:line="360" w:lineRule="auto"/>
        <w:rPr>
          <w:rFonts w:ascii="Arial" w:hAnsi="Arial" w:cs="Arial"/>
          <w:sz w:val="24"/>
          <w:szCs w:val="24"/>
        </w:rPr>
      </w:pPr>
    </w:p>
    <w:p w14:paraId="609679F4" w14:textId="07D16255" w:rsidR="00731B23" w:rsidRPr="006747DB" w:rsidRDefault="00731B23" w:rsidP="006747DB">
      <w:pPr>
        <w:spacing w:line="360" w:lineRule="auto"/>
        <w:rPr>
          <w:rFonts w:ascii="Arial" w:hAnsi="Arial" w:cs="Arial"/>
          <w:sz w:val="24"/>
          <w:szCs w:val="24"/>
        </w:rPr>
      </w:pPr>
    </w:p>
    <w:p w14:paraId="06B5FE72" w14:textId="0EEF0B4C" w:rsidR="00731B23" w:rsidRPr="006747DB" w:rsidRDefault="00731B23" w:rsidP="006747DB">
      <w:pPr>
        <w:spacing w:line="360" w:lineRule="auto"/>
        <w:rPr>
          <w:rFonts w:ascii="Arial" w:hAnsi="Arial" w:cs="Arial"/>
          <w:sz w:val="24"/>
          <w:szCs w:val="24"/>
        </w:rPr>
      </w:pPr>
    </w:p>
    <w:p w14:paraId="039118B6" w14:textId="706DB723" w:rsidR="00731B23" w:rsidRPr="006747DB" w:rsidRDefault="00731B23" w:rsidP="006747DB">
      <w:pPr>
        <w:spacing w:line="360" w:lineRule="auto"/>
        <w:rPr>
          <w:rFonts w:ascii="Arial" w:hAnsi="Arial" w:cs="Arial"/>
          <w:sz w:val="24"/>
          <w:szCs w:val="24"/>
        </w:rPr>
      </w:pPr>
    </w:p>
    <w:p w14:paraId="3C179C52" w14:textId="70D4D120" w:rsidR="00731B23" w:rsidRPr="006747DB" w:rsidRDefault="00731B23" w:rsidP="006747DB">
      <w:pPr>
        <w:spacing w:line="360" w:lineRule="auto"/>
        <w:rPr>
          <w:rFonts w:ascii="Arial" w:hAnsi="Arial" w:cs="Arial"/>
          <w:sz w:val="24"/>
          <w:szCs w:val="24"/>
        </w:rPr>
      </w:pPr>
    </w:p>
    <w:p w14:paraId="2F67A293" w14:textId="35D4B540" w:rsidR="00731B23" w:rsidRPr="006747DB" w:rsidRDefault="00731B23" w:rsidP="006747DB">
      <w:pPr>
        <w:spacing w:line="360" w:lineRule="auto"/>
        <w:rPr>
          <w:rFonts w:ascii="Arial" w:hAnsi="Arial" w:cs="Arial"/>
          <w:sz w:val="24"/>
          <w:szCs w:val="24"/>
        </w:rPr>
      </w:pPr>
    </w:p>
    <w:p w14:paraId="3C3A158B" w14:textId="1B593F4E" w:rsidR="00731B23" w:rsidRPr="006747DB" w:rsidRDefault="00731B23" w:rsidP="006747DB">
      <w:pPr>
        <w:spacing w:line="360" w:lineRule="auto"/>
        <w:rPr>
          <w:rFonts w:ascii="Arial" w:hAnsi="Arial" w:cs="Arial"/>
          <w:sz w:val="24"/>
          <w:szCs w:val="24"/>
        </w:rPr>
      </w:pPr>
    </w:p>
    <w:p w14:paraId="49DE4397" w14:textId="6ED3D0CB" w:rsidR="00731B23" w:rsidRPr="006747DB" w:rsidRDefault="00731B23" w:rsidP="006747DB">
      <w:pPr>
        <w:spacing w:line="360" w:lineRule="auto"/>
        <w:rPr>
          <w:rFonts w:ascii="Arial" w:hAnsi="Arial" w:cs="Arial"/>
          <w:sz w:val="24"/>
          <w:szCs w:val="24"/>
        </w:rPr>
      </w:pPr>
    </w:p>
    <w:p w14:paraId="4EFDECE3" w14:textId="7E75A517" w:rsidR="00731B23" w:rsidRPr="006747DB" w:rsidRDefault="00731B23" w:rsidP="006747DB">
      <w:pPr>
        <w:spacing w:line="360" w:lineRule="auto"/>
        <w:rPr>
          <w:rFonts w:ascii="Arial" w:hAnsi="Arial" w:cs="Arial"/>
          <w:sz w:val="24"/>
          <w:szCs w:val="24"/>
        </w:rPr>
      </w:pPr>
    </w:p>
    <w:p w14:paraId="024B6164" w14:textId="20E3DA86" w:rsidR="00731B23" w:rsidRPr="006747DB" w:rsidRDefault="00731B23" w:rsidP="006747DB">
      <w:pPr>
        <w:spacing w:line="360" w:lineRule="auto"/>
        <w:rPr>
          <w:rFonts w:ascii="Arial" w:hAnsi="Arial" w:cs="Arial"/>
          <w:sz w:val="24"/>
          <w:szCs w:val="24"/>
        </w:rPr>
      </w:pPr>
    </w:p>
    <w:p w14:paraId="60430C10" w14:textId="0732BA4D" w:rsidR="00731B23" w:rsidRPr="006747DB" w:rsidRDefault="00731B23" w:rsidP="006747DB">
      <w:pPr>
        <w:spacing w:line="360" w:lineRule="auto"/>
        <w:rPr>
          <w:rFonts w:ascii="Arial" w:hAnsi="Arial" w:cs="Arial"/>
          <w:sz w:val="24"/>
          <w:szCs w:val="24"/>
        </w:rPr>
      </w:pPr>
    </w:p>
    <w:p w14:paraId="4021D272" w14:textId="6C933B46" w:rsidR="00731B23" w:rsidRPr="006747DB" w:rsidRDefault="00731B23" w:rsidP="006747DB">
      <w:pPr>
        <w:spacing w:line="360" w:lineRule="auto"/>
        <w:rPr>
          <w:rFonts w:ascii="Arial" w:hAnsi="Arial" w:cs="Arial"/>
          <w:sz w:val="24"/>
          <w:szCs w:val="24"/>
        </w:rPr>
      </w:pPr>
    </w:p>
    <w:p w14:paraId="6755E0CB" w14:textId="649DA908" w:rsidR="00731B23" w:rsidRPr="006747DB" w:rsidRDefault="00731B23" w:rsidP="006747DB">
      <w:pPr>
        <w:spacing w:line="360" w:lineRule="auto"/>
        <w:rPr>
          <w:rFonts w:ascii="Arial" w:hAnsi="Arial" w:cs="Arial"/>
          <w:sz w:val="24"/>
          <w:szCs w:val="24"/>
        </w:rPr>
      </w:pPr>
    </w:p>
    <w:p w14:paraId="0F6A7738" w14:textId="026C549F" w:rsidR="00731B23" w:rsidRPr="006747DB" w:rsidRDefault="00731B23" w:rsidP="006747DB">
      <w:pPr>
        <w:spacing w:line="360" w:lineRule="auto"/>
        <w:rPr>
          <w:rFonts w:ascii="Arial" w:hAnsi="Arial" w:cs="Arial"/>
          <w:sz w:val="24"/>
          <w:szCs w:val="24"/>
        </w:rPr>
      </w:pPr>
    </w:p>
    <w:p w14:paraId="10F710DC" w14:textId="714E8B22" w:rsidR="00731B23" w:rsidRPr="006747DB" w:rsidRDefault="00731B23" w:rsidP="006747DB">
      <w:pPr>
        <w:spacing w:line="360" w:lineRule="auto"/>
        <w:rPr>
          <w:rFonts w:ascii="Arial" w:hAnsi="Arial" w:cs="Arial"/>
          <w:sz w:val="24"/>
          <w:szCs w:val="24"/>
        </w:rPr>
      </w:pPr>
    </w:p>
    <w:p w14:paraId="6D3C8592" w14:textId="45DD135F" w:rsidR="00731B23" w:rsidRPr="006747DB" w:rsidRDefault="00731B23" w:rsidP="006747DB">
      <w:pPr>
        <w:spacing w:line="360" w:lineRule="auto"/>
        <w:rPr>
          <w:rFonts w:ascii="Arial" w:hAnsi="Arial" w:cs="Arial"/>
          <w:sz w:val="24"/>
          <w:szCs w:val="24"/>
        </w:rPr>
      </w:pPr>
    </w:p>
    <w:p w14:paraId="4D3CFB8D" w14:textId="378B3A79" w:rsidR="00731B23" w:rsidRPr="006747DB" w:rsidRDefault="00731B23" w:rsidP="006747DB">
      <w:pPr>
        <w:spacing w:line="360" w:lineRule="auto"/>
        <w:rPr>
          <w:rFonts w:ascii="Arial" w:hAnsi="Arial" w:cs="Arial"/>
          <w:sz w:val="24"/>
          <w:szCs w:val="24"/>
        </w:rPr>
      </w:pPr>
    </w:p>
    <w:p w14:paraId="734EFD29" w14:textId="3852F97E" w:rsidR="00731B23" w:rsidRPr="006747DB" w:rsidRDefault="00731B23" w:rsidP="006747DB">
      <w:pPr>
        <w:spacing w:line="360" w:lineRule="auto"/>
        <w:rPr>
          <w:rFonts w:ascii="Arial" w:hAnsi="Arial" w:cs="Arial"/>
          <w:sz w:val="24"/>
          <w:szCs w:val="24"/>
        </w:rPr>
      </w:pPr>
    </w:p>
    <w:p w14:paraId="623A2A51" w14:textId="6C765391" w:rsidR="00731B23" w:rsidRPr="006747DB" w:rsidRDefault="00731B23" w:rsidP="006747DB">
      <w:pPr>
        <w:spacing w:line="360" w:lineRule="auto"/>
        <w:rPr>
          <w:rFonts w:ascii="Arial" w:hAnsi="Arial" w:cs="Arial"/>
          <w:sz w:val="24"/>
          <w:szCs w:val="24"/>
        </w:rPr>
      </w:pPr>
    </w:p>
    <w:p w14:paraId="5F507B52"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40DE0F2"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43C55341" w14:textId="137B7C55"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Fonts w:ascii="Arial" w:hAnsi="Arial" w:cs="Arial"/>
          <w:color w:val="0E101A"/>
        </w:rPr>
        <w:lastRenderedPageBreak/>
        <w:t>What is required to be proven for a successful plea of insanity?</w:t>
      </w:r>
    </w:p>
    <w:p w14:paraId="0417BE4F" w14:textId="77777777"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For a successful plea of insanity plea, or it to be proven it is required by law that the defendant had or has a mental illness, or disorder, or defect. The second requirement that must be proved is that at the time of the criminal act the defendant had a reduced capacity to determine right from wrong or was unable to recognise that their actions were wrong. The law of Insanity goes back to the 1842 </w:t>
      </w:r>
      <w:proofErr w:type="spellStart"/>
      <w:r w:rsidRPr="006747DB">
        <w:rPr>
          <w:rFonts w:ascii="Arial" w:hAnsi="Arial" w:cs="Arial"/>
          <w:color w:val="0E101A"/>
        </w:rPr>
        <w:t>M’Naghten</w:t>
      </w:r>
      <w:proofErr w:type="spellEnd"/>
      <w:r w:rsidRPr="006747DB">
        <w:rPr>
          <w:rFonts w:ascii="Arial" w:hAnsi="Arial" w:cs="Arial"/>
          <w:color w:val="0E101A"/>
        </w:rPr>
        <w:t xml:space="preserve"> case which states a defendant is not guilty because of insanity if the defendant was so deranged, they did not know what they were doing (Moran, 1981).</w:t>
      </w:r>
    </w:p>
    <w:p w14:paraId="1DEC87B6"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161F0EA3" w14:textId="67C9DD28"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Fonts w:ascii="Arial" w:hAnsi="Arial" w:cs="Arial"/>
          <w:color w:val="0E101A"/>
        </w:rPr>
        <w:t>What role does medical evidence play in this defence?</w:t>
      </w:r>
    </w:p>
    <w:p w14:paraId="40813B90" w14:textId="1834A79F"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Medical evidence indicates how the death of a person may have occurred and how the injury was caused. The medical evidence does not outweigh the testimony of a respected and independent witness because it is only corroborative evidence (Miller and Miller, 2005). Before 1760 medical opinion was not used in insanity defence rather the use of psychiatric evidence in court was the result of a long struggle between the relative authorities of lawyers and psychiatrists, in which the law held a dominant position and was slow to change. According to the </w:t>
      </w:r>
      <w:proofErr w:type="spellStart"/>
      <w:r w:rsidRPr="006747DB">
        <w:rPr>
          <w:rFonts w:ascii="Arial" w:hAnsi="Arial" w:cs="Arial"/>
          <w:color w:val="0E101A"/>
        </w:rPr>
        <w:t>M’Naghten</w:t>
      </w:r>
      <w:proofErr w:type="spellEnd"/>
      <w:r w:rsidRPr="006747DB">
        <w:rPr>
          <w:rFonts w:ascii="Arial" w:hAnsi="Arial" w:cs="Arial"/>
          <w:color w:val="0E101A"/>
        </w:rPr>
        <w:t xml:space="preserve"> rules psychiatrists are called to give evidence in cases where the mental illness defence has been raised, therefore the psychiatrists very important role in this defence. Relying on medical evidence is an issue because due to the fact insanity is not a medical term it is a law term (</w:t>
      </w:r>
      <w:proofErr w:type="spellStart"/>
      <w:r w:rsidRPr="006747DB">
        <w:rPr>
          <w:rFonts w:ascii="Arial" w:hAnsi="Arial" w:cs="Arial"/>
          <w:color w:val="0E101A"/>
        </w:rPr>
        <w:t>M’Naghten</w:t>
      </w:r>
      <w:proofErr w:type="spellEnd"/>
      <w:r w:rsidRPr="006747DB">
        <w:rPr>
          <w:rFonts w:ascii="Arial" w:hAnsi="Arial" w:cs="Arial"/>
          <w:color w:val="0E101A"/>
        </w:rPr>
        <w:t>, 1843).</w:t>
      </w:r>
    </w:p>
    <w:p w14:paraId="38D6CD91"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3990DBE" w14:textId="77777777"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Fonts w:ascii="Arial" w:hAnsi="Arial" w:cs="Arial"/>
          <w:color w:val="0E101A"/>
        </w:rPr>
        <w:t>How can insanity be distinguished from automatism?</w:t>
      </w:r>
    </w:p>
    <w:p w14:paraId="41B0F23D" w14:textId="176C8649"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Automatism states though a person may be capable of action, at the time is not conscious of what he is doing “because the mind does not go with what is being done”. There are two types of automatism insane and non-insane. According to the</w:t>
      </w:r>
      <w:r w:rsidRPr="006747DB">
        <w:rPr>
          <w:rFonts w:ascii="Arial" w:hAnsi="Arial" w:cs="Arial"/>
          <w:color w:val="0E101A"/>
        </w:rPr>
        <w:t xml:space="preserve"> </w:t>
      </w:r>
      <w:proofErr w:type="spellStart"/>
      <w:r w:rsidRPr="006747DB">
        <w:rPr>
          <w:rFonts w:ascii="Arial" w:hAnsi="Arial" w:cs="Arial"/>
          <w:color w:val="0E101A"/>
        </w:rPr>
        <w:t>M’Naghten</w:t>
      </w:r>
      <w:proofErr w:type="spellEnd"/>
      <w:r w:rsidRPr="006747DB">
        <w:rPr>
          <w:rFonts w:ascii="Arial" w:hAnsi="Arial" w:cs="Arial"/>
          <w:color w:val="0E101A"/>
        </w:rPr>
        <w:t xml:space="preserve"> Rules, insane automatism is developed on the defence of lack of reason caused by a disease of the mind. Non- insane automatism is when the defendant acts unconsciously and involuntarily but not because of a disease of the mind. The distinction between automatism and insanity relates to whether the cause of the involuntary action was </w:t>
      </w:r>
      <w:proofErr w:type="gramStart"/>
      <w:r w:rsidRPr="006747DB">
        <w:rPr>
          <w:rFonts w:ascii="Arial" w:hAnsi="Arial" w:cs="Arial"/>
          <w:color w:val="0E101A"/>
        </w:rPr>
        <w:t>as a result of</w:t>
      </w:r>
      <w:proofErr w:type="gramEnd"/>
      <w:r w:rsidRPr="006747DB">
        <w:rPr>
          <w:rFonts w:ascii="Arial" w:hAnsi="Arial" w:cs="Arial"/>
          <w:color w:val="0E101A"/>
        </w:rPr>
        <w:t xml:space="preserve"> an external or internal factor however there is not clear a distinction whether a medical condition is to be treated as insane or non-insane automatism (Williams, 1973).</w:t>
      </w:r>
    </w:p>
    <w:p w14:paraId="3C49DB30"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786A8FC9" w14:textId="5D0CDF92"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Fonts w:ascii="Arial" w:hAnsi="Arial" w:cs="Arial"/>
          <w:color w:val="0E101A"/>
        </w:rPr>
        <w:lastRenderedPageBreak/>
        <w:t>What are the current problems with the law on insanity? Where does the burden of proof lie?</w:t>
      </w:r>
    </w:p>
    <w:p w14:paraId="2B1AF992" w14:textId="77777777"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The rules that govern the insanity defence is dated from 1843 and they have also been criticised for numerous reasons firstly there is no clear evidence whether the defence of insanity is available for all cases. It lacks psychiatric understanding of why the defence is underused, and the correct legal tests are not applied by medical professionals. The term “insane” is outdated which is used to describe individuals with mental illness. Finally, the case law on insane and non-insane automatism is incoherent. Evidence also shows how there was a very minimum number of successful cases of insanity each year (Insanity and Automatism | Law Commission, 2021).</w:t>
      </w:r>
    </w:p>
    <w:p w14:paraId="44E53114" w14:textId="51E9DB8D"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The </w:t>
      </w:r>
      <w:proofErr w:type="spellStart"/>
      <w:r w:rsidRPr="006747DB">
        <w:rPr>
          <w:rFonts w:ascii="Arial" w:hAnsi="Arial" w:cs="Arial"/>
          <w:color w:val="0E101A"/>
        </w:rPr>
        <w:t>M’Naghten</w:t>
      </w:r>
      <w:proofErr w:type="spellEnd"/>
      <w:r w:rsidRPr="006747DB">
        <w:rPr>
          <w:rFonts w:ascii="Arial" w:hAnsi="Arial" w:cs="Arial"/>
          <w:color w:val="0E101A"/>
        </w:rPr>
        <w:t xml:space="preserve"> test requires the defendant to be suffering from a “defect of reason from disease of the mind”. The judges interpret it into more of a modern phrase “an impairment of mental functioning caused by a medical condition”. A relevant mental illness is not necessarily seen as an ordinary disease, also it is not intended for the word mind to be interpreted as the brain. Many conditions are regarded as diseases of the mind such as schizophrenia. On the other hand, there is a major consequence of the court’s broad interpretation of disease of the mind, which is that people with conditions that would not usually be classed as mental disorders have been held to come within the </w:t>
      </w:r>
      <w:proofErr w:type="spellStart"/>
      <w:r w:rsidRPr="006747DB">
        <w:rPr>
          <w:rFonts w:ascii="Arial" w:hAnsi="Arial" w:cs="Arial"/>
          <w:color w:val="0E101A"/>
        </w:rPr>
        <w:t>M’Naghten</w:t>
      </w:r>
      <w:proofErr w:type="spellEnd"/>
      <w:r w:rsidRPr="006747DB">
        <w:rPr>
          <w:rFonts w:ascii="Arial" w:hAnsi="Arial" w:cs="Arial"/>
          <w:color w:val="0E101A"/>
        </w:rPr>
        <w:t xml:space="preserve"> understanding of insanity. These can include sleepwalkers, epileptic individuals, and individuals with diabetes (</w:t>
      </w:r>
      <w:proofErr w:type="spellStart"/>
      <w:r w:rsidRPr="006747DB">
        <w:rPr>
          <w:rFonts w:ascii="Arial" w:hAnsi="Arial" w:cs="Arial"/>
          <w:color w:val="0E101A"/>
        </w:rPr>
        <w:t>Shkira</w:t>
      </w:r>
      <w:proofErr w:type="spellEnd"/>
      <w:r w:rsidRPr="006747DB">
        <w:rPr>
          <w:rFonts w:ascii="Arial" w:hAnsi="Arial" w:cs="Arial"/>
          <w:color w:val="0E101A"/>
        </w:rPr>
        <w:t>, 2013).</w:t>
      </w:r>
    </w:p>
    <w:p w14:paraId="27989A58"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465DFC9" w14:textId="13987F33"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Fonts w:ascii="Arial" w:hAnsi="Arial" w:cs="Arial"/>
          <w:color w:val="0E101A"/>
        </w:rPr>
        <w:t>Has there been any reform in the area?</w:t>
      </w:r>
    </w:p>
    <w:p w14:paraId="7346F63C" w14:textId="77777777"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There is a partial defence that could be used against murder offences, this defence is called diminished responsibility. If the defence of diminished responsibility is accepted, then the defendant will be charged with manslaughter as opposed to being charged with murder. Usually, a murder offence results in life in prison. The defence of diminished responsibility allows the defendant to avoid a life sentence. This is the opposite of the </w:t>
      </w:r>
      <w:proofErr w:type="spellStart"/>
      <w:r w:rsidRPr="006747DB">
        <w:rPr>
          <w:rFonts w:ascii="Arial" w:hAnsi="Arial" w:cs="Arial"/>
          <w:color w:val="0E101A"/>
        </w:rPr>
        <w:t>M’Naghten</w:t>
      </w:r>
      <w:proofErr w:type="spellEnd"/>
      <w:r w:rsidRPr="006747DB">
        <w:rPr>
          <w:rFonts w:ascii="Arial" w:hAnsi="Arial" w:cs="Arial"/>
          <w:color w:val="0E101A"/>
        </w:rPr>
        <w:t xml:space="preserve"> rule which removes the </w:t>
      </w:r>
      <w:proofErr w:type="spellStart"/>
      <w:r w:rsidRPr="006747DB">
        <w:rPr>
          <w:rFonts w:ascii="Arial" w:hAnsi="Arial" w:cs="Arial"/>
          <w:color w:val="0E101A"/>
        </w:rPr>
        <w:t>mens</w:t>
      </w:r>
      <w:proofErr w:type="spellEnd"/>
      <w:r w:rsidRPr="006747DB">
        <w:rPr>
          <w:rFonts w:ascii="Arial" w:hAnsi="Arial" w:cs="Arial"/>
          <w:color w:val="0E101A"/>
        </w:rPr>
        <w:t xml:space="preserve"> rea of murder. According to the rule even if a </w:t>
      </w:r>
      <w:proofErr w:type="spellStart"/>
      <w:r w:rsidRPr="006747DB">
        <w:rPr>
          <w:rFonts w:ascii="Arial" w:hAnsi="Arial" w:cs="Arial"/>
          <w:color w:val="0E101A"/>
        </w:rPr>
        <w:t>Mens</w:t>
      </w:r>
      <w:proofErr w:type="spellEnd"/>
      <w:r w:rsidRPr="006747DB">
        <w:rPr>
          <w:rFonts w:ascii="Arial" w:hAnsi="Arial" w:cs="Arial"/>
          <w:color w:val="0E101A"/>
        </w:rPr>
        <w:t xml:space="preserve"> rea is proven for the murder charge a plea for diminished responsibility can still be accepted. Also, another difference compared to the </w:t>
      </w:r>
      <w:proofErr w:type="spellStart"/>
      <w:r w:rsidRPr="006747DB">
        <w:rPr>
          <w:rFonts w:ascii="Arial" w:hAnsi="Arial" w:cs="Arial"/>
          <w:color w:val="0E101A"/>
        </w:rPr>
        <w:t>M'Naghten</w:t>
      </w:r>
      <w:proofErr w:type="spellEnd"/>
      <w:r w:rsidRPr="006747DB">
        <w:rPr>
          <w:rFonts w:ascii="Arial" w:hAnsi="Arial" w:cs="Arial"/>
          <w:color w:val="0E101A"/>
        </w:rPr>
        <w:t xml:space="preserve"> rule is that if a defence of diminished responsibility is accepted, then according to the rule you can get an acquittal, but if it is a partial defence then only a decrease of offences applies. This plea of diminished responsibility must be supported by a bal</w:t>
      </w:r>
      <w:r w:rsidRPr="006747DB">
        <w:rPr>
          <w:rFonts w:ascii="Arial" w:hAnsi="Arial" w:cs="Arial"/>
          <w:color w:val="0E101A"/>
        </w:rPr>
        <w:lastRenderedPageBreak/>
        <w:t>ance of probabilities and is only allowed to be proven by the defence. If both the defence and the prosecutors agree to the argument of diminished responsibility, they can then present this to the judge. The judge will then have to agree to this defence and if the facts are obvious, then the conviction of manslaughter without trial will be applied and the range of sentencing will be available at the judge’s discretion. These sentences vary from life in prison to not serving any time in prison. However, a trial will have to take place if either side disagrees with the defence of diminished responsibility (Hallett &amp; Nicholas, 2018).</w:t>
      </w:r>
    </w:p>
    <w:p w14:paraId="0461624C"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704B2E3"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7A4F678F"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5344C286"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FE765F9"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B3FCC63"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1990BE05"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60D6874D"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1118BBC"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92A8151"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EAFC7FC"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897D3EF"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63AA32F1"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13712D75" w14:textId="396868ED" w:rsidR="006747DB" w:rsidRPr="006747DB" w:rsidRDefault="006747DB" w:rsidP="006747DB">
      <w:pPr>
        <w:pStyle w:val="NormalWeb"/>
        <w:spacing w:before="0" w:beforeAutospacing="0" w:after="0" w:afterAutospacing="0" w:line="360" w:lineRule="auto"/>
        <w:rPr>
          <w:rFonts w:ascii="Arial" w:hAnsi="Arial" w:cs="Arial"/>
          <w:color w:val="0E101A"/>
        </w:rPr>
      </w:pPr>
    </w:p>
    <w:p w14:paraId="758E0DBB" w14:textId="65B1C3A1" w:rsidR="006747DB" w:rsidRPr="006747DB" w:rsidRDefault="006747DB" w:rsidP="006747DB">
      <w:pPr>
        <w:pStyle w:val="NormalWeb"/>
        <w:spacing w:before="0" w:beforeAutospacing="0" w:after="0" w:afterAutospacing="0" w:line="360" w:lineRule="auto"/>
        <w:rPr>
          <w:rFonts w:ascii="Arial" w:hAnsi="Arial" w:cs="Arial"/>
          <w:color w:val="0E101A"/>
        </w:rPr>
      </w:pPr>
    </w:p>
    <w:p w14:paraId="6FAAEBB3" w14:textId="0B2127AB" w:rsidR="006747DB" w:rsidRPr="006747DB" w:rsidRDefault="006747DB" w:rsidP="006747DB">
      <w:pPr>
        <w:pStyle w:val="NormalWeb"/>
        <w:spacing w:before="0" w:beforeAutospacing="0" w:after="0" w:afterAutospacing="0" w:line="360" w:lineRule="auto"/>
        <w:rPr>
          <w:rFonts w:ascii="Arial" w:hAnsi="Arial" w:cs="Arial"/>
          <w:color w:val="0E101A"/>
        </w:rPr>
      </w:pPr>
    </w:p>
    <w:p w14:paraId="11FB857E" w14:textId="793CF95A" w:rsidR="006747DB" w:rsidRPr="006747DB" w:rsidRDefault="006747DB" w:rsidP="006747DB">
      <w:pPr>
        <w:pStyle w:val="NormalWeb"/>
        <w:spacing w:before="0" w:beforeAutospacing="0" w:after="0" w:afterAutospacing="0" w:line="360" w:lineRule="auto"/>
        <w:rPr>
          <w:rFonts w:ascii="Arial" w:hAnsi="Arial" w:cs="Arial"/>
          <w:color w:val="0E101A"/>
        </w:rPr>
      </w:pPr>
    </w:p>
    <w:p w14:paraId="3336F5F2" w14:textId="5E860F51" w:rsidR="006747DB" w:rsidRPr="006747DB" w:rsidRDefault="006747DB" w:rsidP="006747DB">
      <w:pPr>
        <w:pStyle w:val="NormalWeb"/>
        <w:spacing w:before="0" w:beforeAutospacing="0" w:after="0" w:afterAutospacing="0" w:line="360" w:lineRule="auto"/>
        <w:rPr>
          <w:rFonts w:ascii="Arial" w:hAnsi="Arial" w:cs="Arial"/>
          <w:color w:val="0E101A"/>
        </w:rPr>
      </w:pPr>
    </w:p>
    <w:p w14:paraId="58067E6D" w14:textId="0C2CF9F0" w:rsidR="006747DB" w:rsidRPr="006747DB" w:rsidRDefault="006747DB" w:rsidP="006747DB">
      <w:pPr>
        <w:pStyle w:val="NormalWeb"/>
        <w:spacing w:before="0" w:beforeAutospacing="0" w:after="0" w:afterAutospacing="0" w:line="360" w:lineRule="auto"/>
        <w:rPr>
          <w:rFonts w:ascii="Arial" w:hAnsi="Arial" w:cs="Arial"/>
          <w:color w:val="0E101A"/>
        </w:rPr>
      </w:pPr>
    </w:p>
    <w:p w14:paraId="347D139A" w14:textId="3D65C340" w:rsidR="006747DB" w:rsidRPr="006747DB" w:rsidRDefault="006747DB" w:rsidP="006747DB">
      <w:pPr>
        <w:pStyle w:val="NormalWeb"/>
        <w:spacing w:before="0" w:beforeAutospacing="0" w:after="0" w:afterAutospacing="0" w:line="360" w:lineRule="auto"/>
        <w:rPr>
          <w:rFonts w:ascii="Arial" w:hAnsi="Arial" w:cs="Arial"/>
          <w:color w:val="0E101A"/>
        </w:rPr>
      </w:pPr>
    </w:p>
    <w:p w14:paraId="040052F5" w14:textId="1B7B3947" w:rsidR="006747DB" w:rsidRPr="006747DB" w:rsidRDefault="006747DB" w:rsidP="006747DB">
      <w:pPr>
        <w:pStyle w:val="NormalWeb"/>
        <w:spacing w:before="0" w:beforeAutospacing="0" w:after="0" w:afterAutospacing="0" w:line="360" w:lineRule="auto"/>
        <w:rPr>
          <w:rFonts w:ascii="Arial" w:hAnsi="Arial" w:cs="Arial"/>
          <w:color w:val="0E101A"/>
        </w:rPr>
      </w:pPr>
    </w:p>
    <w:p w14:paraId="61511C14" w14:textId="7FAF0972" w:rsidR="006747DB" w:rsidRPr="006747DB" w:rsidRDefault="006747DB" w:rsidP="006747DB">
      <w:pPr>
        <w:pStyle w:val="NormalWeb"/>
        <w:spacing w:before="0" w:beforeAutospacing="0" w:after="0" w:afterAutospacing="0" w:line="360" w:lineRule="auto"/>
        <w:rPr>
          <w:rFonts w:ascii="Arial" w:hAnsi="Arial" w:cs="Arial"/>
          <w:color w:val="0E101A"/>
        </w:rPr>
      </w:pPr>
    </w:p>
    <w:p w14:paraId="790A66FA" w14:textId="1F1D7BBC" w:rsidR="006747DB" w:rsidRPr="006747DB" w:rsidRDefault="006747DB" w:rsidP="006747DB">
      <w:pPr>
        <w:pStyle w:val="NormalWeb"/>
        <w:spacing w:before="0" w:beforeAutospacing="0" w:after="0" w:afterAutospacing="0" w:line="360" w:lineRule="auto"/>
        <w:rPr>
          <w:rFonts w:ascii="Arial" w:hAnsi="Arial" w:cs="Arial"/>
          <w:color w:val="0E101A"/>
        </w:rPr>
      </w:pPr>
    </w:p>
    <w:p w14:paraId="492098F6" w14:textId="02990204" w:rsidR="006747DB" w:rsidRPr="006747DB" w:rsidRDefault="006747DB" w:rsidP="006747DB">
      <w:pPr>
        <w:pStyle w:val="NormalWeb"/>
        <w:spacing w:before="0" w:beforeAutospacing="0" w:after="0" w:afterAutospacing="0" w:line="360" w:lineRule="auto"/>
        <w:rPr>
          <w:rFonts w:ascii="Arial" w:hAnsi="Arial" w:cs="Arial"/>
          <w:color w:val="0E101A"/>
        </w:rPr>
      </w:pPr>
    </w:p>
    <w:p w14:paraId="42EF1577"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77E9962D"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573330C9" w14:textId="77777777"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Style w:val="Strong"/>
          <w:rFonts w:ascii="Arial" w:hAnsi="Arial" w:cs="Arial"/>
          <w:color w:val="0E101A"/>
          <w:u w:val="single"/>
        </w:rPr>
        <w:lastRenderedPageBreak/>
        <w:t>Conclusion</w:t>
      </w:r>
    </w:p>
    <w:p w14:paraId="61E37359" w14:textId="5C548C3C"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Overall, for a successful plea of insanity or for it to be proven it is required by law that the defendant had or has a mental illness. The second requirement that must be proved that at the time of the criminal act the defendant had a reduced capacity to determine right from wrong or was unable to recognise that their actions were wrong. The </w:t>
      </w:r>
      <w:proofErr w:type="spellStart"/>
      <w:r w:rsidRPr="006747DB">
        <w:rPr>
          <w:rFonts w:ascii="Arial" w:hAnsi="Arial" w:cs="Arial"/>
          <w:color w:val="0E101A"/>
        </w:rPr>
        <w:t>M’Naghten</w:t>
      </w:r>
      <w:proofErr w:type="spellEnd"/>
      <w:r w:rsidRPr="006747DB">
        <w:rPr>
          <w:rFonts w:ascii="Arial" w:hAnsi="Arial" w:cs="Arial"/>
          <w:color w:val="0E101A"/>
        </w:rPr>
        <w:t xml:space="preserve"> law proves individuals are not guilty in reason to insanity.</w:t>
      </w:r>
    </w:p>
    <w:p w14:paraId="6DCCFF7C"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6C72364C"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749A045B"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53A615E9"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5A3796B"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B75B552"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DB9CE26"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1C266CF6"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92ED517"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64B17DEA"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8385A72"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74F2721F"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1410FDA2"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6ADEF8C1"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6F9FA34"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F005A8F"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B9EE63C"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69F34DCE"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5FCD903"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401E27A0"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5FE2EF4D"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2003566F"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B17A4A9"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1514B40D"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564C033B"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3D24C43A"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4688BE16" w14:textId="43B38DE2" w:rsidR="006747DB" w:rsidRPr="006747DB" w:rsidRDefault="006747DB" w:rsidP="006747DB">
      <w:pPr>
        <w:pStyle w:val="NormalWeb"/>
        <w:spacing w:before="0" w:beforeAutospacing="0" w:after="0" w:afterAutospacing="0" w:line="360" w:lineRule="auto"/>
        <w:rPr>
          <w:rFonts w:ascii="Arial" w:hAnsi="Arial" w:cs="Arial"/>
          <w:color w:val="0E101A"/>
        </w:rPr>
      </w:pPr>
    </w:p>
    <w:p w14:paraId="5A56EB05" w14:textId="77777777" w:rsidR="006747DB" w:rsidRPr="006747DB" w:rsidRDefault="006747DB" w:rsidP="006747DB">
      <w:pPr>
        <w:pStyle w:val="NormalWeb"/>
        <w:spacing w:before="0" w:beforeAutospacing="0" w:after="0" w:afterAutospacing="0" w:line="360" w:lineRule="auto"/>
        <w:rPr>
          <w:rFonts w:ascii="Arial" w:hAnsi="Arial" w:cs="Arial"/>
          <w:color w:val="0E101A"/>
        </w:rPr>
      </w:pPr>
    </w:p>
    <w:p w14:paraId="06F123BE" w14:textId="77777777" w:rsidR="006747DB" w:rsidRPr="006747DB" w:rsidRDefault="006747DB" w:rsidP="006747DB">
      <w:pPr>
        <w:pStyle w:val="NormalWeb"/>
        <w:spacing w:before="0" w:beforeAutospacing="0" w:after="0" w:afterAutospacing="0" w:line="360" w:lineRule="auto"/>
        <w:jc w:val="center"/>
        <w:rPr>
          <w:rFonts w:ascii="Arial" w:hAnsi="Arial" w:cs="Arial"/>
          <w:color w:val="0E101A"/>
        </w:rPr>
      </w:pPr>
      <w:r w:rsidRPr="006747DB">
        <w:rPr>
          <w:rStyle w:val="Strong"/>
          <w:rFonts w:ascii="Arial" w:hAnsi="Arial" w:cs="Arial"/>
          <w:color w:val="0E101A"/>
          <w:u w:val="single"/>
        </w:rPr>
        <w:lastRenderedPageBreak/>
        <w:t>Case Study</w:t>
      </w:r>
    </w:p>
    <w:p w14:paraId="6BF4EA04" w14:textId="3294C94B"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Jenny and Colin were in a bar on wind street where they met with their friends on a night out, where you were also with your friends. You then started making comments about Colin who then retaliated due to your comments which then led to a fight between the two of you. While you two were fighting against each other, Lee the doorman came over and asked you to leave the building, you then turned around and punched Lee with a great force that left Lee to fall on to the floor unconscious. After that you and your friend left the bar on wind street, leaving Lee unconscious on the floor before the police arrived on the premises. Jenny and Colin stayed behind until the ambulance arrived for Lee. The ambulance then took Lee to the hospital to receive treatment for his injuries, but unfortunately due to the severity and seriousness of his injuries Lee did not make it and he passed away later that night.</w:t>
      </w:r>
    </w:p>
    <w:p w14:paraId="2DC28BEC" w14:textId="77777777"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For this incident, you have committed a crime of Involuntary Manslaughter, section 20 offences against the person Act 1861 non-fatal offence according to the D pp v Smith case law is a “really serious” offence. According to the case-law of R v </w:t>
      </w:r>
      <w:proofErr w:type="spellStart"/>
      <w:r w:rsidRPr="006747DB">
        <w:rPr>
          <w:rFonts w:ascii="Arial" w:hAnsi="Arial" w:cs="Arial"/>
          <w:color w:val="0E101A"/>
        </w:rPr>
        <w:t>Woollin</w:t>
      </w:r>
      <w:proofErr w:type="spellEnd"/>
      <w:r w:rsidRPr="006747DB">
        <w:rPr>
          <w:rFonts w:ascii="Arial" w:hAnsi="Arial" w:cs="Arial"/>
          <w:color w:val="0E101A"/>
        </w:rPr>
        <w:t xml:space="preserve"> (1999), the defendant intended to cause death or grievous bodily harm, as you had no intention or did not know your action would cause substantial risk to the person, therefore the offence for this crime may vary and the judge may decide to prosecute you with a sentence of imprisonment for life or suspended imprisonment or a community service sentence.</w:t>
      </w:r>
    </w:p>
    <w:p w14:paraId="1B7EA8F0" w14:textId="77777777"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It is impossible to identify the actus reus of an attempted offence as distinct from criminal intent. If a defendant shoots at his victim with intent to kill but misses, he is guilty of attempted murder, but only because of his mental state. The actus reus of the offence is not shooting and missing; shooting and missing is not attempted murder. The outward, physical component of the defendant's conduct simply does not constitute the "forbidden act" of attempted murder unless accompanied by criminal intent.</w:t>
      </w:r>
    </w:p>
    <w:p w14:paraId="6523CE9C" w14:textId="77777777"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After the incident with Lee, the police had put an appeal for witnesses to come forward and report to Swansea police station regarding the incident that happened at the bar in wind street. The next day Colin was on his way home from work when you approached him and asked what he had said to the police concerning the incident with Lee. Colin then informed you that he </w:t>
      </w:r>
      <w:proofErr w:type="gramStart"/>
      <w:r w:rsidRPr="006747DB">
        <w:rPr>
          <w:rFonts w:ascii="Arial" w:hAnsi="Arial" w:cs="Arial"/>
          <w:color w:val="0E101A"/>
        </w:rPr>
        <w:t>hasn’t</w:t>
      </w:r>
      <w:proofErr w:type="gramEnd"/>
      <w:r w:rsidRPr="006747DB">
        <w:rPr>
          <w:rFonts w:ascii="Arial" w:hAnsi="Arial" w:cs="Arial"/>
          <w:color w:val="0E101A"/>
        </w:rPr>
        <w:t xml:space="preserve"> told the police anything about the incident, you then gripped hold of Colin by the arm as he tried to walk off and suddenly </w:t>
      </w:r>
      <w:r w:rsidRPr="006747DB">
        <w:rPr>
          <w:rFonts w:ascii="Arial" w:hAnsi="Arial" w:cs="Arial"/>
          <w:color w:val="0E101A"/>
        </w:rPr>
        <w:lastRenderedPageBreak/>
        <w:t>Colin felt an agonising pain in his stomach, not realising you had stabbed him which left him to bleed profusely and fall to the ground.</w:t>
      </w:r>
    </w:p>
    <w:p w14:paraId="29BA2531" w14:textId="10FB0084" w:rsidR="006747DB" w:rsidRPr="006747DB" w:rsidRDefault="006747DB" w:rsidP="006747DB">
      <w:pPr>
        <w:pStyle w:val="NormalWeb"/>
        <w:spacing w:before="0" w:beforeAutospacing="0" w:after="0" w:afterAutospacing="0" w:line="360" w:lineRule="auto"/>
        <w:rPr>
          <w:rFonts w:ascii="Arial" w:hAnsi="Arial" w:cs="Arial"/>
          <w:color w:val="0E101A"/>
        </w:rPr>
      </w:pPr>
      <w:r w:rsidRPr="006747DB">
        <w:rPr>
          <w:rFonts w:ascii="Arial" w:hAnsi="Arial" w:cs="Arial"/>
          <w:color w:val="0E101A"/>
        </w:rPr>
        <w:t xml:space="preserve">You then left Colin on the ground in pain and ran off without helping him, unfortunately, colin died within a minute of you leaving him on the ground. According to the English law and the case study of Moloney (1985) for confronting Colin, stabbing him in the stomach with a knife, leaving him to die, it shows that you had direct intention to cause serious harm to Colin. For the unlawful reason, you will be sentenced to prison for four years and an unlimited fine too. These sentences are calculated by an assessment of culpability and harm, as well as considering any aggravating or mitigating facts. What culpability means is that the court would look at the offences and see how much of an input you put into the offences. The court will evaluate what form of weapon you had used and how much harm or damage has been done to the victim. As you have committed an offence against the person act 1861 GBH, whoever unlawfully and maliciously wounds or causes any grievous bodily harm to any person with intent shall be guilty of an offence and will be convicted to imprisonment for life. The </w:t>
      </w:r>
      <w:proofErr w:type="spellStart"/>
      <w:r w:rsidRPr="006747DB">
        <w:rPr>
          <w:rFonts w:ascii="Arial" w:hAnsi="Arial" w:cs="Arial"/>
          <w:color w:val="0E101A"/>
        </w:rPr>
        <w:t>mens</w:t>
      </w:r>
      <w:proofErr w:type="spellEnd"/>
      <w:r w:rsidRPr="006747DB">
        <w:rPr>
          <w:rFonts w:ascii="Arial" w:hAnsi="Arial" w:cs="Arial"/>
          <w:color w:val="0E101A"/>
        </w:rPr>
        <w:t xml:space="preserve"> rea of the act is that you had the guilty mind to cause Colin harm. This offence falls under section 18 of the unlawful and malicious wounding or causing bodily harm with an intent to cause grievous bodily harm.</w:t>
      </w:r>
    </w:p>
    <w:p w14:paraId="4A852AB5" w14:textId="65319F91" w:rsidR="00BE262E" w:rsidRPr="006747DB" w:rsidRDefault="00BE262E" w:rsidP="006747DB">
      <w:pPr>
        <w:suppressAutoHyphens w:val="0"/>
        <w:spacing w:after="0" w:line="360" w:lineRule="auto"/>
        <w:rPr>
          <w:rFonts w:ascii="Arial" w:eastAsia="Times New Roman" w:hAnsi="Arial" w:cs="Arial"/>
          <w:color w:val="595959"/>
          <w:sz w:val="24"/>
          <w:szCs w:val="24"/>
          <w:lang w:eastAsia="en-GB"/>
        </w:rPr>
      </w:pPr>
    </w:p>
    <w:p w14:paraId="3BC3648E" w14:textId="51F55E1F" w:rsidR="006747DB" w:rsidRPr="006747DB" w:rsidRDefault="006747DB" w:rsidP="006747DB">
      <w:pPr>
        <w:suppressAutoHyphens w:val="0"/>
        <w:spacing w:after="0" w:line="360" w:lineRule="auto"/>
        <w:rPr>
          <w:rFonts w:ascii="Arial" w:eastAsia="Times New Roman" w:hAnsi="Arial" w:cs="Arial"/>
          <w:color w:val="595959"/>
          <w:sz w:val="24"/>
          <w:szCs w:val="24"/>
          <w:lang w:eastAsia="en-GB"/>
        </w:rPr>
      </w:pPr>
    </w:p>
    <w:p w14:paraId="4D28B07D" w14:textId="2D079476" w:rsidR="006747DB" w:rsidRPr="006747DB" w:rsidRDefault="006747DB" w:rsidP="006747DB">
      <w:pPr>
        <w:suppressAutoHyphens w:val="0"/>
        <w:spacing w:after="0" w:line="360" w:lineRule="auto"/>
        <w:rPr>
          <w:rFonts w:ascii="Arial" w:eastAsia="Times New Roman" w:hAnsi="Arial" w:cs="Arial"/>
          <w:color w:val="595959"/>
          <w:sz w:val="24"/>
          <w:szCs w:val="24"/>
          <w:lang w:eastAsia="en-GB"/>
        </w:rPr>
      </w:pPr>
    </w:p>
    <w:p w14:paraId="16D73FAC" w14:textId="5AB263ED" w:rsidR="006747DB" w:rsidRPr="006747DB" w:rsidRDefault="006747DB" w:rsidP="006747DB">
      <w:pPr>
        <w:suppressAutoHyphens w:val="0"/>
        <w:spacing w:after="0" w:line="360" w:lineRule="auto"/>
        <w:rPr>
          <w:rFonts w:ascii="Arial" w:eastAsia="Times New Roman" w:hAnsi="Arial" w:cs="Arial"/>
          <w:color w:val="595959"/>
          <w:sz w:val="24"/>
          <w:szCs w:val="24"/>
          <w:lang w:eastAsia="en-GB"/>
        </w:rPr>
      </w:pPr>
    </w:p>
    <w:p w14:paraId="271812BF" w14:textId="49ABB753" w:rsidR="009F4D39" w:rsidRPr="006747DB" w:rsidRDefault="009F4D39" w:rsidP="006747DB">
      <w:pPr>
        <w:spacing w:line="360" w:lineRule="auto"/>
        <w:rPr>
          <w:rFonts w:ascii="Arial" w:eastAsia="Times New Roman" w:hAnsi="Arial" w:cs="Arial"/>
          <w:color w:val="595959"/>
          <w:sz w:val="24"/>
          <w:szCs w:val="24"/>
          <w:lang w:eastAsia="en-GB"/>
        </w:rPr>
      </w:pPr>
    </w:p>
    <w:p w14:paraId="5BA4B7A7" w14:textId="77777777" w:rsidR="006747DB" w:rsidRPr="006747DB" w:rsidRDefault="006747DB" w:rsidP="006747DB">
      <w:pPr>
        <w:spacing w:line="360" w:lineRule="auto"/>
        <w:rPr>
          <w:rFonts w:ascii="Arial" w:hAnsi="Arial" w:cs="Arial"/>
          <w:sz w:val="24"/>
          <w:szCs w:val="24"/>
        </w:rPr>
      </w:pPr>
    </w:p>
    <w:p w14:paraId="7A344010" w14:textId="77777777" w:rsidR="004C3C91" w:rsidRPr="006747DB" w:rsidRDefault="004C3C91" w:rsidP="006747DB">
      <w:pPr>
        <w:spacing w:line="360" w:lineRule="auto"/>
        <w:rPr>
          <w:rFonts w:ascii="Arial" w:hAnsi="Arial" w:cs="Arial"/>
          <w:sz w:val="24"/>
          <w:szCs w:val="24"/>
        </w:rPr>
      </w:pPr>
    </w:p>
    <w:p w14:paraId="321A8EF8" w14:textId="500EC295" w:rsidR="00F20745" w:rsidRPr="006747DB" w:rsidRDefault="00F20745" w:rsidP="006747DB">
      <w:pPr>
        <w:spacing w:line="360" w:lineRule="auto"/>
        <w:rPr>
          <w:rFonts w:ascii="Arial" w:hAnsi="Arial" w:cs="Arial"/>
          <w:sz w:val="24"/>
          <w:szCs w:val="24"/>
          <w:u w:val="single"/>
        </w:rPr>
      </w:pPr>
    </w:p>
    <w:p w14:paraId="614BAFFC" w14:textId="2A037118" w:rsidR="004C3C91" w:rsidRPr="006747DB" w:rsidRDefault="004C3C91" w:rsidP="006747DB">
      <w:pPr>
        <w:spacing w:line="360" w:lineRule="auto"/>
        <w:rPr>
          <w:rFonts w:ascii="Arial" w:hAnsi="Arial" w:cs="Arial"/>
          <w:sz w:val="24"/>
          <w:szCs w:val="24"/>
          <w:u w:val="single"/>
        </w:rPr>
      </w:pPr>
    </w:p>
    <w:p w14:paraId="74450C71" w14:textId="51DAB3B9" w:rsidR="0005766B" w:rsidRPr="006747DB" w:rsidRDefault="0005766B" w:rsidP="006747DB">
      <w:pPr>
        <w:spacing w:line="360" w:lineRule="auto"/>
        <w:rPr>
          <w:rFonts w:ascii="Arial" w:hAnsi="Arial" w:cs="Arial"/>
          <w:sz w:val="24"/>
          <w:szCs w:val="24"/>
          <w:u w:val="single"/>
        </w:rPr>
      </w:pPr>
    </w:p>
    <w:p w14:paraId="4E2D93AD" w14:textId="0C36F3D5" w:rsidR="00F05956" w:rsidRPr="006747DB" w:rsidRDefault="00F05956" w:rsidP="006747DB">
      <w:pPr>
        <w:spacing w:line="360" w:lineRule="auto"/>
        <w:rPr>
          <w:rFonts w:ascii="Arial" w:hAnsi="Arial" w:cs="Arial"/>
          <w:sz w:val="24"/>
          <w:szCs w:val="24"/>
          <w:u w:val="single"/>
        </w:rPr>
      </w:pPr>
    </w:p>
    <w:p w14:paraId="3334F7C3" w14:textId="1211D553" w:rsidR="00586CB7" w:rsidRPr="006747DB" w:rsidRDefault="00586CB7" w:rsidP="006747DB">
      <w:pPr>
        <w:spacing w:line="360" w:lineRule="auto"/>
        <w:rPr>
          <w:rFonts w:ascii="Arial" w:hAnsi="Arial" w:cs="Arial"/>
          <w:sz w:val="24"/>
          <w:szCs w:val="24"/>
          <w:u w:val="single"/>
        </w:rPr>
      </w:pPr>
    </w:p>
    <w:p w14:paraId="513190B1" w14:textId="7588B156" w:rsidR="00586CB7" w:rsidRPr="006747DB" w:rsidRDefault="00586CB7" w:rsidP="006747DB">
      <w:pPr>
        <w:spacing w:line="360" w:lineRule="auto"/>
        <w:rPr>
          <w:rFonts w:ascii="Arial" w:hAnsi="Arial" w:cs="Arial"/>
          <w:sz w:val="24"/>
          <w:szCs w:val="24"/>
          <w:u w:val="single"/>
        </w:rPr>
      </w:pPr>
    </w:p>
    <w:p w14:paraId="180824AF" w14:textId="77777777" w:rsidR="00586CB7" w:rsidRPr="006747DB" w:rsidRDefault="00586CB7" w:rsidP="006747DB">
      <w:pPr>
        <w:spacing w:line="360" w:lineRule="auto"/>
        <w:rPr>
          <w:rFonts w:ascii="Arial" w:hAnsi="Arial" w:cs="Arial"/>
          <w:sz w:val="24"/>
          <w:szCs w:val="24"/>
          <w:u w:val="single"/>
        </w:rPr>
      </w:pPr>
    </w:p>
    <w:p w14:paraId="01C0EEF4" w14:textId="2FAB38EE" w:rsidR="00F20745" w:rsidRPr="006747DB" w:rsidRDefault="00F20745" w:rsidP="006747DB">
      <w:pPr>
        <w:spacing w:line="360" w:lineRule="auto"/>
        <w:jc w:val="center"/>
        <w:rPr>
          <w:rFonts w:ascii="Arial" w:hAnsi="Arial" w:cs="Arial"/>
          <w:b/>
          <w:bCs/>
          <w:sz w:val="24"/>
          <w:szCs w:val="24"/>
          <w:u w:val="single"/>
        </w:rPr>
      </w:pPr>
      <w:r w:rsidRPr="006747DB">
        <w:rPr>
          <w:rFonts w:ascii="Arial" w:hAnsi="Arial" w:cs="Arial"/>
          <w:b/>
          <w:bCs/>
          <w:sz w:val="24"/>
          <w:szCs w:val="24"/>
          <w:u w:val="single"/>
        </w:rPr>
        <w:t>References</w:t>
      </w:r>
    </w:p>
    <w:p w14:paraId="56B3C8E4" w14:textId="77777777" w:rsidR="004C3C91" w:rsidRPr="006747DB" w:rsidRDefault="004C3C91" w:rsidP="006747DB">
      <w:pPr>
        <w:spacing w:line="360" w:lineRule="auto"/>
        <w:jc w:val="center"/>
        <w:rPr>
          <w:rFonts w:ascii="Arial" w:hAnsi="Arial" w:cs="Arial"/>
          <w:sz w:val="24"/>
          <w:szCs w:val="24"/>
          <w:u w:val="single"/>
        </w:rPr>
      </w:pPr>
    </w:p>
    <w:p w14:paraId="66FE8B78" w14:textId="23705C1F" w:rsidR="00CB2A6B" w:rsidRPr="006747DB" w:rsidRDefault="004C3C91" w:rsidP="006747DB">
      <w:pPr>
        <w:spacing w:line="360" w:lineRule="auto"/>
        <w:rPr>
          <w:rFonts w:ascii="Arial" w:hAnsi="Arial" w:cs="Arial"/>
          <w:sz w:val="24"/>
          <w:szCs w:val="24"/>
        </w:rPr>
      </w:pPr>
      <w:r w:rsidRPr="006747DB">
        <w:rPr>
          <w:rFonts w:ascii="Arial" w:hAnsi="Arial" w:cs="Arial"/>
          <w:sz w:val="24"/>
          <w:szCs w:val="24"/>
        </w:rPr>
        <w:t xml:space="preserve">Anon, 2004. </w:t>
      </w:r>
      <w:proofErr w:type="spellStart"/>
      <w:r w:rsidRPr="006747DB">
        <w:rPr>
          <w:rFonts w:ascii="Arial" w:hAnsi="Arial" w:cs="Arial"/>
          <w:sz w:val="24"/>
          <w:szCs w:val="24"/>
        </w:rPr>
        <w:t>M'Naghten</w:t>
      </w:r>
      <w:proofErr w:type="spellEnd"/>
      <w:r w:rsidRPr="006747DB">
        <w:rPr>
          <w:rFonts w:ascii="Arial" w:hAnsi="Arial" w:cs="Arial"/>
          <w:sz w:val="24"/>
          <w:szCs w:val="24"/>
        </w:rPr>
        <w:t xml:space="preserve"> Rules. Australasian </w:t>
      </w:r>
      <w:proofErr w:type="gramStart"/>
      <w:r w:rsidRPr="006747DB">
        <w:rPr>
          <w:rFonts w:ascii="Arial" w:hAnsi="Arial" w:cs="Arial"/>
          <w:sz w:val="24"/>
          <w:szCs w:val="24"/>
        </w:rPr>
        <w:t>psychiatry :</w:t>
      </w:r>
      <w:proofErr w:type="gramEnd"/>
      <w:r w:rsidRPr="006747DB">
        <w:rPr>
          <w:rFonts w:ascii="Arial" w:hAnsi="Arial" w:cs="Arial"/>
          <w:sz w:val="24"/>
          <w:szCs w:val="24"/>
        </w:rPr>
        <w:t xml:space="preserve"> bulletin of the Royal Australian and New Zealand College of Psychiatrists, 38(6), p.478.</w:t>
      </w:r>
    </w:p>
    <w:p w14:paraId="4E5CBA2F" w14:textId="156023F4" w:rsidR="00D91498" w:rsidRPr="006747DB" w:rsidRDefault="00D91498" w:rsidP="006747DB">
      <w:pPr>
        <w:spacing w:line="360" w:lineRule="auto"/>
        <w:rPr>
          <w:rFonts w:ascii="Arial" w:hAnsi="Arial" w:cs="Arial"/>
          <w:color w:val="000000"/>
          <w:sz w:val="24"/>
          <w:szCs w:val="24"/>
          <w:shd w:val="clear" w:color="auto" w:fill="FFFFFF"/>
        </w:rPr>
      </w:pPr>
      <w:proofErr w:type="spellStart"/>
      <w:r w:rsidRPr="006747DB">
        <w:rPr>
          <w:rFonts w:ascii="Arial" w:hAnsi="Arial" w:cs="Arial"/>
          <w:color w:val="000000"/>
          <w:sz w:val="24"/>
          <w:szCs w:val="24"/>
          <w:shd w:val="clear" w:color="auto" w:fill="FFFFFF"/>
        </w:rPr>
        <w:t>Bijalwan</w:t>
      </w:r>
      <w:proofErr w:type="spellEnd"/>
      <w:r w:rsidRPr="006747DB">
        <w:rPr>
          <w:rFonts w:ascii="Arial" w:hAnsi="Arial" w:cs="Arial"/>
          <w:color w:val="000000"/>
          <w:sz w:val="24"/>
          <w:szCs w:val="24"/>
          <w:shd w:val="clear" w:color="auto" w:fill="FFFFFF"/>
        </w:rPr>
        <w:t>, A., 2018. Importance of medical evidence. </w:t>
      </w:r>
      <w:r w:rsidRPr="006747DB">
        <w:rPr>
          <w:rFonts w:ascii="Arial" w:hAnsi="Arial" w:cs="Arial"/>
          <w:i/>
          <w:iCs/>
          <w:color w:val="000000"/>
          <w:sz w:val="24"/>
          <w:szCs w:val="24"/>
          <w:shd w:val="clear" w:color="auto" w:fill="FFFFFF"/>
        </w:rPr>
        <w:t xml:space="preserve">Criminal law </w:t>
      </w:r>
      <w:proofErr w:type="gramStart"/>
      <w:r w:rsidRPr="006747DB">
        <w:rPr>
          <w:rFonts w:ascii="Arial" w:hAnsi="Arial" w:cs="Arial"/>
          <w:i/>
          <w:iCs/>
          <w:color w:val="000000"/>
          <w:sz w:val="24"/>
          <w:szCs w:val="24"/>
          <w:shd w:val="clear" w:color="auto" w:fill="FFFFFF"/>
        </w:rPr>
        <w:t>review</w:t>
      </w:r>
      <w:r w:rsidRPr="006747DB">
        <w:rPr>
          <w:rFonts w:ascii="Arial" w:hAnsi="Arial" w:cs="Arial"/>
          <w:color w:val="000000"/>
          <w:sz w:val="24"/>
          <w:szCs w:val="24"/>
          <w:shd w:val="clear" w:color="auto" w:fill="FFFFFF"/>
        </w:rPr>
        <w:t>,.</w:t>
      </w:r>
      <w:proofErr w:type="gramEnd"/>
      <w:r w:rsidRPr="006747DB">
        <w:rPr>
          <w:rFonts w:ascii="Arial" w:hAnsi="Arial" w:cs="Arial"/>
          <w:color w:val="000000"/>
          <w:sz w:val="24"/>
          <w:szCs w:val="24"/>
          <w:shd w:val="clear" w:color="auto" w:fill="FFFFFF"/>
        </w:rPr>
        <w:t xml:space="preserve"> </w:t>
      </w:r>
    </w:p>
    <w:p w14:paraId="24501711" w14:textId="5B9EC7EE" w:rsidR="00816442" w:rsidRPr="006747DB" w:rsidRDefault="00816442" w:rsidP="006747DB">
      <w:pPr>
        <w:spacing w:line="360" w:lineRule="auto"/>
        <w:rPr>
          <w:rFonts w:ascii="Arial" w:hAnsi="Arial" w:cs="Arial"/>
          <w:color w:val="000000"/>
          <w:sz w:val="24"/>
          <w:szCs w:val="24"/>
          <w:shd w:val="clear" w:color="auto" w:fill="FFFFFF"/>
        </w:rPr>
      </w:pPr>
      <w:r w:rsidRPr="006747DB">
        <w:rPr>
          <w:rFonts w:ascii="Arial" w:hAnsi="Arial" w:cs="Arial"/>
          <w:color w:val="000000"/>
          <w:sz w:val="24"/>
          <w:szCs w:val="24"/>
          <w:shd w:val="clear" w:color="auto" w:fill="FFFFFF"/>
        </w:rPr>
        <w:t>Hallett, N</w:t>
      </w:r>
      <w:r w:rsidR="00D516A1" w:rsidRPr="006747DB">
        <w:rPr>
          <w:rFonts w:ascii="Arial" w:hAnsi="Arial" w:cs="Arial"/>
          <w:color w:val="000000"/>
          <w:sz w:val="24"/>
          <w:szCs w:val="24"/>
          <w:shd w:val="clear" w:color="auto" w:fill="FFFFFF"/>
        </w:rPr>
        <w:t>.</w:t>
      </w:r>
      <w:r w:rsidRPr="006747DB">
        <w:rPr>
          <w:rFonts w:ascii="Arial" w:hAnsi="Arial" w:cs="Arial"/>
          <w:color w:val="000000"/>
          <w:sz w:val="24"/>
          <w:szCs w:val="24"/>
          <w:shd w:val="clear" w:color="auto" w:fill="FFFFFF"/>
        </w:rPr>
        <w:t>, 2018. Psychiatric evidence in Diminished Responsibility. Journal of criminal law (Hertford), 82(6), pp.442–456.</w:t>
      </w:r>
    </w:p>
    <w:p w14:paraId="30742721" w14:textId="5331B95F" w:rsidR="00E03C92" w:rsidRPr="006747DB" w:rsidRDefault="00E03C92" w:rsidP="006747DB">
      <w:pPr>
        <w:spacing w:line="360" w:lineRule="auto"/>
        <w:rPr>
          <w:rFonts w:ascii="Arial" w:hAnsi="Arial" w:cs="Arial"/>
          <w:color w:val="000000"/>
          <w:sz w:val="24"/>
          <w:szCs w:val="24"/>
          <w:shd w:val="clear" w:color="auto" w:fill="FFFFFF"/>
        </w:rPr>
      </w:pPr>
      <w:r w:rsidRPr="006747DB">
        <w:rPr>
          <w:rFonts w:ascii="Arial" w:hAnsi="Arial" w:cs="Arial"/>
          <w:color w:val="000000"/>
          <w:sz w:val="24"/>
          <w:szCs w:val="24"/>
          <w:shd w:val="clear" w:color="auto" w:fill="FFFFFF"/>
        </w:rPr>
        <w:t>Lawcom.gov.uk. 2021. </w:t>
      </w:r>
      <w:r w:rsidRPr="006747DB">
        <w:rPr>
          <w:rFonts w:ascii="Arial" w:hAnsi="Arial" w:cs="Arial"/>
          <w:i/>
          <w:iCs/>
          <w:color w:val="000000"/>
          <w:sz w:val="24"/>
          <w:szCs w:val="24"/>
          <w:shd w:val="clear" w:color="auto" w:fill="FFFFFF"/>
        </w:rPr>
        <w:t>Insanity and Automatism | Law Commission</w:t>
      </w:r>
      <w:r w:rsidRPr="006747DB">
        <w:rPr>
          <w:rFonts w:ascii="Arial" w:hAnsi="Arial" w:cs="Arial"/>
          <w:color w:val="000000"/>
          <w:sz w:val="24"/>
          <w:szCs w:val="24"/>
          <w:shd w:val="clear" w:color="auto" w:fill="FFFFFF"/>
        </w:rPr>
        <w:t xml:space="preserve">. [online] Available at: &lt;https://www.lawcom.gov.uk/project/insanity-and-automatism/&gt; [Accessed 5 May 2021]. </w:t>
      </w:r>
    </w:p>
    <w:p w14:paraId="0EDAE6F6" w14:textId="651A2A0F" w:rsidR="00C45503" w:rsidRPr="006747DB" w:rsidRDefault="00C45503" w:rsidP="006747DB">
      <w:pPr>
        <w:spacing w:line="360" w:lineRule="auto"/>
        <w:rPr>
          <w:rFonts w:ascii="Arial" w:hAnsi="Arial" w:cs="Arial"/>
          <w:sz w:val="24"/>
          <w:szCs w:val="24"/>
          <w:u w:val="single"/>
        </w:rPr>
      </w:pPr>
      <w:r w:rsidRPr="006747DB">
        <w:rPr>
          <w:rFonts w:ascii="Arial" w:hAnsi="Arial" w:cs="Arial"/>
          <w:color w:val="000000"/>
          <w:sz w:val="24"/>
          <w:szCs w:val="24"/>
          <w:shd w:val="clear" w:color="auto" w:fill="FFFFFF"/>
        </w:rPr>
        <w:t>Miller, D. and Miller, C., 2005. On Evidence, Medical and Legal. </w:t>
      </w:r>
      <w:r w:rsidRPr="006747DB">
        <w:rPr>
          <w:rFonts w:ascii="Arial" w:hAnsi="Arial" w:cs="Arial"/>
          <w:i/>
          <w:iCs/>
          <w:color w:val="000000"/>
          <w:sz w:val="24"/>
          <w:szCs w:val="24"/>
          <w:shd w:val="clear" w:color="auto" w:fill="FFFFFF"/>
        </w:rPr>
        <w:t>Journal of American Physicians and Surgeons</w:t>
      </w:r>
      <w:r w:rsidRPr="006747DB">
        <w:rPr>
          <w:rFonts w:ascii="Arial" w:hAnsi="Arial" w:cs="Arial"/>
          <w:color w:val="000000"/>
          <w:sz w:val="24"/>
          <w:szCs w:val="24"/>
          <w:shd w:val="clear" w:color="auto" w:fill="FFFFFF"/>
        </w:rPr>
        <w:t xml:space="preserve">, 10(3), pp.70- 75. </w:t>
      </w:r>
    </w:p>
    <w:p w14:paraId="12A6F8A0" w14:textId="676AD7C9" w:rsidR="00F20745" w:rsidRPr="006747DB" w:rsidRDefault="00F20745" w:rsidP="006747DB">
      <w:pPr>
        <w:spacing w:line="360" w:lineRule="auto"/>
        <w:rPr>
          <w:rFonts w:ascii="Arial" w:hAnsi="Arial" w:cs="Arial"/>
          <w:color w:val="000000"/>
          <w:sz w:val="24"/>
          <w:szCs w:val="24"/>
          <w:shd w:val="clear" w:color="auto" w:fill="FFFFFF"/>
        </w:rPr>
      </w:pPr>
      <w:r w:rsidRPr="006747DB">
        <w:rPr>
          <w:rFonts w:ascii="Arial" w:hAnsi="Arial" w:cs="Arial"/>
          <w:color w:val="000000"/>
          <w:sz w:val="24"/>
          <w:szCs w:val="24"/>
          <w:shd w:val="clear" w:color="auto" w:fill="FFFFFF"/>
        </w:rPr>
        <w:t>Moran, R., 1981. </w:t>
      </w:r>
      <w:r w:rsidRPr="006747DB">
        <w:rPr>
          <w:rFonts w:ascii="Arial" w:hAnsi="Arial" w:cs="Arial"/>
          <w:i/>
          <w:iCs/>
          <w:color w:val="000000"/>
          <w:sz w:val="24"/>
          <w:szCs w:val="24"/>
          <w:shd w:val="clear" w:color="auto" w:fill="FFFFFF"/>
        </w:rPr>
        <w:t>Knowing right from wrong</w:t>
      </w:r>
      <w:r w:rsidRPr="006747DB">
        <w:rPr>
          <w:rFonts w:ascii="Arial" w:hAnsi="Arial" w:cs="Arial"/>
          <w:color w:val="000000"/>
          <w:sz w:val="24"/>
          <w:szCs w:val="24"/>
          <w:shd w:val="clear" w:color="auto" w:fill="FFFFFF"/>
        </w:rPr>
        <w:t xml:space="preserve">. New York: Free Press. </w:t>
      </w:r>
    </w:p>
    <w:p w14:paraId="08E52F10" w14:textId="016C76CB" w:rsidR="00313733" w:rsidRPr="006747DB" w:rsidRDefault="00471EFC" w:rsidP="006747DB">
      <w:pPr>
        <w:spacing w:line="360" w:lineRule="auto"/>
        <w:rPr>
          <w:rFonts w:ascii="Arial" w:hAnsi="Arial" w:cs="Arial"/>
          <w:sz w:val="24"/>
          <w:szCs w:val="24"/>
          <w:u w:val="single"/>
        </w:rPr>
      </w:pPr>
      <w:proofErr w:type="spellStart"/>
      <w:r w:rsidRPr="006747DB">
        <w:rPr>
          <w:rFonts w:ascii="Arial" w:hAnsi="Arial" w:cs="Arial"/>
          <w:color w:val="000000"/>
          <w:sz w:val="24"/>
          <w:szCs w:val="24"/>
          <w:shd w:val="clear" w:color="auto" w:fill="FFFFFF"/>
        </w:rPr>
        <w:t>Shkira</w:t>
      </w:r>
      <w:proofErr w:type="spellEnd"/>
      <w:r w:rsidRPr="006747DB">
        <w:rPr>
          <w:rFonts w:ascii="Arial" w:hAnsi="Arial" w:cs="Arial"/>
          <w:color w:val="000000"/>
          <w:sz w:val="24"/>
          <w:szCs w:val="24"/>
          <w:shd w:val="clear" w:color="auto" w:fill="FFFFFF"/>
        </w:rPr>
        <w:t>, E., 2013. Criminal Liability of Corporations: A Comparative Approach to Corporate Criminal Liability in Common Law and Civil Law Countries. </w:t>
      </w:r>
      <w:r w:rsidRPr="006747DB">
        <w:rPr>
          <w:rFonts w:ascii="Arial" w:hAnsi="Arial" w:cs="Arial"/>
          <w:i/>
          <w:iCs/>
          <w:color w:val="000000"/>
          <w:sz w:val="24"/>
          <w:szCs w:val="24"/>
          <w:shd w:val="clear" w:color="auto" w:fill="FFFFFF"/>
        </w:rPr>
        <w:t xml:space="preserve">SSRN Electronic </w:t>
      </w:r>
      <w:proofErr w:type="gramStart"/>
      <w:r w:rsidRPr="006747DB">
        <w:rPr>
          <w:rFonts w:ascii="Arial" w:hAnsi="Arial" w:cs="Arial"/>
          <w:i/>
          <w:iCs/>
          <w:color w:val="000000"/>
          <w:sz w:val="24"/>
          <w:szCs w:val="24"/>
          <w:shd w:val="clear" w:color="auto" w:fill="FFFFFF"/>
        </w:rPr>
        <w:t>Journal</w:t>
      </w:r>
      <w:r w:rsidRPr="006747DB">
        <w:rPr>
          <w:rFonts w:ascii="Arial" w:hAnsi="Arial" w:cs="Arial"/>
          <w:color w:val="000000"/>
          <w:sz w:val="24"/>
          <w:szCs w:val="24"/>
          <w:shd w:val="clear" w:color="auto" w:fill="FFFFFF"/>
        </w:rPr>
        <w:t>,.</w:t>
      </w:r>
      <w:proofErr w:type="gramEnd"/>
      <w:r w:rsidRPr="006747DB">
        <w:rPr>
          <w:rFonts w:ascii="Arial" w:hAnsi="Arial" w:cs="Arial"/>
          <w:color w:val="000000"/>
          <w:sz w:val="24"/>
          <w:szCs w:val="24"/>
          <w:shd w:val="clear" w:color="auto" w:fill="FFFFFF"/>
        </w:rPr>
        <w:t xml:space="preserve"> </w:t>
      </w:r>
    </w:p>
    <w:p w14:paraId="49415CBE" w14:textId="2D2E45E2" w:rsidR="00F20745" w:rsidRPr="006747DB" w:rsidRDefault="00B37567" w:rsidP="006747DB">
      <w:pPr>
        <w:spacing w:line="360" w:lineRule="auto"/>
        <w:rPr>
          <w:rStyle w:val="Hyperlink"/>
          <w:rFonts w:ascii="Arial" w:hAnsi="Arial" w:cs="Arial"/>
          <w:color w:val="auto"/>
          <w:sz w:val="24"/>
          <w:szCs w:val="24"/>
          <w:u w:val="none"/>
        </w:rPr>
      </w:pPr>
      <w:r w:rsidRPr="006747DB">
        <w:rPr>
          <w:rFonts w:ascii="Arial" w:hAnsi="Arial" w:cs="Arial"/>
          <w:sz w:val="24"/>
          <w:szCs w:val="24"/>
        </w:rPr>
        <w:t>Williams,</w:t>
      </w:r>
      <w:r w:rsidR="00D4200C" w:rsidRPr="006747DB">
        <w:rPr>
          <w:rFonts w:ascii="Arial" w:hAnsi="Arial" w:cs="Arial"/>
          <w:sz w:val="24"/>
          <w:szCs w:val="24"/>
        </w:rPr>
        <w:t xml:space="preserve"> G.,</w:t>
      </w:r>
      <w:r w:rsidRPr="006747DB">
        <w:rPr>
          <w:rFonts w:ascii="Arial" w:hAnsi="Arial" w:cs="Arial"/>
          <w:sz w:val="24"/>
          <w:szCs w:val="24"/>
        </w:rPr>
        <w:t xml:space="preserve"> 1973. R. "v." Quick. Cambridge law journal, 32, p.183. </w:t>
      </w:r>
    </w:p>
    <w:p w14:paraId="042CBAE0" w14:textId="4309D98C" w:rsidR="00F20745" w:rsidRPr="006747DB" w:rsidRDefault="00F20745" w:rsidP="006747DB">
      <w:pPr>
        <w:spacing w:line="360" w:lineRule="auto"/>
        <w:rPr>
          <w:rStyle w:val="Hyperlink"/>
          <w:rFonts w:ascii="Arial" w:hAnsi="Arial" w:cs="Arial"/>
          <w:sz w:val="24"/>
          <w:szCs w:val="24"/>
        </w:rPr>
      </w:pPr>
    </w:p>
    <w:p w14:paraId="6BEBB636" w14:textId="4CBA141A" w:rsidR="00F20745" w:rsidRDefault="00F20745">
      <w:pPr>
        <w:rPr>
          <w:rStyle w:val="Hyperlink"/>
        </w:rPr>
      </w:pPr>
    </w:p>
    <w:p w14:paraId="19A2053C" w14:textId="77AF95D3" w:rsidR="00F20745" w:rsidRDefault="00F20745">
      <w:pPr>
        <w:rPr>
          <w:rStyle w:val="Hyperlink"/>
        </w:rPr>
      </w:pPr>
    </w:p>
    <w:p w14:paraId="2613C759" w14:textId="5FD3795F" w:rsidR="00F20745" w:rsidRDefault="00F20745">
      <w:pPr>
        <w:rPr>
          <w:rStyle w:val="Hyperlink"/>
        </w:rPr>
      </w:pPr>
    </w:p>
    <w:p w14:paraId="4EE41BC2" w14:textId="2009D10C" w:rsidR="00F20745" w:rsidRDefault="00F20745">
      <w:pPr>
        <w:rPr>
          <w:rStyle w:val="Hyperlink"/>
        </w:rPr>
      </w:pPr>
    </w:p>
    <w:p w14:paraId="33A57E98" w14:textId="6EF660C3" w:rsidR="00F20745" w:rsidRDefault="00F20745">
      <w:pPr>
        <w:rPr>
          <w:rStyle w:val="Hyperlink"/>
        </w:rPr>
      </w:pPr>
    </w:p>
    <w:p w14:paraId="7CEB06FB" w14:textId="5F77CBFC" w:rsidR="00F20745" w:rsidRDefault="00F20745">
      <w:pPr>
        <w:rPr>
          <w:rStyle w:val="Hyperlink"/>
        </w:rPr>
      </w:pPr>
    </w:p>
    <w:p w14:paraId="11D965AE" w14:textId="5C1E8399" w:rsidR="00F20745" w:rsidRDefault="00F20745">
      <w:pPr>
        <w:rPr>
          <w:rStyle w:val="Hyperlink"/>
        </w:rPr>
      </w:pPr>
    </w:p>
    <w:p w14:paraId="19AB780D" w14:textId="62293AAD" w:rsidR="00F20745" w:rsidRDefault="00F20745">
      <w:pPr>
        <w:rPr>
          <w:rStyle w:val="Hyperlink"/>
        </w:rPr>
      </w:pPr>
    </w:p>
    <w:p w14:paraId="62BCE247" w14:textId="0341990F" w:rsidR="00F20745" w:rsidRDefault="00F20745">
      <w:pPr>
        <w:rPr>
          <w:rStyle w:val="Hyperlink"/>
        </w:rPr>
      </w:pPr>
    </w:p>
    <w:p w14:paraId="06999112" w14:textId="4C5F10FE" w:rsidR="00F20745" w:rsidRDefault="00F20745">
      <w:pPr>
        <w:rPr>
          <w:rStyle w:val="Hyperlink"/>
        </w:rPr>
      </w:pPr>
    </w:p>
    <w:p w14:paraId="761BCC9B" w14:textId="23856041" w:rsidR="00F20745" w:rsidRDefault="00F20745">
      <w:pPr>
        <w:rPr>
          <w:rStyle w:val="Hyperlink"/>
        </w:rPr>
      </w:pPr>
    </w:p>
    <w:p w14:paraId="4ECA6086" w14:textId="44E5D663" w:rsidR="00F20745" w:rsidRDefault="00F20745">
      <w:pPr>
        <w:rPr>
          <w:rStyle w:val="Hyperlink"/>
        </w:rPr>
      </w:pPr>
    </w:p>
    <w:p w14:paraId="405E6869" w14:textId="00D852D3" w:rsidR="00F20745" w:rsidRDefault="00F20745">
      <w:pPr>
        <w:rPr>
          <w:rStyle w:val="Hyperlink"/>
        </w:rPr>
      </w:pPr>
    </w:p>
    <w:p w14:paraId="05EE117E" w14:textId="1921C207" w:rsidR="00F20745" w:rsidRDefault="00F20745">
      <w:pPr>
        <w:rPr>
          <w:rStyle w:val="Hyperlink"/>
        </w:rPr>
      </w:pPr>
    </w:p>
    <w:p w14:paraId="0EE65B9D" w14:textId="77777777" w:rsidR="00F20745" w:rsidRDefault="00F20745"/>
    <w:sectPr w:rsidR="00F20745">
      <w:head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1E8DF" w14:textId="77777777" w:rsidR="00AC6991" w:rsidRDefault="00AC6991">
      <w:pPr>
        <w:spacing w:after="0" w:line="240" w:lineRule="auto"/>
      </w:pPr>
      <w:r>
        <w:separator/>
      </w:r>
    </w:p>
  </w:endnote>
  <w:endnote w:type="continuationSeparator" w:id="0">
    <w:p w14:paraId="657AF331" w14:textId="77777777" w:rsidR="00AC6991" w:rsidRDefault="00AC6991">
      <w:pPr>
        <w:spacing w:after="0" w:line="240" w:lineRule="auto"/>
      </w:pPr>
      <w:r>
        <w:continuationSeparator/>
      </w:r>
    </w:p>
  </w:endnote>
  <w:endnote w:type="continuationNotice" w:id="1">
    <w:p w14:paraId="33320069" w14:textId="77777777" w:rsidR="00AC6991" w:rsidRDefault="00AC69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097D5" w14:textId="77777777" w:rsidR="00AC6991" w:rsidRDefault="00AC6991">
      <w:pPr>
        <w:spacing w:after="0" w:line="240" w:lineRule="auto"/>
      </w:pPr>
      <w:r>
        <w:rPr>
          <w:color w:val="000000"/>
        </w:rPr>
        <w:separator/>
      </w:r>
    </w:p>
  </w:footnote>
  <w:footnote w:type="continuationSeparator" w:id="0">
    <w:p w14:paraId="77DBD35F" w14:textId="77777777" w:rsidR="00AC6991" w:rsidRDefault="00AC6991">
      <w:pPr>
        <w:spacing w:after="0" w:line="240" w:lineRule="auto"/>
      </w:pPr>
      <w:r>
        <w:continuationSeparator/>
      </w:r>
    </w:p>
  </w:footnote>
  <w:footnote w:type="continuationNotice" w:id="1">
    <w:p w14:paraId="4EB9FED1" w14:textId="77777777" w:rsidR="00AC6991" w:rsidRDefault="00AC69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728588"/>
      <w:docPartObj>
        <w:docPartGallery w:val="Page Numbers (Top of Page)"/>
        <w:docPartUnique/>
      </w:docPartObj>
    </w:sdtPr>
    <w:sdtEndPr>
      <w:rPr>
        <w:noProof/>
      </w:rPr>
    </w:sdtEndPr>
    <w:sdtContent>
      <w:p w14:paraId="25950752" w14:textId="6C9B2B34" w:rsidR="006736A7" w:rsidRDefault="006736A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82E1DA9" w14:textId="77777777" w:rsidR="006736A7" w:rsidRDefault="006736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E031F"/>
    <w:multiLevelType w:val="hybridMultilevel"/>
    <w:tmpl w:val="CF44E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BF1C0D"/>
    <w:multiLevelType w:val="multilevel"/>
    <w:tmpl w:val="A750215E"/>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625"/>
    <w:rsid w:val="00001F5D"/>
    <w:rsid w:val="000074A9"/>
    <w:rsid w:val="0003388C"/>
    <w:rsid w:val="00047E32"/>
    <w:rsid w:val="00054B6D"/>
    <w:rsid w:val="0005766B"/>
    <w:rsid w:val="00065625"/>
    <w:rsid w:val="00065D1B"/>
    <w:rsid w:val="00074076"/>
    <w:rsid w:val="000760AE"/>
    <w:rsid w:val="0007709D"/>
    <w:rsid w:val="0008037B"/>
    <w:rsid w:val="0009237C"/>
    <w:rsid w:val="000A660E"/>
    <w:rsid w:val="000B1D15"/>
    <w:rsid w:val="000C002D"/>
    <w:rsid w:val="000C37C2"/>
    <w:rsid w:val="000C5032"/>
    <w:rsid w:val="000C64C5"/>
    <w:rsid w:val="000D4EEC"/>
    <w:rsid w:val="000D798F"/>
    <w:rsid w:val="000E02BB"/>
    <w:rsid w:val="000E4A5C"/>
    <w:rsid w:val="000F1993"/>
    <w:rsid w:val="000F5147"/>
    <w:rsid w:val="001037EA"/>
    <w:rsid w:val="00111C9C"/>
    <w:rsid w:val="00112A92"/>
    <w:rsid w:val="00113D2F"/>
    <w:rsid w:val="00115AA3"/>
    <w:rsid w:val="001239F5"/>
    <w:rsid w:val="00123CFE"/>
    <w:rsid w:val="0012791B"/>
    <w:rsid w:val="00133BFD"/>
    <w:rsid w:val="00134743"/>
    <w:rsid w:val="00134EEE"/>
    <w:rsid w:val="00140D06"/>
    <w:rsid w:val="00142908"/>
    <w:rsid w:val="00142C15"/>
    <w:rsid w:val="00161E6B"/>
    <w:rsid w:val="00163137"/>
    <w:rsid w:val="0017342C"/>
    <w:rsid w:val="00175448"/>
    <w:rsid w:val="00177D74"/>
    <w:rsid w:val="001825D7"/>
    <w:rsid w:val="00192E4D"/>
    <w:rsid w:val="0019684E"/>
    <w:rsid w:val="001A1DD7"/>
    <w:rsid w:val="001A2C45"/>
    <w:rsid w:val="001A3323"/>
    <w:rsid w:val="001C3119"/>
    <w:rsid w:val="001C5B06"/>
    <w:rsid w:val="001E295B"/>
    <w:rsid w:val="001E5902"/>
    <w:rsid w:val="001F4045"/>
    <w:rsid w:val="001F7E6F"/>
    <w:rsid w:val="002028AE"/>
    <w:rsid w:val="00203EB6"/>
    <w:rsid w:val="002049F7"/>
    <w:rsid w:val="00213441"/>
    <w:rsid w:val="0021753B"/>
    <w:rsid w:val="002230A2"/>
    <w:rsid w:val="00224A0F"/>
    <w:rsid w:val="00256A7C"/>
    <w:rsid w:val="00260951"/>
    <w:rsid w:val="00265E4C"/>
    <w:rsid w:val="00270BEE"/>
    <w:rsid w:val="00284AC5"/>
    <w:rsid w:val="002A142D"/>
    <w:rsid w:val="002A1482"/>
    <w:rsid w:val="002A36D3"/>
    <w:rsid w:val="002A6678"/>
    <w:rsid w:val="002C0C06"/>
    <w:rsid w:val="002C6857"/>
    <w:rsid w:val="002D6044"/>
    <w:rsid w:val="002D709E"/>
    <w:rsid w:val="002D78D6"/>
    <w:rsid w:val="002F3826"/>
    <w:rsid w:val="0030584E"/>
    <w:rsid w:val="00313733"/>
    <w:rsid w:val="0031373F"/>
    <w:rsid w:val="00313C82"/>
    <w:rsid w:val="0032004C"/>
    <w:rsid w:val="0032586B"/>
    <w:rsid w:val="00342990"/>
    <w:rsid w:val="0035082C"/>
    <w:rsid w:val="003524ED"/>
    <w:rsid w:val="0036111E"/>
    <w:rsid w:val="00363676"/>
    <w:rsid w:val="003646D9"/>
    <w:rsid w:val="00367155"/>
    <w:rsid w:val="003704C1"/>
    <w:rsid w:val="00372B4A"/>
    <w:rsid w:val="00377A88"/>
    <w:rsid w:val="00380D10"/>
    <w:rsid w:val="00384E70"/>
    <w:rsid w:val="003A087A"/>
    <w:rsid w:val="003A0B5D"/>
    <w:rsid w:val="003A4AB9"/>
    <w:rsid w:val="003A594D"/>
    <w:rsid w:val="003B019B"/>
    <w:rsid w:val="003B725A"/>
    <w:rsid w:val="003C3565"/>
    <w:rsid w:val="003D0AE9"/>
    <w:rsid w:val="003F62AD"/>
    <w:rsid w:val="004078C3"/>
    <w:rsid w:val="00413213"/>
    <w:rsid w:val="00421BA7"/>
    <w:rsid w:val="00446489"/>
    <w:rsid w:val="00446B25"/>
    <w:rsid w:val="0045087D"/>
    <w:rsid w:val="00452FBF"/>
    <w:rsid w:val="004554CB"/>
    <w:rsid w:val="00471EFC"/>
    <w:rsid w:val="004776F1"/>
    <w:rsid w:val="004A790E"/>
    <w:rsid w:val="004B0710"/>
    <w:rsid w:val="004B4AE3"/>
    <w:rsid w:val="004C3C91"/>
    <w:rsid w:val="004D405E"/>
    <w:rsid w:val="004E2AC5"/>
    <w:rsid w:val="004E2B15"/>
    <w:rsid w:val="004E6ADD"/>
    <w:rsid w:val="004F1F89"/>
    <w:rsid w:val="0050214D"/>
    <w:rsid w:val="005047F9"/>
    <w:rsid w:val="00504DDD"/>
    <w:rsid w:val="00513108"/>
    <w:rsid w:val="00515291"/>
    <w:rsid w:val="00522558"/>
    <w:rsid w:val="005226C0"/>
    <w:rsid w:val="005261B0"/>
    <w:rsid w:val="00526908"/>
    <w:rsid w:val="005419D9"/>
    <w:rsid w:val="00542042"/>
    <w:rsid w:val="00544617"/>
    <w:rsid w:val="00550737"/>
    <w:rsid w:val="00553CC4"/>
    <w:rsid w:val="005614E9"/>
    <w:rsid w:val="00562738"/>
    <w:rsid w:val="00566F72"/>
    <w:rsid w:val="00572055"/>
    <w:rsid w:val="005729E5"/>
    <w:rsid w:val="00572A24"/>
    <w:rsid w:val="00586CB7"/>
    <w:rsid w:val="0059051B"/>
    <w:rsid w:val="005948AE"/>
    <w:rsid w:val="005A56AC"/>
    <w:rsid w:val="005B5CA8"/>
    <w:rsid w:val="005C0251"/>
    <w:rsid w:val="005D2388"/>
    <w:rsid w:val="005F30BD"/>
    <w:rsid w:val="00600E3C"/>
    <w:rsid w:val="00620DA2"/>
    <w:rsid w:val="006275F2"/>
    <w:rsid w:val="00635FA5"/>
    <w:rsid w:val="006360F8"/>
    <w:rsid w:val="00637293"/>
    <w:rsid w:val="00644EB9"/>
    <w:rsid w:val="00654E0D"/>
    <w:rsid w:val="00655A03"/>
    <w:rsid w:val="006736A7"/>
    <w:rsid w:val="00674300"/>
    <w:rsid w:val="006747DB"/>
    <w:rsid w:val="0067503D"/>
    <w:rsid w:val="0067581E"/>
    <w:rsid w:val="00682AA2"/>
    <w:rsid w:val="00684697"/>
    <w:rsid w:val="00684E29"/>
    <w:rsid w:val="00696D12"/>
    <w:rsid w:val="006A4513"/>
    <w:rsid w:val="006A7ABF"/>
    <w:rsid w:val="006B016E"/>
    <w:rsid w:val="006B0EB1"/>
    <w:rsid w:val="006B6500"/>
    <w:rsid w:val="006B65CD"/>
    <w:rsid w:val="006C5B0C"/>
    <w:rsid w:val="006E163F"/>
    <w:rsid w:val="006E5806"/>
    <w:rsid w:val="00704E6C"/>
    <w:rsid w:val="00704E7E"/>
    <w:rsid w:val="0072030D"/>
    <w:rsid w:val="0072374D"/>
    <w:rsid w:val="00727A58"/>
    <w:rsid w:val="00730271"/>
    <w:rsid w:val="00731114"/>
    <w:rsid w:val="00731B23"/>
    <w:rsid w:val="00745093"/>
    <w:rsid w:val="0074530B"/>
    <w:rsid w:val="00750FBD"/>
    <w:rsid w:val="00760552"/>
    <w:rsid w:val="00762BA2"/>
    <w:rsid w:val="007665AA"/>
    <w:rsid w:val="007709CE"/>
    <w:rsid w:val="00774E96"/>
    <w:rsid w:val="00774F60"/>
    <w:rsid w:val="00777D8F"/>
    <w:rsid w:val="007936A9"/>
    <w:rsid w:val="007A405A"/>
    <w:rsid w:val="007A6984"/>
    <w:rsid w:val="007A7ACB"/>
    <w:rsid w:val="007D43CB"/>
    <w:rsid w:val="007E349B"/>
    <w:rsid w:val="007E4D66"/>
    <w:rsid w:val="007E6630"/>
    <w:rsid w:val="007F051B"/>
    <w:rsid w:val="00812793"/>
    <w:rsid w:val="008146BC"/>
    <w:rsid w:val="00816442"/>
    <w:rsid w:val="00820949"/>
    <w:rsid w:val="008409BD"/>
    <w:rsid w:val="00845BDD"/>
    <w:rsid w:val="00845EDC"/>
    <w:rsid w:val="00846CB3"/>
    <w:rsid w:val="00847208"/>
    <w:rsid w:val="00850D79"/>
    <w:rsid w:val="00865A6A"/>
    <w:rsid w:val="00893EE4"/>
    <w:rsid w:val="00895E7C"/>
    <w:rsid w:val="008A7BEF"/>
    <w:rsid w:val="008B69AD"/>
    <w:rsid w:val="008B704C"/>
    <w:rsid w:val="008B7403"/>
    <w:rsid w:val="008C0680"/>
    <w:rsid w:val="008C4CE8"/>
    <w:rsid w:val="008C511F"/>
    <w:rsid w:val="008D38D4"/>
    <w:rsid w:val="008D46F9"/>
    <w:rsid w:val="008E56E5"/>
    <w:rsid w:val="008F26C4"/>
    <w:rsid w:val="008F52A1"/>
    <w:rsid w:val="00900483"/>
    <w:rsid w:val="00914595"/>
    <w:rsid w:val="00914E95"/>
    <w:rsid w:val="0092067D"/>
    <w:rsid w:val="0093149B"/>
    <w:rsid w:val="00932B3E"/>
    <w:rsid w:val="00937A95"/>
    <w:rsid w:val="00943ED3"/>
    <w:rsid w:val="00950B4C"/>
    <w:rsid w:val="00967580"/>
    <w:rsid w:val="00975D01"/>
    <w:rsid w:val="009870BA"/>
    <w:rsid w:val="00996595"/>
    <w:rsid w:val="00996FB0"/>
    <w:rsid w:val="009B0A5A"/>
    <w:rsid w:val="009B7279"/>
    <w:rsid w:val="009D0C9B"/>
    <w:rsid w:val="009D578E"/>
    <w:rsid w:val="009D7753"/>
    <w:rsid w:val="009E5F2F"/>
    <w:rsid w:val="009F30F0"/>
    <w:rsid w:val="009F4D39"/>
    <w:rsid w:val="009F5972"/>
    <w:rsid w:val="00A04F3E"/>
    <w:rsid w:val="00A07AB3"/>
    <w:rsid w:val="00A07C16"/>
    <w:rsid w:val="00A1573E"/>
    <w:rsid w:val="00A31330"/>
    <w:rsid w:val="00A320BD"/>
    <w:rsid w:val="00A358CF"/>
    <w:rsid w:val="00A5318F"/>
    <w:rsid w:val="00A56F1D"/>
    <w:rsid w:val="00A6239E"/>
    <w:rsid w:val="00A64DAE"/>
    <w:rsid w:val="00A70BCB"/>
    <w:rsid w:val="00A73E02"/>
    <w:rsid w:val="00A74263"/>
    <w:rsid w:val="00A75044"/>
    <w:rsid w:val="00A903D8"/>
    <w:rsid w:val="00A9245D"/>
    <w:rsid w:val="00AA711C"/>
    <w:rsid w:val="00AA79EF"/>
    <w:rsid w:val="00AB7D19"/>
    <w:rsid w:val="00AC50D9"/>
    <w:rsid w:val="00AC6991"/>
    <w:rsid w:val="00AC7EC5"/>
    <w:rsid w:val="00AE3DD1"/>
    <w:rsid w:val="00AE73DC"/>
    <w:rsid w:val="00AF3149"/>
    <w:rsid w:val="00B0100D"/>
    <w:rsid w:val="00B03B98"/>
    <w:rsid w:val="00B04094"/>
    <w:rsid w:val="00B06471"/>
    <w:rsid w:val="00B12E73"/>
    <w:rsid w:val="00B1620F"/>
    <w:rsid w:val="00B26CD3"/>
    <w:rsid w:val="00B36EAF"/>
    <w:rsid w:val="00B37567"/>
    <w:rsid w:val="00B47858"/>
    <w:rsid w:val="00B47B7F"/>
    <w:rsid w:val="00B5078B"/>
    <w:rsid w:val="00B61C3C"/>
    <w:rsid w:val="00B64785"/>
    <w:rsid w:val="00B66033"/>
    <w:rsid w:val="00B667B4"/>
    <w:rsid w:val="00B67364"/>
    <w:rsid w:val="00B77DDC"/>
    <w:rsid w:val="00B87AAF"/>
    <w:rsid w:val="00B939B5"/>
    <w:rsid w:val="00BA0675"/>
    <w:rsid w:val="00BA0B9A"/>
    <w:rsid w:val="00BB22B0"/>
    <w:rsid w:val="00BB2781"/>
    <w:rsid w:val="00BB3239"/>
    <w:rsid w:val="00BB7308"/>
    <w:rsid w:val="00BD15BB"/>
    <w:rsid w:val="00BD1644"/>
    <w:rsid w:val="00BD702D"/>
    <w:rsid w:val="00BE262E"/>
    <w:rsid w:val="00BE6034"/>
    <w:rsid w:val="00BF7BFD"/>
    <w:rsid w:val="00C06EE6"/>
    <w:rsid w:val="00C12A1E"/>
    <w:rsid w:val="00C1603C"/>
    <w:rsid w:val="00C22BDD"/>
    <w:rsid w:val="00C2459F"/>
    <w:rsid w:val="00C345DF"/>
    <w:rsid w:val="00C40520"/>
    <w:rsid w:val="00C40A76"/>
    <w:rsid w:val="00C45503"/>
    <w:rsid w:val="00C5037D"/>
    <w:rsid w:val="00C5382F"/>
    <w:rsid w:val="00C566C3"/>
    <w:rsid w:val="00C647FA"/>
    <w:rsid w:val="00C6518B"/>
    <w:rsid w:val="00C70476"/>
    <w:rsid w:val="00C77EE9"/>
    <w:rsid w:val="00C86CD7"/>
    <w:rsid w:val="00CA2E98"/>
    <w:rsid w:val="00CA63FA"/>
    <w:rsid w:val="00CB2A6B"/>
    <w:rsid w:val="00CB400B"/>
    <w:rsid w:val="00CB4653"/>
    <w:rsid w:val="00CB6539"/>
    <w:rsid w:val="00CC1844"/>
    <w:rsid w:val="00CD3D35"/>
    <w:rsid w:val="00CD4F79"/>
    <w:rsid w:val="00CE5311"/>
    <w:rsid w:val="00CE5391"/>
    <w:rsid w:val="00CE6977"/>
    <w:rsid w:val="00CF010B"/>
    <w:rsid w:val="00CF269E"/>
    <w:rsid w:val="00CF6AF3"/>
    <w:rsid w:val="00D07701"/>
    <w:rsid w:val="00D16172"/>
    <w:rsid w:val="00D22CA0"/>
    <w:rsid w:val="00D35F20"/>
    <w:rsid w:val="00D4200C"/>
    <w:rsid w:val="00D50698"/>
    <w:rsid w:val="00D516A1"/>
    <w:rsid w:val="00D558F4"/>
    <w:rsid w:val="00D65AD0"/>
    <w:rsid w:val="00D7288C"/>
    <w:rsid w:val="00D834A6"/>
    <w:rsid w:val="00D842D4"/>
    <w:rsid w:val="00D90640"/>
    <w:rsid w:val="00D91498"/>
    <w:rsid w:val="00DB3846"/>
    <w:rsid w:val="00DC0918"/>
    <w:rsid w:val="00DC659A"/>
    <w:rsid w:val="00DD5AA8"/>
    <w:rsid w:val="00DE3DDE"/>
    <w:rsid w:val="00E03C92"/>
    <w:rsid w:val="00E07455"/>
    <w:rsid w:val="00E13A06"/>
    <w:rsid w:val="00E2615D"/>
    <w:rsid w:val="00E26379"/>
    <w:rsid w:val="00E322B2"/>
    <w:rsid w:val="00E335EB"/>
    <w:rsid w:val="00E36A27"/>
    <w:rsid w:val="00E43FB7"/>
    <w:rsid w:val="00E477B5"/>
    <w:rsid w:val="00E56D6D"/>
    <w:rsid w:val="00E64E00"/>
    <w:rsid w:val="00E720F8"/>
    <w:rsid w:val="00E72C63"/>
    <w:rsid w:val="00E75845"/>
    <w:rsid w:val="00E8088E"/>
    <w:rsid w:val="00E81EC7"/>
    <w:rsid w:val="00E83EA1"/>
    <w:rsid w:val="00E85749"/>
    <w:rsid w:val="00EA2EAC"/>
    <w:rsid w:val="00EB1A1B"/>
    <w:rsid w:val="00ED0D73"/>
    <w:rsid w:val="00ED268C"/>
    <w:rsid w:val="00EE6F9F"/>
    <w:rsid w:val="00EE796F"/>
    <w:rsid w:val="00EF0ACB"/>
    <w:rsid w:val="00EF4D48"/>
    <w:rsid w:val="00F00836"/>
    <w:rsid w:val="00F05956"/>
    <w:rsid w:val="00F10701"/>
    <w:rsid w:val="00F108D5"/>
    <w:rsid w:val="00F123CF"/>
    <w:rsid w:val="00F12BC8"/>
    <w:rsid w:val="00F13DB1"/>
    <w:rsid w:val="00F20745"/>
    <w:rsid w:val="00F24A32"/>
    <w:rsid w:val="00F3065A"/>
    <w:rsid w:val="00F36ADB"/>
    <w:rsid w:val="00F42D3B"/>
    <w:rsid w:val="00F54B00"/>
    <w:rsid w:val="00F85835"/>
    <w:rsid w:val="00F85D6F"/>
    <w:rsid w:val="00F90954"/>
    <w:rsid w:val="00F94FBE"/>
    <w:rsid w:val="00F96077"/>
    <w:rsid w:val="00FB0152"/>
    <w:rsid w:val="00FB1CCE"/>
    <w:rsid w:val="00FD5438"/>
    <w:rsid w:val="00FE2C7B"/>
    <w:rsid w:val="5A23129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46CA3"/>
  <w15:docId w15:val="{48C28001-7DF5-4945-85CB-7EDC10078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Header">
    <w:name w:val="header"/>
    <w:basedOn w:val="Normal"/>
    <w:link w:val="HeaderChar"/>
    <w:uiPriority w:val="99"/>
    <w:unhideWhenUsed/>
    <w:rsid w:val="003C3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565"/>
  </w:style>
  <w:style w:type="paragraph" w:styleId="Footer">
    <w:name w:val="footer"/>
    <w:basedOn w:val="Normal"/>
    <w:link w:val="FooterChar"/>
    <w:uiPriority w:val="99"/>
    <w:unhideWhenUsed/>
    <w:rsid w:val="003C3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565"/>
  </w:style>
  <w:style w:type="paragraph" w:styleId="NormalWeb">
    <w:name w:val="Normal (Web)"/>
    <w:basedOn w:val="Normal"/>
    <w:uiPriority w:val="99"/>
    <w:unhideWhenUsed/>
    <w:rsid w:val="00E07455"/>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A07AB3"/>
    <w:rPr>
      <w:color w:val="954F72" w:themeColor="followedHyperlink"/>
      <w:u w:val="single"/>
    </w:rPr>
  </w:style>
  <w:style w:type="paragraph" w:styleId="ListParagraph">
    <w:name w:val="List Paragraph"/>
    <w:basedOn w:val="Normal"/>
    <w:uiPriority w:val="34"/>
    <w:qFormat/>
    <w:rsid w:val="00E2615D"/>
    <w:pPr>
      <w:ind w:left="720"/>
      <w:contextualSpacing/>
    </w:pPr>
  </w:style>
  <w:style w:type="character" w:styleId="Strong">
    <w:name w:val="Strong"/>
    <w:basedOn w:val="DefaultParagraphFont"/>
    <w:uiPriority w:val="22"/>
    <w:qFormat/>
    <w:rsid w:val="006747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046003">
      <w:bodyDiv w:val="1"/>
      <w:marLeft w:val="0"/>
      <w:marRight w:val="0"/>
      <w:marTop w:val="0"/>
      <w:marBottom w:val="0"/>
      <w:divBdr>
        <w:top w:val="none" w:sz="0" w:space="0" w:color="auto"/>
        <w:left w:val="none" w:sz="0" w:space="0" w:color="auto"/>
        <w:bottom w:val="none" w:sz="0" w:space="0" w:color="auto"/>
        <w:right w:val="none" w:sz="0" w:space="0" w:color="auto"/>
      </w:divBdr>
    </w:div>
    <w:div w:id="2002585244">
      <w:bodyDiv w:val="1"/>
      <w:marLeft w:val="0"/>
      <w:marRight w:val="0"/>
      <w:marTop w:val="0"/>
      <w:marBottom w:val="0"/>
      <w:divBdr>
        <w:top w:val="none" w:sz="0" w:space="0" w:color="auto"/>
        <w:left w:val="none" w:sz="0" w:space="0" w:color="auto"/>
        <w:bottom w:val="none" w:sz="0" w:space="0" w:color="auto"/>
        <w:right w:val="none" w:sz="0" w:space="0" w:color="auto"/>
      </w:divBdr>
    </w:div>
    <w:div w:id="20437435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2" ma:contentTypeDescription="Create a new document." ma:contentTypeScope="" ma:versionID="e77f272eadcf772c397e642eb06ff383">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0dbdf41240259ba1607551ebbd966f21"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BE27B8-A26C-4CB4-9732-3FBB236F914B}">
  <ds:schemaRefs>
    <ds:schemaRef ds:uri="http://schemas.microsoft.com/sharepoint/v3/contenttype/forms"/>
  </ds:schemaRefs>
</ds:datastoreItem>
</file>

<file path=customXml/itemProps2.xml><?xml version="1.0" encoding="utf-8"?>
<ds:datastoreItem xmlns:ds="http://schemas.openxmlformats.org/officeDocument/2006/customXml" ds:itemID="{4DAD16ED-2340-406E-B3F6-A10A2CAE61C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45A6852-E8E9-4E1A-930D-8041B79720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1723</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Khatun (2023148)</dc:creator>
  <dc:description/>
  <cp:lastModifiedBy>Rahima Khatun</cp:lastModifiedBy>
  <cp:revision>4</cp:revision>
  <dcterms:created xsi:type="dcterms:W3CDTF">2021-05-07T21:53:00Z</dcterms:created>
  <dcterms:modified xsi:type="dcterms:W3CDTF">2021-05-07T22:05:00Z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