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CA242" w14:textId="77777777" w:rsidR="0098151C" w:rsidRPr="0094254C" w:rsidRDefault="0098151C" w:rsidP="0094254C">
      <w:pPr>
        <w:spacing w:before="160" w:after="80" w:line="360" w:lineRule="auto"/>
        <w:jc w:val="center"/>
        <w:rPr>
          <w:rFonts w:cs="Calibri"/>
          <w:b/>
          <w:color w:val="000000" w:themeColor="text1"/>
          <w:sz w:val="24"/>
          <w:szCs w:val="24"/>
        </w:rPr>
      </w:pPr>
      <w:r w:rsidRPr="0094254C">
        <w:rPr>
          <w:rFonts w:cs="Calibri"/>
          <w:b/>
          <w:color w:val="000000" w:themeColor="text1"/>
          <w:sz w:val="24"/>
          <w:szCs w:val="24"/>
        </w:rPr>
        <w:t>Module: Introduction to Health and Social Care</w:t>
      </w:r>
    </w:p>
    <w:p w14:paraId="1839BF9B" w14:textId="77777777" w:rsidR="0098151C" w:rsidRPr="0094254C" w:rsidRDefault="0098151C" w:rsidP="0094254C">
      <w:pPr>
        <w:spacing w:before="160" w:after="80" w:line="360" w:lineRule="auto"/>
        <w:jc w:val="center"/>
        <w:rPr>
          <w:rFonts w:cs="Calibri"/>
          <w:b/>
          <w:color w:val="000000" w:themeColor="text1"/>
          <w:sz w:val="24"/>
          <w:szCs w:val="24"/>
        </w:rPr>
      </w:pPr>
      <w:r w:rsidRPr="0094254C">
        <w:rPr>
          <w:rFonts w:cs="Calibri"/>
          <w:b/>
          <w:color w:val="000000" w:themeColor="text1"/>
          <w:sz w:val="24"/>
          <w:szCs w:val="24"/>
        </w:rPr>
        <w:t>Module code: LCHS4003</w:t>
      </w:r>
    </w:p>
    <w:p w14:paraId="7A785A12" w14:textId="77777777" w:rsidR="0098151C" w:rsidRPr="0094254C" w:rsidRDefault="0098151C" w:rsidP="0094254C">
      <w:pPr>
        <w:spacing w:before="160" w:after="80" w:line="360" w:lineRule="auto"/>
        <w:jc w:val="center"/>
        <w:rPr>
          <w:rFonts w:cs="Calibri"/>
          <w:b/>
          <w:color w:val="000000" w:themeColor="text1"/>
          <w:sz w:val="24"/>
          <w:szCs w:val="24"/>
        </w:rPr>
      </w:pPr>
      <w:r w:rsidRPr="0094254C">
        <w:rPr>
          <w:rFonts w:cs="Calibri"/>
          <w:b/>
          <w:color w:val="000000" w:themeColor="text1"/>
          <w:sz w:val="24"/>
          <w:szCs w:val="24"/>
        </w:rPr>
        <w:t>COMPONENT 2</w:t>
      </w:r>
    </w:p>
    <w:p w14:paraId="721DE118" w14:textId="77777777" w:rsidR="0094254C" w:rsidRDefault="0094254C" w:rsidP="0094254C">
      <w:pPr>
        <w:spacing w:before="160" w:after="80" w:line="360" w:lineRule="auto"/>
        <w:jc w:val="center"/>
        <w:rPr>
          <w:rFonts w:cs="Calibri"/>
          <w:color w:val="000000" w:themeColor="text1"/>
          <w:sz w:val="24"/>
          <w:szCs w:val="24"/>
        </w:rPr>
      </w:pPr>
    </w:p>
    <w:p w14:paraId="762470A7" w14:textId="793B46F3" w:rsidR="0098151C" w:rsidRPr="0094254C" w:rsidRDefault="0098151C" w:rsidP="0094254C">
      <w:pPr>
        <w:spacing w:before="160" w:after="80" w:line="360" w:lineRule="auto"/>
        <w:jc w:val="center"/>
        <w:rPr>
          <w:rFonts w:cs="Calibri"/>
          <w:color w:val="000000" w:themeColor="text1"/>
          <w:sz w:val="24"/>
          <w:szCs w:val="24"/>
          <w:u w:val="single"/>
        </w:rPr>
      </w:pPr>
      <w:r w:rsidRPr="0094254C">
        <w:rPr>
          <w:rFonts w:cs="Calibri"/>
          <w:color w:val="000000" w:themeColor="text1"/>
          <w:sz w:val="24"/>
          <w:szCs w:val="24"/>
          <w:u w:val="single"/>
        </w:rPr>
        <w:t xml:space="preserve">Case Study: Mrs Thompson </w:t>
      </w:r>
    </w:p>
    <w:p w14:paraId="249DA8E6" w14:textId="77777777" w:rsidR="0094254C" w:rsidRDefault="0094254C" w:rsidP="0094254C">
      <w:pPr>
        <w:spacing w:before="160" w:after="80" w:line="360" w:lineRule="auto"/>
        <w:jc w:val="center"/>
        <w:rPr>
          <w:rFonts w:cs="Calibri"/>
          <w:color w:val="000000" w:themeColor="text1"/>
          <w:sz w:val="24"/>
          <w:szCs w:val="24"/>
        </w:rPr>
      </w:pPr>
    </w:p>
    <w:p w14:paraId="7C7CBC5F" w14:textId="48D046DC" w:rsidR="0094254C" w:rsidRPr="0094254C" w:rsidRDefault="0094254C" w:rsidP="0094254C">
      <w:pPr>
        <w:spacing w:before="160" w:after="80" w:line="360" w:lineRule="auto"/>
        <w:jc w:val="center"/>
        <w:rPr>
          <w:rFonts w:cs="Calibri"/>
          <w:b/>
          <w:bCs/>
          <w:color w:val="000000" w:themeColor="text1"/>
          <w:sz w:val="24"/>
          <w:szCs w:val="24"/>
        </w:rPr>
      </w:pPr>
      <w:r w:rsidRPr="0094254C">
        <w:rPr>
          <w:rFonts w:cs="Calibri"/>
          <w:b/>
          <w:bCs/>
          <w:color w:val="000000" w:themeColor="text1"/>
          <w:sz w:val="24"/>
          <w:szCs w:val="24"/>
        </w:rPr>
        <w:t>Word count: 1560</w:t>
      </w:r>
    </w:p>
    <w:p w14:paraId="6F02AA48" w14:textId="77777777" w:rsidR="0098151C" w:rsidRPr="0094254C" w:rsidRDefault="0098151C" w:rsidP="0094254C">
      <w:pPr>
        <w:spacing w:line="360" w:lineRule="auto"/>
        <w:rPr>
          <w:rFonts w:cs="Calibri"/>
          <w:color w:val="000000" w:themeColor="text1"/>
          <w:sz w:val="24"/>
          <w:szCs w:val="24"/>
        </w:rPr>
      </w:pPr>
    </w:p>
    <w:p w14:paraId="544B707C" w14:textId="77777777" w:rsidR="0098151C" w:rsidRPr="0094254C" w:rsidRDefault="0098151C" w:rsidP="0094254C">
      <w:pPr>
        <w:spacing w:after="200" w:line="360" w:lineRule="auto"/>
        <w:jc w:val="left"/>
        <w:rPr>
          <w:rFonts w:eastAsiaTheme="majorEastAsia" w:cs="Calibri"/>
          <w:b/>
          <w:bCs/>
          <w:color w:val="20486A"/>
          <w:sz w:val="24"/>
          <w:szCs w:val="24"/>
        </w:rPr>
      </w:pPr>
      <w:r w:rsidRPr="0094254C">
        <w:rPr>
          <w:rFonts w:cs="Calibri"/>
          <w:sz w:val="24"/>
          <w:szCs w:val="24"/>
        </w:rPr>
        <w:br w:type="page"/>
      </w:r>
    </w:p>
    <w:p w14:paraId="6D272747" w14:textId="77777777" w:rsidR="0098151C" w:rsidRPr="0094254C" w:rsidRDefault="0098151C" w:rsidP="0094254C">
      <w:pPr>
        <w:pStyle w:val="Heading1"/>
        <w:numPr>
          <w:ilvl w:val="0"/>
          <w:numId w:val="10"/>
        </w:numPr>
        <w:spacing w:line="360" w:lineRule="auto"/>
        <w:rPr>
          <w:rFonts w:ascii="Calibri" w:hAnsi="Calibri" w:cs="Calibri"/>
          <w:color w:val="000000" w:themeColor="text1"/>
          <w:sz w:val="24"/>
          <w:szCs w:val="24"/>
        </w:rPr>
      </w:pPr>
      <w:r w:rsidRPr="0094254C">
        <w:rPr>
          <w:rFonts w:ascii="Calibri" w:hAnsi="Calibri" w:cs="Calibri"/>
          <w:color w:val="000000" w:themeColor="text1"/>
          <w:sz w:val="24"/>
          <w:szCs w:val="24"/>
        </w:rPr>
        <w:lastRenderedPageBreak/>
        <w:t>Introduction</w:t>
      </w:r>
    </w:p>
    <w:p w14:paraId="121AADA8"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The discharge of Mrs Thompson depicts two related threats: ineffective medication support and unsafe leaving of her sheltered housing. The recovery process of pneumonia, mild dementia, the care setup and the protection of the environment need to be re-examined. This report assesses how lawful administration and orchestrated professional action, in the form of person-centred communication, may help reduce recurrent harm without infringing her autonomy. It uses relevant legislation, including the Equality Act 2010, the Mental Capacity Act 2005, the Data Protection Act 2018, the Care Act 2014 and readings about compassionate communication and integrated care to apply to the facts. The report’s key argument is that the safety of the situation lies in Mrs Thompson being heard, incidents turning into accurate common evidence, and each agency taking on a given role instead of presuming that another professional will do so.</w:t>
      </w:r>
    </w:p>
    <w:p w14:paraId="2484B803" w14:textId="77777777" w:rsidR="0098151C" w:rsidRPr="0094254C" w:rsidRDefault="0098151C" w:rsidP="0094254C">
      <w:pPr>
        <w:pStyle w:val="Heading1"/>
        <w:numPr>
          <w:ilvl w:val="0"/>
          <w:numId w:val="10"/>
        </w:numPr>
        <w:spacing w:line="360" w:lineRule="auto"/>
        <w:rPr>
          <w:rFonts w:ascii="Calibri" w:hAnsi="Calibri" w:cs="Calibri"/>
          <w:color w:val="000000" w:themeColor="text1"/>
          <w:sz w:val="24"/>
          <w:szCs w:val="24"/>
        </w:rPr>
      </w:pPr>
      <w:r w:rsidRPr="0094254C">
        <w:rPr>
          <w:rFonts w:ascii="Calibri" w:hAnsi="Calibri" w:cs="Calibri"/>
          <w:color w:val="000000" w:themeColor="text1"/>
          <w:sz w:val="24"/>
          <w:szCs w:val="24"/>
        </w:rPr>
        <w:t>Effective communication in Mrs Thompson's care</w:t>
      </w:r>
    </w:p>
    <w:p w14:paraId="1294047D"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 xml:space="preserve">Successful communication is a safety intervention </w:t>
      </w:r>
      <w:r w:rsidRPr="0094254C">
        <w:rPr>
          <w:rFonts w:cs="Calibri"/>
          <w:noProof/>
          <w:color w:val="000000" w:themeColor="text1"/>
          <w:sz w:val="24"/>
          <w:szCs w:val="24"/>
        </w:rPr>
        <w:t>(Howick</w:t>
      </w:r>
      <w:r w:rsidRPr="0094254C">
        <w:rPr>
          <w:rFonts w:cs="Calibri"/>
          <w:i/>
          <w:noProof/>
          <w:color w:val="000000" w:themeColor="text1"/>
          <w:sz w:val="24"/>
          <w:szCs w:val="24"/>
        </w:rPr>
        <w:t xml:space="preserve"> et al.</w:t>
      </w:r>
      <w:r w:rsidRPr="0094254C">
        <w:rPr>
          <w:rFonts w:cs="Calibri"/>
          <w:noProof/>
          <w:color w:val="000000" w:themeColor="text1"/>
          <w:sz w:val="24"/>
          <w:szCs w:val="24"/>
        </w:rPr>
        <w:t>, 2024)</w:t>
      </w:r>
      <w:r w:rsidRPr="0094254C">
        <w:rPr>
          <w:rFonts w:cs="Calibri"/>
          <w:color w:val="000000" w:themeColor="text1"/>
          <w:sz w:val="24"/>
          <w:szCs w:val="24"/>
        </w:rPr>
        <w:t>, as Mrs Thompson might be forgetful about instructions, changes to her medication routine/fail to explain her reasons for going out. A friendly employee should talk to her in a congenial, light room, address her by the name she prefers, underline one point at a time, and employ brief sentences like “</w:t>
      </w:r>
      <w:r w:rsidRPr="0094254C">
        <w:rPr>
          <w:rFonts w:cs="Calibri"/>
          <w:i/>
          <w:iCs/>
          <w:color w:val="000000" w:themeColor="text1"/>
          <w:sz w:val="24"/>
          <w:szCs w:val="24"/>
        </w:rPr>
        <w:t>These are your morning pills</w:t>
      </w:r>
      <w:r w:rsidRPr="0094254C">
        <w:rPr>
          <w:rFonts w:cs="Calibri"/>
          <w:color w:val="000000" w:themeColor="text1"/>
          <w:sz w:val="24"/>
          <w:szCs w:val="24"/>
        </w:rPr>
        <w:t xml:space="preserve">” instead of a long explanation. The employee must give time to think over the task given, prevent testing of her memory, use facial expressions, and repeat or paraphrase without confrontation. The teach-back method should be used here </w:t>
      </w:r>
      <w:r w:rsidRPr="0094254C">
        <w:rPr>
          <w:rFonts w:cs="Calibri"/>
          <w:noProof/>
          <w:color w:val="000000" w:themeColor="text1"/>
          <w:sz w:val="24"/>
          <w:szCs w:val="24"/>
        </w:rPr>
        <w:t>(Brown</w:t>
      </w:r>
      <w:r w:rsidRPr="0094254C">
        <w:rPr>
          <w:rFonts w:cs="Calibri"/>
          <w:i/>
          <w:noProof/>
          <w:color w:val="000000" w:themeColor="text1"/>
          <w:sz w:val="24"/>
          <w:szCs w:val="24"/>
        </w:rPr>
        <w:t xml:space="preserve"> et al.</w:t>
      </w:r>
      <w:r w:rsidRPr="0094254C">
        <w:rPr>
          <w:rFonts w:cs="Calibri"/>
          <w:noProof/>
          <w:color w:val="000000" w:themeColor="text1"/>
          <w:sz w:val="24"/>
          <w:szCs w:val="24"/>
        </w:rPr>
        <w:t>, 2025)</w:t>
      </w:r>
      <w:r w:rsidRPr="0094254C">
        <w:rPr>
          <w:rFonts w:cs="Calibri"/>
          <w:color w:val="000000" w:themeColor="text1"/>
          <w:sz w:val="24"/>
          <w:szCs w:val="24"/>
        </w:rPr>
        <w:t xml:space="preserve">: ask her to describe in her own words or indicate a pictorial schedule what will occur during the next visit. The repetition of information must be levelled at a daily call and supplemented with large-print, high-contrast medicines prompt agreed with her (Gault </w:t>
      </w:r>
      <w:r w:rsidRPr="0094254C">
        <w:rPr>
          <w:rFonts w:cs="Calibri"/>
          <w:i/>
          <w:iCs/>
          <w:color w:val="000000" w:themeColor="text1"/>
          <w:sz w:val="24"/>
          <w:szCs w:val="24"/>
        </w:rPr>
        <w:t>et al.,</w:t>
      </w:r>
      <w:r w:rsidRPr="0094254C">
        <w:rPr>
          <w:rFonts w:cs="Calibri"/>
          <w:color w:val="000000" w:themeColor="text1"/>
          <w:sz w:val="24"/>
          <w:szCs w:val="24"/>
        </w:rPr>
        <w:t xml:space="preserve"> 2017; NICE, 2017).</w:t>
      </w:r>
    </w:p>
    <w:p w14:paraId="537CE821"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 xml:space="preserve">The structure can be adapted from the Egan SOLER model (Gault </w:t>
      </w:r>
      <w:r w:rsidRPr="0094254C">
        <w:rPr>
          <w:rFonts w:cs="Calibri"/>
          <w:i/>
          <w:iCs/>
          <w:color w:val="000000" w:themeColor="text1"/>
          <w:sz w:val="24"/>
          <w:szCs w:val="24"/>
        </w:rPr>
        <w:t>et al.,</w:t>
      </w:r>
      <w:r w:rsidRPr="0094254C">
        <w:rPr>
          <w:rFonts w:cs="Calibri"/>
          <w:color w:val="000000" w:themeColor="text1"/>
          <w:sz w:val="24"/>
          <w:szCs w:val="24"/>
        </w:rPr>
        <w:t xml:space="preserve"> 2017): sit in the middle and in a comfortable position, stand in an open posture, lean forward toward her, look directly in her eyes and feel relaxed. The worker should adhere to the verbal and non-verbal choices made by Mrs Thompson in case of any discomfort when close eye contact/bending is made. Employees should also differentiate between hearing, language/visual needs and dementia and organise an interpreter instead of requesting a family member to translate clinical data. After any </w:t>
      </w:r>
      <w:r w:rsidRPr="0094254C">
        <w:rPr>
          <w:rFonts w:cs="Calibri"/>
          <w:color w:val="000000" w:themeColor="text1"/>
          <w:sz w:val="24"/>
          <w:szCs w:val="24"/>
        </w:rPr>
        <w:lastRenderedPageBreak/>
        <w:t>interaction, the worker must recap the action agreed and document it in a clear form; therefore, continuity is not left to just memory.</w:t>
      </w:r>
    </w:p>
    <w:p w14:paraId="79E22715" w14:textId="0822066A" w:rsidR="0098151C" w:rsidRPr="0094254C" w:rsidRDefault="0098151C" w:rsidP="0094254C">
      <w:pPr>
        <w:spacing w:line="360" w:lineRule="auto"/>
        <w:rPr>
          <w:rFonts w:cs="Calibri"/>
          <w:color w:val="000000" w:themeColor="text1"/>
          <w:sz w:val="24"/>
          <w:szCs w:val="24"/>
          <w:lang w:val="en-US"/>
        </w:rPr>
      </w:pPr>
      <w:r w:rsidRPr="0094254C">
        <w:rPr>
          <w:rFonts w:cs="Calibri"/>
          <w:color w:val="000000" w:themeColor="text1"/>
          <w:sz w:val="24"/>
          <w:szCs w:val="24"/>
        </w:rPr>
        <w:t xml:space="preserve">Equality Act 2010 safeguards age and disability as well as barring discrimination in service provision </w:t>
      </w:r>
      <w:r w:rsidRPr="0094254C">
        <w:rPr>
          <w:rFonts w:cs="Calibri"/>
          <w:color w:val="000000" w:themeColor="text1"/>
          <w:sz w:val="24"/>
          <w:szCs w:val="24"/>
          <w:lang w:val="en-US"/>
        </w:rPr>
        <w:t>(GOV.UK, 2010)</w:t>
      </w:r>
      <w:r w:rsidRPr="0094254C">
        <w:rPr>
          <w:rFonts w:cs="Calibri"/>
          <w:color w:val="000000" w:themeColor="text1"/>
          <w:sz w:val="24"/>
          <w:szCs w:val="24"/>
        </w:rPr>
        <w:t xml:space="preserve">. Part 20 and Part 29 entail reasonable accommodations </w:t>
      </w:r>
      <w:r w:rsidR="0094254C">
        <w:rPr>
          <w:rFonts w:cs="Calibri"/>
          <w:color w:val="000000" w:themeColor="text1"/>
          <w:sz w:val="24"/>
          <w:szCs w:val="24"/>
        </w:rPr>
        <w:t>for</w:t>
      </w:r>
      <w:r w:rsidRPr="0094254C">
        <w:rPr>
          <w:rFonts w:cs="Calibri"/>
          <w:color w:val="000000" w:themeColor="text1"/>
          <w:sz w:val="24"/>
          <w:szCs w:val="24"/>
        </w:rPr>
        <w:t xml:space="preserve"> disabled service users </w:t>
      </w:r>
      <w:r w:rsidRPr="0094254C">
        <w:rPr>
          <w:rFonts w:cs="Calibri"/>
          <w:color w:val="000000" w:themeColor="text1"/>
          <w:sz w:val="24"/>
          <w:szCs w:val="24"/>
          <w:lang w:val="en-US"/>
        </w:rPr>
        <w:t>(GOV.UK, 2010)</w:t>
      </w:r>
      <w:r w:rsidRPr="0094254C">
        <w:rPr>
          <w:rFonts w:cs="Calibri"/>
          <w:color w:val="000000" w:themeColor="text1"/>
          <w:sz w:val="24"/>
          <w:szCs w:val="24"/>
        </w:rPr>
        <w:t xml:space="preserve">. Thus, locking out Mrs Thompson due to her age (84) when making decisions/talking exclusively to her family members, or even considering the confusion as non-compliant, would be inconsiderate and perhaps even discriminatory practice. Some aspects can be considered reasonable adjustments, like accessible print, extended time, a regular communication schedule and an appointment when she is the least sleepy. Moreover, the staff is required under the Mental Capacity Act 2005 to assume capacity, provide practicable support and determine the ability of the person to make a specific decision at a specific time. Involvement of her family should be at her will and as she pleases </w:t>
      </w:r>
      <w:r w:rsidRPr="0094254C">
        <w:rPr>
          <w:rFonts w:cs="Calibri"/>
          <w:color w:val="000000" w:themeColor="text1"/>
          <w:sz w:val="24"/>
          <w:szCs w:val="24"/>
          <w:lang w:val="en-US"/>
        </w:rPr>
        <w:t>(GOV.UK, 2005)</w:t>
      </w:r>
      <w:r w:rsidRPr="0094254C">
        <w:rPr>
          <w:rFonts w:cs="Calibri"/>
          <w:color w:val="000000" w:themeColor="text1"/>
          <w:sz w:val="24"/>
          <w:szCs w:val="24"/>
        </w:rPr>
        <w:t xml:space="preserve">. If she is unable to make a particular medical/safety choice, then the decision-maker is to seek out the approval of relevant family members regarding her wishes and issue a recorded least restrictive option on her behalf without allowing the family to displace her voice </w:t>
      </w:r>
      <w:r w:rsidRPr="0094254C">
        <w:rPr>
          <w:rFonts w:cs="Calibri"/>
          <w:noProof/>
          <w:color w:val="000000" w:themeColor="text1"/>
          <w:sz w:val="24"/>
          <w:szCs w:val="24"/>
        </w:rPr>
        <w:t>(Kerr, McIlroy and Davidson, 2026)</w:t>
      </w:r>
      <w:r w:rsidRPr="0094254C">
        <w:rPr>
          <w:rFonts w:cs="Calibri"/>
          <w:color w:val="000000" w:themeColor="text1"/>
          <w:sz w:val="24"/>
          <w:szCs w:val="24"/>
        </w:rPr>
        <w:t>. This approach upholds dignity, informed involvement and an accurate report concerning both incidents.</w:t>
      </w:r>
    </w:p>
    <w:p w14:paraId="74023C73" w14:textId="77777777" w:rsidR="0098151C" w:rsidRPr="0094254C" w:rsidRDefault="0098151C" w:rsidP="0094254C">
      <w:pPr>
        <w:pStyle w:val="Heading1"/>
        <w:numPr>
          <w:ilvl w:val="0"/>
          <w:numId w:val="10"/>
        </w:numPr>
        <w:spacing w:line="360" w:lineRule="auto"/>
        <w:rPr>
          <w:rFonts w:ascii="Calibri" w:hAnsi="Calibri" w:cs="Calibri"/>
          <w:color w:val="000000" w:themeColor="text1"/>
          <w:sz w:val="24"/>
          <w:szCs w:val="24"/>
        </w:rPr>
      </w:pPr>
      <w:r w:rsidRPr="0094254C">
        <w:rPr>
          <w:rFonts w:ascii="Calibri" w:hAnsi="Calibri" w:cs="Calibri"/>
          <w:color w:val="000000" w:themeColor="text1"/>
          <w:sz w:val="24"/>
          <w:szCs w:val="24"/>
        </w:rPr>
        <w:t>Administrative skills, record keeping and data protection</w:t>
      </w:r>
    </w:p>
    <w:p w14:paraId="14D5F04E" w14:textId="7904F18E" w:rsidR="0098151C" w:rsidRPr="0094254C" w:rsidRDefault="0098151C" w:rsidP="0094254C">
      <w:pPr>
        <w:spacing w:line="360" w:lineRule="auto"/>
        <w:rPr>
          <w:rFonts w:cs="Calibri"/>
          <w:color w:val="000000" w:themeColor="text1"/>
          <w:sz w:val="24"/>
          <w:szCs w:val="24"/>
          <w:lang w:val="en-US"/>
        </w:rPr>
      </w:pPr>
      <w:r w:rsidRPr="0094254C">
        <w:rPr>
          <w:rFonts w:cs="Calibri"/>
          <w:color w:val="000000" w:themeColor="text1"/>
          <w:sz w:val="24"/>
          <w:szCs w:val="24"/>
        </w:rPr>
        <w:t xml:space="preserve">Sound management transforms individual observations into a justifiable course of care </w:t>
      </w:r>
      <w:r w:rsidRPr="0094254C">
        <w:rPr>
          <w:rFonts w:cs="Calibri"/>
          <w:noProof/>
          <w:color w:val="000000" w:themeColor="text1"/>
          <w:sz w:val="24"/>
          <w:szCs w:val="24"/>
        </w:rPr>
        <w:t>(Baldwin, 2017)</w:t>
      </w:r>
      <w:r w:rsidRPr="0094254C">
        <w:rPr>
          <w:rFonts w:cs="Calibri"/>
          <w:color w:val="000000" w:themeColor="text1"/>
          <w:sz w:val="24"/>
          <w:szCs w:val="24"/>
        </w:rPr>
        <w:t>. Under the Health and Social Care Act 2008 (Regulated Activities), Regulations 2014, Regulations 17(2)(c) and 12 provide that a secure, accurate, complete, and contemporaneous record of every service user, like care, treatment and decisions, must be sustained while risks and medicines must be managed safely (CQC, 2025</w:t>
      </w:r>
      <w:r w:rsidR="000E0352" w:rsidRPr="0094254C">
        <w:rPr>
          <w:rFonts w:cs="Calibri"/>
          <w:color w:val="000000" w:themeColor="text1"/>
          <w:sz w:val="24"/>
          <w:szCs w:val="24"/>
        </w:rPr>
        <w:t xml:space="preserve">; </w:t>
      </w:r>
      <w:r w:rsidR="000E0352" w:rsidRPr="0094254C">
        <w:rPr>
          <w:rFonts w:cs="Calibri"/>
          <w:color w:val="000000" w:themeColor="text1"/>
          <w:sz w:val="24"/>
          <w:szCs w:val="24"/>
          <w:lang w:val="en-US"/>
        </w:rPr>
        <w:t>Legislation.gov.uk, 2014</w:t>
      </w:r>
      <w:r w:rsidR="000E0352" w:rsidRPr="0094254C">
        <w:rPr>
          <w:rFonts w:cs="Calibri"/>
          <w:color w:val="000000" w:themeColor="text1"/>
          <w:sz w:val="24"/>
          <w:szCs w:val="24"/>
          <w:lang w:val="en-US"/>
        </w:rPr>
        <w:t>a</w:t>
      </w:r>
      <w:r w:rsidR="000E0352" w:rsidRPr="0094254C">
        <w:rPr>
          <w:rFonts w:cs="Calibri"/>
          <w:color w:val="000000" w:themeColor="text1"/>
          <w:sz w:val="24"/>
          <w:szCs w:val="24"/>
          <w:lang w:val="en-US"/>
        </w:rPr>
        <w:t>)</w:t>
      </w:r>
      <w:r w:rsidRPr="0094254C">
        <w:rPr>
          <w:rFonts w:cs="Calibri"/>
          <w:color w:val="000000" w:themeColor="text1"/>
          <w:sz w:val="24"/>
          <w:szCs w:val="24"/>
        </w:rPr>
        <w:t>. At each scheduled visit, the accessibility, the assistance given, the reaction of Mrs Thompson and the administration of each medicine and the worker's signature, date and precise time are to be noted on the medicines administration record (MAR). The entry must name the medicine and dose and enter the authorised omission code, efforts made to contact Mrs Thompson, any observed confusion, and when contacted by the senior and GP/pharmacy. NICE NG67 stipulates that the medicines-</w:t>
      </w:r>
      <w:r w:rsidRPr="0094254C">
        <w:rPr>
          <w:rFonts w:cs="Calibri"/>
          <w:color w:val="000000" w:themeColor="text1"/>
          <w:sz w:val="24"/>
          <w:szCs w:val="24"/>
        </w:rPr>
        <w:lastRenderedPageBreak/>
        <w:t>support need and responsibilities should be displayed in the care plan and that medicines-related problems should be reported and reviewed (NICE, 2017).</w:t>
      </w:r>
    </w:p>
    <w:p w14:paraId="6E70A2CB"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 xml:space="preserve">Outdoor case requires an associated, but separate factual record </w:t>
      </w:r>
      <w:r w:rsidRPr="0094254C">
        <w:rPr>
          <w:rFonts w:cs="Calibri"/>
          <w:noProof/>
          <w:color w:val="000000" w:themeColor="text1"/>
          <w:sz w:val="24"/>
          <w:szCs w:val="24"/>
        </w:rPr>
        <w:t>(Salter and Turner, 2008)</w:t>
      </w:r>
      <w:r w:rsidRPr="0094254C">
        <w:rPr>
          <w:rFonts w:cs="Calibri"/>
          <w:color w:val="000000" w:themeColor="text1"/>
          <w:sz w:val="24"/>
          <w:szCs w:val="24"/>
        </w:rPr>
        <w:t>: finding of time and place, weather, presentation, administration of clinical care, witnesses, notification and self-injury account by Mrs Thompson. Conclusions made by the staff about wandering because of dementia should not be made unless proved clinically. The incident forms, daily notes, risk assessment and care plan should be cross-referenced with each other. Corrections should have a copy of the original entry, and there should be an electronic audit trail. Given the potential self-neglect/omission of services potentially falling under the requirement of the Care Act 2014 section 42, the ensuing investigation by the council, the outcomes intended by Mrs Thompson, and the agreed support mechanisms also need to be recorded (Department of Health and Social Care [DHSC], 2025).</w:t>
      </w:r>
    </w:p>
    <w:p w14:paraId="72224A5E" w14:textId="61573C96"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Such records contain health information, which is deemed a special category of personal information. The Data Protection Act 2018 works alongside the UK GDPR, which argues that the provider needs to find a lawful basis under Article 6 and an Article 9 condition, usually Article 9(2)(h) health or social care, backed by paragraph 2. It must not decide to rely on consent as a mere easy alternative to processing for care/a legal obligation. Practically, the seven GDPR principles must be explained to Mrs Thompson</w:t>
      </w:r>
      <w:r w:rsidR="00B22B02" w:rsidRPr="0094254C">
        <w:rPr>
          <w:rFonts w:cs="Calibri"/>
          <w:color w:val="000000" w:themeColor="text1"/>
          <w:sz w:val="24"/>
          <w:szCs w:val="24"/>
        </w:rPr>
        <w:t>:</w:t>
      </w:r>
      <w:r w:rsidRPr="0094254C">
        <w:rPr>
          <w:rFonts w:cs="Calibri"/>
          <w:color w:val="000000" w:themeColor="text1"/>
          <w:sz w:val="24"/>
          <w:szCs w:val="24"/>
        </w:rPr>
        <w:t xml:space="preserve"> collection must be for care, safety and safeguarding purposes; minimum details; correction to be made promptly; information retained under an approved schedule; and processed securely (ICO, 2026). Roles should be authorised, devices should be locked, staff must be educated, and no individual messaging accounts should be used. Data can be disclosed safely with the GP, nurse and council when required/appropriate. Caldicott Principle 7 validates that having a duty to share individual care is equal in significance to confidentiality, and Principle 8 presupposes the absence of any surprises concerning the application (DHSC, 2020).</w:t>
      </w:r>
    </w:p>
    <w:p w14:paraId="288BE578" w14:textId="77777777" w:rsidR="0098151C" w:rsidRPr="0094254C" w:rsidRDefault="0098151C" w:rsidP="0094254C">
      <w:pPr>
        <w:pStyle w:val="Heading1"/>
        <w:numPr>
          <w:ilvl w:val="0"/>
          <w:numId w:val="10"/>
        </w:numPr>
        <w:spacing w:line="360" w:lineRule="auto"/>
        <w:rPr>
          <w:rFonts w:ascii="Calibri" w:hAnsi="Calibri" w:cs="Calibri"/>
          <w:color w:val="000000" w:themeColor="text1"/>
          <w:sz w:val="24"/>
          <w:szCs w:val="24"/>
        </w:rPr>
      </w:pPr>
      <w:r w:rsidRPr="0094254C">
        <w:rPr>
          <w:rFonts w:ascii="Calibri" w:hAnsi="Calibri" w:cs="Calibri"/>
          <w:color w:val="000000" w:themeColor="text1"/>
          <w:sz w:val="24"/>
          <w:szCs w:val="24"/>
        </w:rPr>
        <w:t>Collaborative and multiagency working</w:t>
      </w:r>
    </w:p>
    <w:p w14:paraId="19EF0709" w14:textId="1A225247" w:rsidR="0098151C" w:rsidRPr="0094254C" w:rsidRDefault="0098151C" w:rsidP="0094254C">
      <w:pPr>
        <w:spacing w:line="360" w:lineRule="auto"/>
        <w:rPr>
          <w:rFonts w:cs="Calibri"/>
          <w:color w:val="000000" w:themeColor="text1"/>
          <w:sz w:val="24"/>
          <w:szCs w:val="24"/>
          <w:lang w:val="en-US"/>
        </w:rPr>
      </w:pPr>
      <w:r w:rsidRPr="0094254C">
        <w:rPr>
          <w:rFonts w:cs="Calibri"/>
          <w:color w:val="000000" w:themeColor="text1"/>
          <w:sz w:val="24"/>
          <w:szCs w:val="24"/>
        </w:rPr>
        <w:t xml:space="preserve">Mrs Thompson requires a named-coordinator response. A case discussion, involving Mrs Thompson, her designated relative, GP, community nurse, council social worker/safeguarding </w:t>
      </w:r>
      <w:r w:rsidRPr="0094254C">
        <w:rPr>
          <w:rFonts w:cs="Calibri"/>
          <w:color w:val="000000" w:themeColor="text1"/>
          <w:sz w:val="24"/>
          <w:szCs w:val="24"/>
        </w:rPr>
        <w:lastRenderedPageBreak/>
        <w:t xml:space="preserve">lead, and sheltered-housing contact, should be convened by the domiciliary-care manager. Prescription reconciliation should be undertaken by the GP, while reversible causes of greater confusion should be focused on in the investigation. Similarly, pneumonia recovery, cognition, hydration and capacity-related issues within scope should be assessed by the community nurse, while the revised administration plan should be implemented and documented by carers with each visit. The council should determine the requirements under the Care Act 2014 and reconsider the sufficiency of twice-daily support and housing protections </w:t>
      </w:r>
      <w:r w:rsidRPr="0094254C">
        <w:rPr>
          <w:rFonts w:cs="Calibri"/>
          <w:color w:val="000000" w:themeColor="text1"/>
          <w:sz w:val="24"/>
          <w:szCs w:val="24"/>
          <w:lang w:val="en-US"/>
        </w:rPr>
        <w:t>(</w:t>
      </w:r>
      <w:r w:rsidR="000E0352" w:rsidRPr="0094254C">
        <w:rPr>
          <w:rFonts w:cs="Calibri"/>
          <w:color w:val="000000" w:themeColor="text1"/>
          <w:sz w:val="24"/>
          <w:szCs w:val="24"/>
          <w:lang w:val="en-US"/>
        </w:rPr>
        <w:t>L</w:t>
      </w:r>
      <w:r w:rsidRPr="0094254C">
        <w:rPr>
          <w:rFonts w:cs="Calibri"/>
          <w:color w:val="000000" w:themeColor="text1"/>
          <w:sz w:val="24"/>
          <w:szCs w:val="24"/>
          <w:lang w:val="en-US"/>
        </w:rPr>
        <w:t>egislation.gov.uk, 2014</w:t>
      </w:r>
      <w:r w:rsidR="000E0352" w:rsidRPr="0094254C">
        <w:rPr>
          <w:rFonts w:cs="Calibri"/>
          <w:color w:val="000000" w:themeColor="text1"/>
          <w:sz w:val="24"/>
          <w:szCs w:val="24"/>
          <w:lang w:val="en-US"/>
        </w:rPr>
        <w:t>b</w:t>
      </w:r>
      <w:r w:rsidRPr="0094254C">
        <w:rPr>
          <w:rFonts w:cs="Calibri"/>
          <w:color w:val="000000" w:themeColor="text1"/>
          <w:sz w:val="24"/>
          <w:szCs w:val="24"/>
          <w:lang w:val="en-US"/>
        </w:rPr>
        <w:t>)</w:t>
      </w:r>
      <w:r w:rsidRPr="0094254C">
        <w:rPr>
          <w:rFonts w:cs="Calibri"/>
          <w:color w:val="000000" w:themeColor="text1"/>
          <w:sz w:val="24"/>
          <w:szCs w:val="24"/>
        </w:rPr>
        <w:t>. Sections 42 and 6 of this Act imply collaboration between the authority and partners in question, whereas integrated practice hinges on the mutual goals and complementary skills (Glasby and Dickinson, 2014; Thomas, Pollard and Sellman, 2014).</w:t>
      </w:r>
    </w:p>
    <w:p w14:paraId="01EDA0F7"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Each action must have a defined coordinator, owner and deadline; what is to be counted as refusal, omission/deterioration; and daytime and out-of-hours escalation routes. It should assert reduction in duplication through a short and safe update following every substantial event, structured handovers, an early review meeting and a single/reconciled medicines list. Decisions should be made based on Mrs Thompson (remaining safely independent), rather than organisational convenience (Glasby, 2026).</w:t>
      </w:r>
    </w:p>
    <w:p w14:paraId="1444DC28"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 xml:space="preserve">The common barriers include incompatible records, shift rotation, the professional hierarchy, loss of knowledge on confidentiality and conflict between family and professional </w:t>
      </w:r>
      <w:r w:rsidRPr="0094254C">
        <w:rPr>
          <w:rFonts w:cs="Calibri"/>
          <w:noProof/>
          <w:color w:val="000000" w:themeColor="text1"/>
          <w:sz w:val="24"/>
          <w:szCs w:val="24"/>
        </w:rPr>
        <w:t>(Lau</w:t>
      </w:r>
      <w:r w:rsidRPr="0094254C">
        <w:rPr>
          <w:rFonts w:cs="Calibri"/>
          <w:i/>
          <w:noProof/>
          <w:color w:val="000000" w:themeColor="text1"/>
          <w:sz w:val="24"/>
          <w:szCs w:val="24"/>
        </w:rPr>
        <w:t xml:space="preserve"> et al.</w:t>
      </w:r>
      <w:r w:rsidRPr="0094254C">
        <w:rPr>
          <w:rFonts w:cs="Calibri"/>
          <w:noProof/>
          <w:color w:val="000000" w:themeColor="text1"/>
          <w:sz w:val="24"/>
          <w:szCs w:val="24"/>
        </w:rPr>
        <w:t>, 2018)</w:t>
      </w:r>
      <w:r w:rsidRPr="0094254C">
        <w:rPr>
          <w:rFonts w:cs="Calibri"/>
          <w:color w:val="000000" w:themeColor="text1"/>
          <w:sz w:val="24"/>
          <w:szCs w:val="24"/>
        </w:rPr>
        <w:t xml:space="preserve">. These barriers can be alleviated through a written information-sharing protocol, minimum necessary secure access, explicit role allocation, read-back of urgent instructions and documented reasons for decisions </w:t>
      </w:r>
      <w:r w:rsidRPr="0094254C">
        <w:rPr>
          <w:rFonts w:cs="Calibri"/>
          <w:noProof/>
          <w:color w:val="000000" w:themeColor="text1"/>
          <w:sz w:val="24"/>
          <w:szCs w:val="24"/>
        </w:rPr>
        <w:t>(Kelly</w:t>
      </w:r>
      <w:r w:rsidRPr="0094254C">
        <w:rPr>
          <w:rFonts w:cs="Calibri"/>
          <w:i/>
          <w:noProof/>
          <w:color w:val="000000" w:themeColor="text1"/>
          <w:sz w:val="24"/>
          <w:szCs w:val="24"/>
        </w:rPr>
        <w:t xml:space="preserve"> et al.</w:t>
      </w:r>
      <w:r w:rsidRPr="0094254C">
        <w:rPr>
          <w:rFonts w:cs="Calibri"/>
          <w:noProof/>
          <w:color w:val="000000" w:themeColor="text1"/>
          <w:sz w:val="24"/>
          <w:szCs w:val="24"/>
        </w:rPr>
        <w:t>, 2023)</w:t>
      </w:r>
      <w:r w:rsidRPr="0094254C">
        <w:rPr>
          <w:rFonts w:cs="Calibri"/>
          <w:color w:val="000000" w:themeColor="text1"/>
          <w:sz w:val="24"/>
          <w:szCs w:val="24"/>
        </w:rPr>
        <w:t>. Where opinions lack conformance, the coordinator should rephrase the wishes and evidence by Mrs Thompson and refer to a decision-specific capacity test, increase the level of unresolved clinical risk to the back duty senior and record the outcome. MAR omissions should be tested by regular audit, as has the incident follow-up, to determine whether collaboration has led to safer care meetings.</w:t>
      </w:r>
    </w:p>
    <w:p w14:paraId="30BE9565" w14:textId="77777777" w:rsidR="0098151C" w:rsidRPr="0094254C" w:rsidRDefault="0098151C" w:rsidP="0094254C">
      <w:pPr>
        <w:pStyle w:val="Heading1"/>
        <w:numPr>
          <w:ilvl w:val="0"/>
          <w:numId w:val="10"/>
        </w:numPr>
        <w:spacing w:line="360" w:lineRule="auto"/>
        <w:rPr>
          <w:rFonts w:ascii="Calibri" w:hAnsi="Calibri" w:cs="Calibri"/>
          <w:color w:val="000000" w:themeColor="text1"/>
          <w:sz w:val="24"/>
          <w:szCs w:val="24"/>
        </w:rPr>
      </w:pPr>
      <w:r w:rsidRPr="0094254C">
        <w:rPr>
          <w:rFonts w:ascii="Calibri" w:hAnsi="Calibri" w:cs="Calibri"/>
          <w:color w:val="000000" w:themeColor="text1"/>
          <w:sz w:val="24"/>
          <w:szCs w:val="24"/>
        </w:rPr>
        <w:t>Conclusion</w:t>
      </w:r>
    </w:p>
    <w:p w14:paraId="1A760A47" w14:textId="77777777" w:rsidR="0098151C" w:rsidRPr="0094254C" w:rsidRDefault="0098151C" w:rsidP="0094254C">
      <w:pPr>
        <w:spacing w:line="360" w:lineRule="auto"/>
        <w:rPr>
          <w:rFonts w:cs="Calibri"/>
          <w:color w:val="000000" w:themeColor="text1"/>
          <w:sz w:val="24"/>
          <w:szCs w:val="24"/>
        </w:rPr>
      </w:pPr>
      <w:r w:rsidRPr="0094254C">
        <w:rPr>
          <w:rFonts w:cs="Calibri"/>
          <w:color w:val="000000" w:themeColor="text1"/>
          <w:sz w:val="24"/>
          <w:szCs w:val="24"/>
        </w:rPr>
        <w:t xml:space="preserve">Mrs Thompson's two incidents depict a system problem. Safe practice involves modified communication that considers her needs without taking away the voice that has her rights and </w:t>
      </w:r>
      <w:r w:rsidRPr="0094254C">
        <w:rPr>
          <w:rFonts w:cs="Calibri"/>
          <w:color w:val="000000" w:themeColor="text1"/>
          <w:sz w:val="24"/>
          <w:szCs w:val="24"/>
        </w:rPr>
        <w:lastRenderedPageBreak/>
        <w:t>protection against age or disability discrimination. It also demands MAR, incident, risk and safeguarding records differentiating between observation and assumption and compliant with Regulation 17, NICE and data-protection requirements. Protecting necessary information must not be at the cost of obstructing proportionate sharing of necessary information to direct care. Lastly, predefined coordinator, plan and escalation duties are required on the part of the GP, community nurse, domiciliary provider, council and housing service. The follow-up urgent actions entail medication review, evaluation of post-pneumonia confusion, decision-specific capacity check (where needed), a review of twice-daily visits and practical actions to eliminate unsafe exposure. Whether the plan is completely safeguarding her autonomy will be underscored by reviewing omissions and actions after a period.</w:t>
      </w:r>
    </w:p>
    <w:p w14:paraId="3D74FD51" w14:textId="77777777" w:rsidR="0098151C" w:rsidRPr="0094254C" w:rsidRDefault="0098151C" w:rsidP="0094254C">
      <w:pPr>
        <w:spacing w:line="360" w:lineRule="auto"/>
        <w:rPr>
          <w:rFonts w:cs="Calibri"/>
          <w:sz w:val="24"/>
          <w:szCs w:val="24"/>
        </w:rPr>
      </w:pPr>
      <w:r w:rsidRPr="0094254C">
        <w:rPr>
          <w:rFonts w:cs="Calibri"/>
          <w:sz w:val="24"/>
          <w:szCs w:val="24"/>
        </w:rPr>
        <w:br w:type="page"/>
      </w:r>
    </w:p>
    <w:p w14:paraId="4C26D6C1" w14:textId="77777777" w:rsidR="0098151C" w:rsidRPr="0094254C" w:rsidRDefault="0098151C" w:rsidP="0094254C">
      <w:pPr>
        <w:pStyle w:val="Heading1"/>
        <w:spacing w:before="0" w:line="360" w:lineRule="auto"/>
        <w:jc w:val="center"/>
        <w:rPr>
          <w:rFonts w:ascii="Calibri" w:hAnsi="Calibri" w:cs="Calibri"/>
          <w:color w:val="auto"/>
          <w:sz w:val="24"/>
          <w:szCs w:val="24"/>
        </w:rPr>
      </w:pPr>
      <w:r w:rsidRPr="0094254C">
        <w:rPr>
          <w:rFonts w:ascii="Calibri" w:hAnsi="Calibri" w:cs="Calibri"/>
          <w:color w:val="auto"/>
          <w:sz w:val="24"/>
          <w:szCs w:val="24"/>
        </w:rPr>
        <w:lastRenderedPageBreak/>
        <w:t>References</w:t>
      </w:r>
    </w:p>
    <w:p w14:paraId="77D4246C" w14:textId="77777777" w:rsidR="000E0352" w:rsidRPr="0094254C" w:rsidRDefault="000E0352" w:rsidP="0094254C">
      <w:pPr>
        <w:pStyle w:val="EndNoteBibliography"/>
        <w:spacing w:before="240" w:after="0" w:line="360" w:lineRule="auto"/>
        <w:rPr>
          <w:sz w:val="24"/>
          <w:szCs w:val="24"/>
        </w:rPr>
      </w:pPr>
      <w:r w:rsidRPr="0094254C">
        <w:rPr>
          <w:sz w:val="24"/>
          <w:szCs w:val="24"/>
        </w:rPr>
        <w:t xml:space="preserve">Baldwin, M. (2017) </w:t>
      </w:r>
      <w:r w:rsidRPr="0094254C">
        <w:rPr>
          <w:i/>
          <w:sz w:val="24"/>
          <w:szCs w:val="24"/>
        </w:rPr>
        <w:t>Care management and community care: social work discretion and the construction of policy.</w:t>
      </w:r>
      <w:r w:rsidRPr="0094254C">
        <w:rPr>
          <w:sz w:val="24"/>
          <w:szCs w:val="24"/>
        </w:rPr>
        <w:t xml:space="preserve"> Routledge.</w:t>
      </w:r>
    </w:p>
    <w:p w14:paraId="4AECC1D0" w14:textId="42A5362C" w:rsidR="000E0352" w:rsidRPr="0094254C" w:rsidRDefault="000E0352" w:rsidP="0094254C">
      <w:pPr>
        <w:pStyle w:val="EndNoteBibliography"/>
        <w:spacing w:before="240" w:after="0" w:line="360" w:lineRule="auto"/>
        <w:rPr>
          <w:sz w:val="24"/>
          <w:szCs w:val="24"/>
        </w:rPr>
      </w:pPr>
      <w:r w:rsidRPr="0094254C">
        <w:rPr>
          <w:sz w:val="24"/>
          <w:szCs w:val="24"/>
        </w:rPr>
        <w:t xml:space="preserve">Brown, C., Dotson, B., Montgomery, J., Sutterfield, C. and Maharaj, G. (2025) 'Evaluating the effectiveness of using the teach-back method to improve the health literacy of individuals in the community', </w:t>
      </w:r>
      <w:r w:rsidRPr="0094254C">
        <w:rPr>
          <w:i/>
          <w:sz w:val="24"/>
          <w:szCs w:val="24"/>
        </w:rPr>
        <w:t xml:space="preserve">Journal of </w:t>
      </w:r>
      <w:r w:rsidRPr="0094254C">
        <w:rPr>
          <w:i/>
          <w:sz w:val="24"/>
          <w:szCs w:val="24"/>
        </w:rPr>
        <w:t>Community Health Nursing</w:t>
      </w:r>
      <w:r w:rsidRPr="0094254C">
        <w:rPr>
          <w:i/>
          <w:sz w:val="24"/>
          <w:szCs w:val="24"/>
        </w:rPr>
        <w:t>,</w:t>
      </w:r>
      <w:r w:rsidRPr="0094254C">
        <w:rPr>
          <w:sz w:val="24"/>
          <w:szCs w:val="24"/>
        </w:rPr>
        <w:t xml:space="preserve"> 42(1), pp. 11-18.</w:t>
      </w:r>
    </w:p>
    <w:p w14:paraId="09098B26" w14:textId="67ABF542"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Care Act 2014, c. 23. Available at: https://www.legislation.gov.uk/ukpga/2014/23/contents (Accessed: 20 August 2026).</w:t>
      </w:r>
    </w:p>
    <w:p w14:paraId="4E2BECE6"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Care Quality Commission (CQC) (2025) </w:t>
      </w:r>
      <w:r w:rsidRPr="0094254C">
        <w:rPr>
          <w:rFonts w:cs="Calibri"/>
          <w:i/>
          <w:sz w:val="24"/>
          <w:szCs w:val="24"/>
        </w:rPr>
        <w:t>Regulation 17: Good governance</w:t>
      </w:r>
      <w:r w:rsidRPr="0094254C">
        <w:rPr>
          <w:rFonts w:cs="Calibri"/>
          <w:sz w:val="24"/>
          <w:szCs w:val="24"/>
        </w:rPr>
        <w:t>. Available at: https://www.cqc.org.uk/guidance-regulation/providers/regulations-service-providers-and-managers/health-social-care-act/regulation-17 (Accessed: 20 August 2026).</w:t>
      </w:r>
    </w:p>
    <w:p w14:paraId="062C00F6"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Data Protection Act 2018, c. 12. Available at: https://www.legislation.gov.uk/ukpga/2018/12/contents (Accessed: 20 August 2026).</w:t>
      </w:r>
    </w:p>
    <w:p w14:paraId="612D82D4"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Department of Health and Social Care (</w:t>
      </w:r>
      <w:r w:rsidRPr="0094254C">
        <w:rPr>
          <w:rFonts w:cs="Calibri"/>
          <w:color w:val="000000" w:themeColor="text1"/>
          <w:sz w:val="24"/>
          <w:szCs w:val="24"/>
        </w:rPr>
        <w:t>DHSC)</w:t>
      </w:r>
      <w:r w:rsidRPr="0094254C">
        <w:rPr>
          <w:rFonts w:cs="Calibri"/>
          <w:sz w:val="24"/>
          <w:szCs w:val="24"/>
        </w:rPr>
        <w:t xml:space="preserve"> (2020) </w:t>
      </w:r>
      <w:r w:rsidRPr="0094254C">
        <w:rPr>
          <w:rFonts w:cs="Calibri"/>
          <w:i/>
          <w:sz w:val="24"/>
          <w:szCs w:val="24"/>
        </w:rPr>
        <w:t>The Caldicott Principles</w:t>
      </w:r>
      <w:r w:rsidRPr="0094254C">
        <w:rPr>
          <w:rFonts w:cs="Calibri"/>
          <w:sz w:val="24"/>
          <w:szCs w:val="24"/>
        </w:rPr>
        <w:t>. Available at: https://www.gov.uk/government/publications/the-caldicott-principles (Accessed: 20 August 2026).</w:t>
      </w:r>
    </w:p>
    <w:p w14:paraId="2A00F854"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Department of Health and Social Care (</w:t>
      </w:r>
      <w:r w:rsidRPr="0094254C">
        <w:rPr>
          <w:rFonts w:cs="Calibri"/>
          <w:color w:val="000000" w:themeColor="text1"/>
          <w:sz w:val="24"/>
          <w:szCs w:val="24"/>
        </w:rPr>
        <w:t>DHSC)</w:t>
      </w:r>
      <w:r w:rsidRPr="0094254C">
        <w:rPr>
          <w:rFonts w:cs="Calibri"/>
          <w:sz w:val="24"/>
          <w:szCs w:val="24"/>
        </w:rPr>
        <w:t xml:space="preserve"> (2025) </w:t>
      </w:r>
      <w:r w:rsidRPr="0094254C">
        <w:rPr>
          <w:rFonts w:cs="Calibri"/>
          <w:i/>
          <w:sz w:val="24"/>
          <w:szCs w:val="24"/>
        </w:rPr>
        <w:t>Care and support statutory guidance</w:t>
      </w:r>
      <w:r w:rsidRPr="0094254C">
        <w:rPr>
          <w:rFonts w:cs="Calibri"/>
          <w:sz w:val="24"/>
          <w:szCs w:val="24"/>
        </w:rPr>
        <w:t>. Available at: https://www.gov.uk/government/publications/care-act-statutory-guidance/care-and-support-statutory-guidance (Accessed: 20 August 2026).</w:t>
      </w:r>
    </w:p>
    <w:p w14:paraId="024364EB"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Gault, I., Shapcott, J., Luthi, A. and Reid, G. (2017) </w:t>
      </w:r>
      <w:r w:rsidRPr="0094254C">
        <w:rPr>
          <w:rFonts w:cs="Calibri"/>
          <w:i/>
          <w:sz w:val="24"/>
          <w:szCs w:val="24"/>
        </w:rPr>
        <w:t>Communication in nursing and healthcare: A guide for compassionate practice</w:t>
      </w:r>
      <w:r w:rsidRPr="0094254C">
        <w:rPr>
          <w:rFonts w:cs="Calibri"/>
          <w:sz w:val="24"/>
          <w:szCs w:val="24"/>
        </w:rPr>
        <w:t>. London: SAGE Publications.</w:t>
      </w:r>
    </w:p>
    <w:p w14:paraId="7D3D505A" w14:textId="6BB7EE74" w:rsidR="000E0352" w:rsidRPr="0094254C" w:rsidRDefault="000E0352" w:rsidP="0094254C">
      <w:pPr>
        <w:pStyle w:val="ReferenceEntry"/>
        <w:spacing w:before="240" w:line="360" w:lineRule="auto"/>
        <w:ind w:left="0" w:firstLine="0"/>
        <w:rPr>
          <w:rFonts w:cs="Calibri"/>
          <w:sz w:val="24"/>
          <w:szCs w:val="24"/>
          <w:lang w:val="en-US"/>
        </w:rPr>
      </w:pPr>
      <w:r w:rsidRPr="0094254C">
        <w:rPr>
          <w:rFonts w:cs="Calibri"/>
          <w:sz w:val="24"/>
          <w:szCs w:val="24"/>
          <w:lang w:val="en-US"/>
        </w:rPr>
        <w:t xml:space="preserve">GOV.UK (2005) </w:t>
      </w:r>
      <w:r w:rsidRPr="0094254C">
        <w:rPr>
          <w:rFonts w:cs="Calibri"/>
          <w:i/>
          <w:iCs/>
          <w:sz w:val="24"/>
          <w:szCs w:val="24"/>
          <w:lang w:val="en-US"/>
        </w:rPr>
        <w:t xml:space="preserve">Mental </w:t>
      </w:r>
      <w:r w:rsidR="0094254C">
        <w:rPr>
          <w:rFonts w:cs="Calibri"/>
          <w:i/>
          <w:iCs/>
          <w:sz w:val="24"/>
          <w:szCs w:val="24"/>
          <w:lang w:val="en-US"/>
        </w:rPr>
        <w:t>Capacity Act</w:t>
      </w:r>
      <w:r w:rsidRPr="0094254C">
        <w:rPr>
          <w:rFonts w:cs="Calibri"/>
          <w:i/>
          <w:iCs/>
          <w:sz w:val="24"/>
          <w:szCs w:val="24"/>
          <w:lang w:val="en-US"/>
        </w:rPr>
        <w:t xml:space="preserve"> 2005</w:t>
      </w:r>
      <w:r w:rsidRPr="0094254C">
        <w:rPr>
          <w:rFonts w:cs="Calibri"/>
          <w:sz w:val="24"/>
          <w:szCs w:val="24"/>
          <w:lang w:val="en-US"/>
        </w:rPr>
        <w:t xml:space="preserve">, </w:t>
      </w:r>
      <w:r w:rsidRPr="0094254C">
        <w:rPr>
          <w:rFonts w:cs="Calibri"/>
          <w:i/>
          <w:iCs/>
          <w:sz w:val="24"/>
          <w:szCs w:val="24"/>
          <w:lang w:val="en-US"/>
        </w:rPr>
        <w:t>Legislation.gov.uk</w:t>
      </w:r>
      <w:r w:rsidRPr="0094254C">
        <w:rPr>
          <w:rFonts w:cs="Calibri"/>
          <w:sz w:val="24"/>
          <w:szCs w:val="24"/>
          <w:lang w:val="en-US"/>
        </w:rPr>
        <w:t>. GOV.UK. Available at: https://www.legislation.gov.uk/ukpga/2005/9/contents (Accessed: August 20, 2026).</w:t>
      </w:r>
    </w:p>
    <w:p w14:paraId="2CDAA337" w14:textId="112458D9" w:rsidR="000E0352" w:rsidRPr="0094254C" w:rsidRDefault="000E0352" w:rsidP="0094254C">
      <w:pPr>
        <w:pStyle w:val="ReferenceEntry"/>
        <w:spacing w:before="240" w:line="360" w:lineRule="auto"/>
        <w:ind w:left="0" w:firstLine="0"/>
        <w:rPr>
          <w:rFonts w:cs="Calibri"/>
          <w:sz w:val="24"/>
          <w:szCs w:val="24"/>
          <w:lang w:val="en-US"/>
        </w:rPr>
      </w:pPr>
      <w:r w:rsidRPr="0094254C">
        <w:rPr>
          <w:rFonts w:cs="Calibri"/>
          <w:sz w:val="24"/>
          <w:szCs w:val="24"/>
          <w:lang w:val="en-US"/>
        </w:rPr>
        <w:lastRenderedPageBreak/>
        <w:t xml:space="preserve">GOV.UK (2010) </w:t>
      </w:r>
      <w:r w:rsidRPr="0094254C">
        <w:rPr>
          <w:rFonts w:cs="Calibri"/>
          <w:i/>
          <w:iCs/>
          <w:sz w:val="24"/>
          <w:szCs w:val="24"/>
          <w:lang w:val="en-US"/>
        </w:rPr>
        <w:t xml:space="preserve">Equality </w:t>
      </w:r>
      <w:proofErr w:type="gramStart"/>
      <w:r w:rsidRPr="0094254C">
        <w:rPr>
          <w:rFonts w:cs="Calibri"/>
          <w:i/>
          <w:iCs/>
          <w:sz w:val="24"/>
          <w:szCs w:val="24"/>
          <w:lang w:val="en-US"/>
        </w:rPr>
        <w:t>act</w:t>
      </w:r>
      <w:proofErr w:type="gramEnd"/>
      <w:r w:rsidRPr="0094254C">
        <w:rPr>
          <w:rFonts w:cs="Calibri"/>
          <w:i/>
          <w:iCs/>
          <w:sz w:val="24"/>
          <w:szCs w:val="24"/>
          <w:lang w:val="en-US"/>
        </w:rPr>
        <w:t xml:space="preserve"> 2010</w:t>
      </w:r>
      <w:r w:rsidRPr="0094254C">
        <w:rPr>
          <w:rFonts w:cs="Calibri"/>
          <w:sz w:val="24"/>
          <w:szCs w:val="24"/>
          <w:lang w:val="en-US"/>
        </w:rPr>
        <w:t xml:space="preserve">, </w:t>
      </w:r>
      <w:r w:rsidRPr="0094254C">
        <w:rPr>
          <w:rFonts w:cs="Calibri"/>
          <w:i/>
          <w:iCs/>
          <w:sz w:val="24"/>
          <w:szCs w:val="24"/>
          <w:lang w:val="en-US"/>
        </w:rPr>
        <w:t>Legislation.gov.uk</w:t>
      </w:r>
      <w:r w:rsidRPr="0094254C">
        <w:rPr>
          <w:rFonts w:cs="Calibri"/>
          <w:sz w:val="24"/>
          <w:szCs w:val="24"/>
          <w:lang w:val="en-US"/>
        </w:rPr>
        <w:t>. Gov.uk. Available at: https://www.legislation.gov.uk/ukpga/2010/15/contents (Accessed: August 20, 2026).</w:t>
      </w:r>
    </w:p>
    <w:p w14:paraId="3B51250B"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Glasby, J. (2026) </w:t>
      </w:r>
      <w:r w:rsidRPr="0094254C">
        <w:rPr>
          <w:rFonts w:cs="Calibri"/>
          <w:i/>
          <w:sz w:val="24"/>
          <w:szCs w:val="24"/>
        </w:rPr>
        <w:t>Understanding health and social care</w:t>
      </w:r>
      <w:r w:rsidRPr="0094254C">
        <w:rPr>
          <w:rFonts w:cs="Calibri"/>
          <w:sz w:val="24"/>
          <w:szCs w:val="24"/>
        </w:rPr>
        <w:t xml:space="preserve">. 4th </w:t>
      </w:r>
      <w:proofErr w:type="spellStart"/>
      <w:r w:rsidRPr="0094254C">
        <w:rPr>
          <w:rFonts w:cs="Calibri"/>
          <w:sz w:val="24"/>
          <w:szCs w:val="24"/>
        </w:rPr>
        <w:t>edn</w:t>
      </w:r>
      <w:proofErr w:type="spellEnd"/>
      <w:r w:rsidRPr="0094254C">
        <w:rPr>
          <w:rFonts w:cs="Calibri"/>
          <w:sz w:val="24"/>
          <w:szCs w:val="24"/>
        </w:rPr>
        <w:t>. Bristol: Policy Press.</w:t>
      </w:r>
    </w:p>
    <w:p w14:paraId="3306E48C"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Glasby, J. and Dickinson, H. (2014) </w:t>
      </w:r>
      <w:r w:rsidRPr="0094254C">
        <w:rPr>
          <w:rFonts w:cs="Calibri"/>
          <w:i/>
          <w:sz w:val="24"/>
          <w:szCs w:val="24"/>
        </w:rPr>
        <w:t>Partnership working in health and social care: What is integrated care and how can we deliver it?</w:t>
      </w:r>
      <w:r w:rsidRPr="0094254C">
        <w:rPr>
          <w:rFonts w:cs="Calibri"/>
          <w:sz w:val="24"/>
          <w:szCs w:val="24"/>
        </w:rPr>
        <w:t xml:space="preserve"> 2nd </w:t>
      </w:r>
      <w:proofErr w:type="spellStart"/>
      <w:r w:rsidRPr="0094254C">
        <w:rPr>
          <w:rFonts w:cs="Calibri"/>
          <w:sz w:val="24"/>
          <w:szCs w:val="24"/>
        </w:rPr>
        <w:t>edn</w:t>
      </w:r>
      <w:proofErr w:type="spellEnd"/>
      <w:r w:rsidRPr="0094254C">
        <w:rPr>
          <w:rFonts w:cs="Calibri"/>
          <w:sz w:val="24"/>
          <w:szCs w:val="24"/>
        </w:rPr>
        <w:t>. Bristol: Policy Press.</w:t>
      </w:r>
    </w:p>
    <w:p w14:paraId="2A7AA8A0"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Health and Social Care Act 2008 (Regulated Activities) Regulations 2014, SI 2014/2936. Available at: https://www.legislation.gov.uk/uksi/2014/2936/contents (Accessed: 20 August 2026).</w:t>
      </w:r>
    </w:p>
    <w:p w14:paraId="6C135240" w14:textId="780A6985" w:rsidR="000E0352" w:rsidRPr="0094254C" w:rsidRDefault="000E0352" w:rsidP="0094254C">
      <w:pPr>
        <w:pStyle w:val="EndNoteBibliography"/>
        <w:spacing w:before="240" w:after="0" w:line="360" w:lineRule="auto"/>
        <w:rPr>
          <w:sz w:val="24"/>
          <w:szCs w:val="24"/>
        </w:rPr>
      </w:pPr>
      <w:r w:rsidRPr="0094254C">
        <w:rPr>
          <w:sz w:val="24"/>
          <w:szCs w:val="24"/>
        </w:rPr>
        <w:t xml:space="preserve">Howick, J., Bennett-Weston, A., Solomon, J., Nockels, K., Bostock, J. and Keshtkar, L. (2024) 'How does communication affect patient safety? Protocol for a systematic review and logic model', </w:t>
      </w:r>
      <w:r w:rsidRPr="0094254C">
        <w:rPr>
          <w:i/>
          <w:sz w:val="24"/>
          <w:szCs w:val="24"/>
        </w:rPr>
        <w:t>BMJ Open,</w:t>
      </w:r>
      <w:r w:rsidRPr="0094254C">
        <w:rPr>
          <w:sz w:val="24"/>
          <w:szCs w:val="24"/>
        </w:rPr>
        <w:t xml:space="preserve"> 14(5), pp. e085312.</w:t>
      </w:r>
    </w:p>
    <w:p w14:paraId="3EA3CCD4"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Information Commissioner's Office (ICO) (2026) </w:t>
      </w:r>
      <w:r w:rsidRPr="0094254C">
        <w:rPr>
          <w:rFonts w:cs="Calibri"/>
          <w:i/>
          <w:sz w:val="24"/>
          <w:szCs w:val="24"/>
        </w:rPr>
        <w:t>A guide to the data protection principles</w:t>
      </w:r>
      <w:r w:rsidRPr="0094254C">
        <w:rPr>
          <w:rFonts w:cs="Calibri"/>
          <w:sz w:val="24"/>
          <w:szCs w:val="24"/>
        </w:rPr>
        <w:t>. Available at: https://ico.org.uk/for-organisations/uk-gdpr-guidance-and-resources/data-protection-principles/a-guide-to-the-data-protection-principles/ (Accessed: 20 August 2026).</w:t>
      </w:r>
    </w:p>
    <w:p w14:paraId="3E5BB044" w14:textId="77777777" w:rsidR="000E0352" w:rsidRPr="0094254C" w:rsidRDefault="000E0352" w:rsidP="0094254C">
      <w:pPr>
        <w:pStyle w:val="EndNoteBibliography"/>
        <w:spacing w:before="240" w:after="0" w:line="360" w:lineRule="auto"/>
        <w:rPr>
          <w:sz w:val="24"/>
          <w:szCs w:val="24"/>
        </w:rPr>
      </w:pPr>
      <w:r w:rsidRPr="0094254C">
        <w:rPr>
          <w:sz w:val="24"/>
          <w:szCs w:val="24"/>
        </w:rPr>
        <w:t xml:space="preserve">Kelly, F., Frerk, C., Bailey, C., Cook, T., Ferguson, K., Flin, R., Fong, K., Groom, P., John, C. and Lang, A. (2023) 'Implementing human factors in anaesthesia: guidance for clinicians, departments and hospitals: guidelines from the Difficult Airway Society and the Association of Anaesthetists', </w:t>
      </w:r>
      <w:r w:rsidRPr="0094254C">
        <w:rPr>
          <w:i/>
          <w:sz w:val="24"/>
          <w:szCs w:val="24"/>
        </w:rPr>
        <w:t>Anaesthesia,</w:t>
      </w:r>
      <w:r w:rsidRPr="0094254C">
        <w:rPr>
          <w:sz w:val="24"/>
          <w:szCs w:val="24"/>
        </w:rPr>
        <w:t xml:space="preserve"> 78(4), pp. 458-478.</w:t>
      </w:r>
    </w:p>
    <w:p w14:paraId="5E85ED34" w14:textId="77777777" w:rsidR="000E0352" w:rsidRPr="0094254C" w:rsidRDefault="000E0352" w:rsidP="0094254C">
      <w:pPr>
        <w:pStyle w:val="EndNoteBibliography"/>
        <w:spacing w:before="240" w:after="0" w:line="360" w:lineRule="auto"/>
        <w:rPr>
          <w:sz w:val="24"/>
          <w:szCs w:val="24"/>
        </w:rPr>
      </w:pPr>
      <w:r w:rsidRPr="0094254C">
        <w:rPr>
          <w:sz w:val="24"/>
          <w:szCs w:val="24"/>
        </w:rPr>
        <w:t xml:space="preserve">Kerr, S., McIlroy, D. and Davidson, G. (2026) 'Restraint in health and social care settings', </w:t>
      </w:r>
      <w:r w:rsidRPr="0094254C">
        <w:rPr>
          <w:i/>
          <w:sz w:val="24"/>
          <w:szCs w:val="24"/>
        </w:rPr>
        <w:t>International Journal of Law and Psychiatry,</w:t>
      </w:r>
      <w:r w:rsidRPr="0094254C">
        <w:rPr>
          <w:sz w:val="24"/>
          <w:szCs w:val="24"/>
        </w:rPr>
        <w:t xml:space="preserve"> 105, pp. 102195.</w:t>
      </w:r>
    </w:p>
    <w:p w14:paraId="2C0E5EE8" w14:textId="78CFA81B" w:rsidR="000E0352" w:rsidRPr="0094254C" w:rsidRDefault="000E0352" w:rsidP="0094254C">
      <w:pPr>
        <w:pStyle w:val="EndNoteBibliography"/>
        <w:spacing w:before="240" w:after="0" w:line="360" w:lineRule="auto"/>
        <w:rPr>
          <w:sz w:val="24"/>
          <w:szCs w:val="24"/>
        </w:rPr>
      </w:pPr>
      <w:r w:rsidRPr="0094254C">
        <w:rPr>
          <w:sz w:val="24"/>
          <w:szCs w:val="24"/>
        </w:rPr>
        <w:t>Lau, J. Y. C., Wong, E. L. Y., Chung, R. Y., Law, S. C., Threapleton, D., Kiang, N., Chau, P., Wong, S. Y., Woo, J. and</w:t>
      </w:r>
    </w:p>
    <w:p w14:paraId="0E240FBE" w14:textId="475A44EA" w:rsidR="000E0352" w:rsidRPr="0094254C" w:rsidRDefault="000E0352" w:rsidP="0094254C">
      <w:pPr>
        <w:pStyle w:val="ReferenceEntry"/>
        <w:spacing w:before="240" w:line="360" w:lineRule="auto"/>
        <w:ind w:left="0" w:firstLine="0"/>
        <w:rPr>
          <w:rFonts w:cs="Calibri"/>
          <w:sz w:val="24"/>
          <w:szCs w:val="24"/>
          <w:lang w:val="en-US"/>
        </w:rPr>
      </w:pPr>
      <w:r w:rsidRPr="0094254C">
        <w:rPr>
          <w:rFonts w:cs="Calibri"/>
          <w:sz w:val="24"/>
          <w:szCs w:val="24"/>
          <w:lang w:val="en-US"/>
        </w:rPr>
        <w:lastRenderedPageBreak/>
        <w:t>Legislation.gov.uk (2014</w:t>
      </w:r>
      <w:r w:rsidRPr="0094254C">
        <w:rPr>
          <w:rFonts w:cs="Calibri"/>
          <w:sz w:val="24"/>
          <w:szCs w:val="24"/>
          <w:lang w:val="en-US"/>
        </w:rPr>
        <w:t>a</w:t>
      </w:r>
      <w:r w:rsidRPr="0094254C">
        <w:rPr>
          <w:rFonts w:cs="Calibri"/>
          <w:sz w:val="24"/>
          <w:szCs w:val="24"/>
          <w:lang w:val="en-US"/>
        </w:rPr>
        <w:t xml:space="preserve">) </w:t>
      </w:r>
      <w:r w:rsidRPr="0094254C">
        <w:rPr>
          <w:rFonts w:cs="Calibri"/>
          <w:i/>
          <w:iCs/>
          <w:sz w:val="24"/>
          <w:szCs w:val="24"/>
          <w:lang w:val="en-US"/>
        </w:rPr>
        <w:t>The health and social care act 2008 (regulated activities) regulations 2014</w:t>
      </w:r>
      <w:r w:rsidRPr="0094254C">
        <w:rPr>
          <w:rFonts w:cs="Calibri"/>
          <w:sz w:val="24"/>
          <w:szCs w:val="24"/>
          <w:lang w:val="en-US"/>
        </w:rPr>
        <w:t xml:space="preserve">, </w:t>
      </w:r>
      <w:r w:rsidRPr="0094254C">
        <w:rPr>
          <w:rFonts w:cs="Calibri"/>
          <w:i/>
          <w:iCs/>
          <w:sz w:val="24"/>
          <w:szCs w:val="24"/>
          <w:lang w:val="en-US"/>
        </w:rPr>
        <w:t>Legislation.gov.uk</w:t>
      </w:r>
      <w:r w:rsidRPr="0094254C">
        <w:rPr>
          <w:rFonts w:cs="Calibri"/>
          <w:sz w:val="24"/>
          <w:szCs w:val="24"/>
          <w:lang w:val="en-US"/>
        </w:rPr>
        <w:t>. Available at: https://www.legislation.gov.uk/uksi/2014/2936/contents (Accessed: August 20, 2026).</w:t>
      </w:r>
    </w:p>
    <w:p w14:paraId="20FCDCFA" w14:textId="6D12AE21" w:rsidR="000E0352" w:rsidRPr="0094254C" w:rsidRDefault="000E0352" w:rsidP="0094254C">
      <w:pPr>
        <w:pStyle w:val="ReferenceEntry"/>
        <w:spacing w:before="240" w:line="360" w:lineRule="auto"/>
        <w:ind w:left="0" w:firstLine="0"/>
        <w:rPr>
          <w:rFonts w:cs="Calibri"/>
          <w:sz w:val="24"/>
          <w:szCs w:val="24"/>
          <w:lang w:val="en-US"/>
        </w:rPr>
      </w:pPr>
      <w:r w:rsidRPr="0094254C">
        <w:rPr>
          <w:rFonts w:cs="Calibri"/>
          <w:sz w:val="24"/>
          <w:szCs w:val="24"/>
          <w:lang w:val="en-US"/>
        </w:rPr>
        <w:t>L</w:t>
      </w:r>
      <w:r w:rsidRPr="0094254C">
        <w:rPr>
          <w:rFonts w:cs="Calibri"/>
          <w:sz w:val="24"/>
          <w:szCs w:val="24"/>
          <w:lang w:val="en-US"/>
        </w:rPr>
        <w:t>egislation.gov.uk (2014</w:t>
      </w:r>
      <w:r w:rsidRPr="0094254C">
        <w:rPr>
          <w:rFonts w:cs="Calibri"/>
          <w:sz w:val="24"/>
          <w:szCs w:val="24"/>
          <w:lang w:val="en-US"/>
        </w:rPr>
        <w:t>b</w:t>
      </w:r>
      <w:r w:rsidRPr="0094254C">
        <w:rPr>
          <w:rFonts w:cs="Calibri"/>
          <w:sz w:val="24"/>
          <w:szCs w:val="24"/>
          <w:lang w:val="en-US"/>
        </w:rPr>
        <w:t xml:space="preserve">) </w:t>
      </w:r>
      <w:r w:rsidRPr="0094254C">
        <w:rPr>
          <w:rFonts w:cs="Calibri"/>
          <w:i/>
          <w:iCs/>
          <w:sz w:val="24"/>
          <w:szCs w:val="24"/>
          <w:lang w:val="en-US"/>
        </w:rPr>
        <w:t>Care act 2014</w:t>
      </w:r>
      <w:r w:rsidRPr="0094254C">
        <w:rPr>
          <w:rFonts w:cs="Calibri"/>
          <w:sz w:val="24"/>
          <w:szCs w:val="24"/>
          <w:lang w:val="en-US"/>
        </w:rPr>
        <w:t xml:space="preserve">, </w:t>
      </w:r>
      <w:r w:rsidRPr="0094254C">
        <w:rPr>
          <w:rFonts w:cs="Calibri"/>
          <w:i/>
          <w:iCs/>
          <w:sz w:val="24"/>
          <w:szCs w:val="24"/>
          <w:lang w:val="en-US"/>
        </w:rPr>
        <w:t>Legislation.gov.uk</w:t>
      </w:r>
      <w:r w:rsidRPr="0094254C">
        <w:rPr>
          <w:rFonts w:cs="Calibri"/>
          <w:sz w:val="24"/>
          <w:szCs w:val="24"/>
          <w:lang w:val="en-US"/>
        </w:rPr>
        <w:t>. Available at: https://www.legislation.gov.uk/ukpga/2014/23/contents (Accessed: August 20, 2026).</w:t>
      </w:r>
    </w:p>
    <w:p w14:paraId="6A9B0EE4"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National Institute for Health and Care Excellence (NICE) (2017) </w:t>
      </w:r>
      <w:r w:rsidRPr="0094254C">
        <w:rPr>
          <w:rFonts w:cs="Calibri"/>
          <w:i/>
          <w:sz w:val="24"/>
          <w:szCs w:val="24"/>
        </w:rPr>
        <w:t>Managing medicines for adults receiving social care in the community</w:t>
      </w:r>
      <w:r w:rsidRPr="0094254C">
        <w:rPr>
          <w:rFonts w:cs="Calibri"/>
          <w:sz w:val="24"/>
          <w:szCs w:val="24"/>
        </w:rPr>
        <w:t>. NICE guideline NG67. Available at: https://www.nice.org.uk/guidance/ng67 (Accessed: 20 August 2026).</w:t>
      </w:r>
    </w:p>
    <w:p w14:paraId="59973677" w14:textId="77777777" w:rsidR="0098151C" w:rsidRPr="0094254C" w:rsidRDefault="0098151C" w:rsidP="0094254C">
      <w:pPr>
        <w:pStyle w:val="ReferenceEntry"/>
        <w:spacing w:before="240" w:line="360" w:lineRule="auto"/>
        <w:ind w:left="0" w:firstLine="0"/>
        <w:rPr>
          <w:rFonts w:cs="Calibri"/>
          <w:sz w:val="24"/>
          <w:szCs w:val="24"/>
        </w:rPr>
      </w:pPr>
      <w:r w:rsidRPr="0094254C">
        <w:rPr>
          <w:rFonts w:cs="Calibri"/>
          <w:sz w:val="24"/>
          <w:szCs w:val="24"/>
        </w:rPr>
        <w:t xml:space="preserve">Thomas, J., Pollard, K.C. and Sellman, D. (eds.) (2014) </w:t>
      </w:r>
      <w:r w:rsidRPr="0094254C">
        <w:rPr>
          <w:rFonts w:cs="Calibri"/>
          <w:i/>
          <w:sz w:val="24"/>
          <w:szCs w:val="24"/>
        </w:rPr>
        <w:t>Interprofessional working in health and social care: Professional perspectives</w:t>
      </w:r>
      <w:r w:rsidRPr="0094254C">
        <w:rPr>
          <w:rFonts w:cs="Calibri"/>
          <w:sz w:val="24"/>
          <w:szCs w:val="24"/>
        </w:rPr>
        <w:t xml:space="preserve">. 2nd </w:t>
      </w:r>
      <w:proofErr w:type="spellStart"/>
      <w:r w:rsidRPr="0094254C">
        <w:rPr>
          <w:rFonts w:cs="Calibri"/>
          <w:sz w:val="24"/>
          <w:szCs w:val="24"/>
        </w:rPr>
        <w:t>edn</w:t>
      </w:r>
      <w:proofErr w:type="spellEnd"/>
      <w:r w:rsidRPr="0094254C">
        <w:rPr>
          <w:rFonts w:cs="Calibri"/>
          <w:sz w:val="24"/>
          <w:szCs w:val="24"/>
        </w:rPr>
        <w:t>. New York: Palgrave Macmillan.</w:t>
      </w:r>
    </w:p>
    <w:p w14:paraId="4F1E028A" w14:textId="119B2FFB" w:rsidR="000E0352" w:rsidRPr="0094254C" w:rsidRDefault="000E0352" w:rsidP="0094254C">
      <w:pPr>
        <w:pStyle w:val="EndNoteBibliography"/>
        <w:spacing w:before="240" w:after="0" w:line="360" w:lineRule="auto"/>
        <w:rPr>
          <w:sz w:val="24"/>
          <w:szCs w:val="24"/>
        </w:rPr>
      </w:pPr>
      <w:r w:rsidRPr="0094254C">
        <w:rPr>
          <w:sz w:val="24"/>
          <w:szCs w:val="24"/>
        </w:rPr>
        <w:t xml:space="preserve">Yeoh, E. K. (2018) 'Collaborate across silos: Perceived barriers to integration of care for the elderly from the perspectives of service providers', </w:t>
      </w:r>
      <w:r w:rsidRPr="0094254C">
        <w:rPr>
          <w:i/>
          <w:sz w:val="24"/>
          <w:szCs w:val="24"/>
        </w:rPr>
        <w:t xml:space="preserve">The International </w:t>
      </w:r>
      <w:r w:rsidRPr="0094254C">
        <w:rPr>
          <w:i/>
          <w:sz w:val="24"/>
          <w:szCs w:val="24"/>
        </w:rPr>
        <w:t>Journal</w:t>
      </w:r>
      <w:r w:rsidRPr="0094254C">
        <w:rPr>
          <w:i/>
          <w:sz w:val="24"/>
          <w:szCs w:val="24"/>
        </w:rPr>
        <w:t xml:space="preserve"> of </w:t>
      </w:r>
      <w:r w:rsidRPr="0094254C">
        <w:rPr>
          <w:i/>
          <w:sz w:val="24"/>
          <w:szCs w:val="24"/>
        </w:rPr>
        <w:t>Health Planning</w:t>
      </w:r>
      <w:r w:rsidRPr="0094254C">
        <w:rPr>
          <w:i/>
          <w:sz w:val="24"/>
          <w:szCs w:val="24"/>
        </w:rPr>
        <w:t xml:space="preserve"> and </w:t>
      </w:r>
      <w:r w:rsidRPr="0094254C">
        <w:rPr>
          <w:i/>
          <w:sz w:val="24"/>
          <w:szCs w:val="24"/>
        </w:rPr>
        <w:t>Management</w:t>
      </w:r>
      <w:r w:rsidRPr="0094254C">
        <w:rPr>
          <w:i/>
          <w:sz w:val="24"/>
          <w:szCs w:val="24"/>
        </w:rPr>
        <w:t>,</w:t>
      </w:r>
      <w:r w:rsidRPr="0094254C">
        <w:rPr>
          <w:sz w:val="24"/>
          <w:szCs w:val="24"/>
        </w:rPr>
        <w:t xml:space="preserve"> 33(3), pp. e768-e780.</w:t>
      </w:r>
    </w:p>
    <w:p w14:paraId="4D543802" w14:textId="77777777" w:rsidR="000E0352" w:rsidRPr="0094254C" w:rsidRDefault="000E0352" w:rsidP="0094254C">
      <w:pPr>
        <w:pStyle w:val="EndNoteBibliography"/>
        <w:spacing w:before="240" w:line="360" w:lineRule="auto"/>
        <w:rPr>
          <w:sz w:val="24"/>
          <w:szCs w:val="24"/>
        </w:rPr>
      </w:pPr>
      <w:r w:rsidRPr="0094254C">
        <w:rPr>
          <w:sz w:val="24"/>
          <w:szCs w:val="24"/>
        </w:rPr>
        <w:t xml:space="preserve">Salter, M. and Turner, T. (2008) </w:t>
      </w:r>
      <w:r w:rsidRPr="0094254C">
        <w:rPr>
          <w:i/>
          <w:sz w:val="24"/>
          <w:szCs w:val="24"/>
        </w:rPr>
        <w:t>Community mental health care: a practical guide to outdoor psychiatry.</w:t>
      </w:r>
      <w:r w:rsidRPr="0094254C">
        <w:rPr>
          <w:sz w:val="24"/>
          <w:szCs w:val="24"/>
        </w:rPr>
        <w:t xml:space="preserve"> Elsevier Health Sciences.</w:t>
      </w:r>
    </w:p>
    <w:p w14:paraId="26F2E3E8" w14:textId="77777777" w:rsidR="000E0352" w:rsidRPr="0094254C" w:rsidRDefault="000E0352" w:rsidP="0094254C">
      <w:pPr>
        <w:pStyle w:val="ReferenceEntry"/>
        <w:spacing w:line="360" w:lineRule="auto"/>
        <w:ind w:left="0" w:firstLine="0"/>
        <w:rPr>
          <w:rFonts w:cs="Calibri"/>
          <w:sz w:val="24"/>
          <w:szCs w:val="24"/>
        </w:rPr>
      </w:pPr>
    </w:p>
    <w:p w14:paraId="191153D1" w14:textId="77777777" w:rsidR="0098151C" w:rsidRPr="0094254C" w:rsidRDefault="0098151C" w:rsidP="0094254C">
      <w:pPr>
        <w:pStyle w:val="ReferenceEntry"/>
        <w:spacing w:line="360" w:lineRule="auto"/>
        <w:ind w:left="0" w:firstLine="0"/>
        <w:rPr>
          <w:rFonts w:cs="Calibri"/>
          <w:sz w:val="24"/>
          <w:szCs w:val="24"/>
        </w:rPr>
      </w:pPr>
    </w:p>
    <w:p w14:paraId="6BDF8940" w14:textId="77777777" w:rsidR="00B6249B" w:rsidRPr="0094254C" w:rsidRDefault="00B6249B" w:rsidP="0094254C">
      <w:pPr>
        <w:spacing w:line="360" w:lineRule="auto"/>
        <w:rPr>
          <w:rFonts w:cs="Calibri"/>
          <w:sz w:val="24"/>
          <w:szCs w:val="24"/>
        </w:rPr>
      </w:pPr>
    </w:p>
    <w:sectPr w:rsidR="00B6249B" w:rsidRPr="0094254C" w:rsidSect="0098151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D4BFD" w14:textId="77777777" w:rsidR="00E94387" w:rsidRDefault="00E94387">
      <w:pPr>
        <w:spacing w:after="0" w:line="240" w:lineRule="auto"/>
      </w:pPr>
      <w:r>
        <w:separator/>
      </w:r>
    </w:p>
  </w:endnote>
  <w:endnote w:type="continuationSeparator" w:id="0">
    <w:p w14:paraId="1ED08A62" w14:textId="77777777" w:rsidR="00E94387" w:rsidRDefault="00E94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573317"/>
      <w:docPartObj>
        <w:docPartGallery w:val="Page Numbers (Bottom of Page)"/>
        <w:docPartUnique/>
      </w:docPartObj>
    </w:sdtPr>
    <w:sdtContent>
      <w:p w14:paraId="2E3B123F" w14:textId="77777777" w:rsidR="0098151C" w:rsidRPr="008E1304" w:rsidRDefault="0098151C">
        <w:pPr>
          <w:pStyle w:val="Footer"/>
          <w:jc w:val="center"/>
        </w:pPr>
        <w:r w:rsidRPr="008E1304">
          <w:fldChar w:fldCharType="begin"/>
        </w:r>
        <w:r w:rsidRPr="008E1304">
          <w:instrText xml:space="preserve"> PAGE   \* MERGEFORMAT </w:instrText>
        </w:r>
        <w:r w:rsidRPr="008E1304">
          <w:fldChar w:fldCharType="separate"/>
        </w:r>
        <w:r w:rsidRPr="008E1304">
          <w:t>2</w:t>
        </w:r>
        <w:r w:rsidRPr="008E1304">
          <w:fldChar w:fldCharType="end"/>
        </w:r>
      </w:p>
    </w:sdtContent>
  </w:sdt>
  <w:p w14:paraId="2B37C032" w14:textId="77777777" w:rsidR="0098151C" w:rsidRPr="008E1304" w:rsidRDefault="0098151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A9620" w14:textId="77777777" w:rsidR="00E94387" w:rsidRDefault="00E94387">
      <w:pPr>
        <w:spacing w:after="0" w:line="240" w:lineRule="auto"/>
      </w:pPr>
      <w:r>
        <w:separator/>
      </w:r>
    </w:p>
  </w:footnote>
  <w:footnote w:type="continuationSeparator" w:id="0">
    <w:p w14:paraId="6D782F49" w14:textId="77777777" w:rsidR="00E94387" w:rsidRDefault="00E94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7DBF0" w14:textId="77777777" w:rsidR="0098151C" w:rsidRPr="008E1304" w:rsidRDefault="0098151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8B0744"/>
    <w:multiLevelType w:val="hybridMultilevel"/>
    <w:tmpl w:val="226C00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4235214">
    <w:abstractNumId w:val="8"/>
  </w:num>
  <w:num w:numId="2" w16cid:durableId="148595197">
    <w:abstractNumId w:val="6"/>
  </w:num>
  <w:num w:numId="3" w16cid:durableId="1799834650">
    <w:abstractNumId w:val="5"/>
  </w:num>
  <w:num w:numId="4" w16cid:durableId="902251372">
    <w:abstractNumId w:val="4"/>
  </w:num>
  <w:num w:numId="5" w16cid:durableId="1886599840">
    <w:abstractNumId w:val="7"/>
  </w:num>
  <w:num w:numId="6" w16cid:durableId="619262013">
    <w:abstractNumId w:val="3"/>
  </w:num>
  <w:num w:numId="7" w16cid:durableId="701398344">
    <w:abstractNumId w:val="2"/>
  </w:num>
  <w:num w:numId="8" w16cid:durableId="2111045906">
    <w:abstractNumId w:val="1"/>
  </w:num>
  <w:num w:numId="9" w16cid:durableId="1382513971">
    <w:abstractNumId w:val="0"/>
  </w:num>
  <w:num w:numId="10" w16cid:durableId="8479131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98151C"/>
    <w:rsid w:val="000E0352"/>
    <w:rsid w:val="00463409"/>
    <w:rsid w:val="00715795"/>
    <w:rsid w:val="008530A6"/>
    <w:rsid w:val="00864EB6"/>
    <w:rsid w:val="00914F22"/>
    <w:rsid w:val="0094254C"/>
    <w:rsid w:val="0098151C"/>
    <w:rsid w:val="00AB7149"/>
    <w:rsid w:val="00B22B02"/>
    <w:rsid w:val="00B6249B"/>
    <w:rsid w:val="00B72837"/>
    <w:rsid w:val="00B75E2A"/>
    <w:rsid w:val="00B93234"/>
    <w:rsid w:val="00BC0382"/>
    <w:rsid w:val="00E943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A4417"/>
  <w15:chartTrackingRefBased/>
  <w15:docId w15:val="{E52C3008-38E5-48AD-AAE8-AE984945D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51C"/>
    <w:pPr>
      <w:spacing w:after="120" w:line="264" w:lineRule="auto"/>
      <w:jc w:val="both"/>
    </w:pPr>
    <w:rPr>
      <w:rFonts w:ascii="Calibri" w:eastAsiaTheme="minorEastAsia" w:hAnsi="Calibri"/>
      <w:color w:val="1F2937"/>
      <w:kern w:val="0"/>
      <w:sz w:val="22"/>
      <w:szCs w:val="22"/>
      <w:lang w:val="en-GB"/>
      <w14:ligatures w14:val="none"/>
    </w:rPr>
  </w:style>
  <w:style w:type="paragraph" w:styleId="Heading1">
    <w:name w:val="heading 1"/>
    <w:basedOn w:val="Normal"/>
    <w:next w:val="Normal"/>
    <w:link w:val="Heading1Char"/>
    <w:uiPriority w:val="9"/>
    <w:qFormat/>
    <w:rsid w:val="0098151C"/>
    <w:pPr>
      <w:keepNext/>
      <w:keepLines/>
      <w:spacing w:before="280" w:after="140"/>
      <w:outlineLvl w:val="0"/>
    </w:pPr>
    <w:rPr>
      <w:rFonts w:asciiTheme="majorHAnsi" w:eastAsiaTheme="majorEastAsia" w:hAnsiTheme="majorHAnsi" w:cstheme="majorBidi"/>
      <w:b/>
      <w:bCs/>
      <w:color w:val="20486A"/>
      <w:sz w:val="32"/>
      <w:szCs w:val="28"/>
    </w:rPr>
  </w:style>
  <w:style w:type="paragraph" w:styleId="Heading2">
    <w:name w:val="heading 2"/>
    <w:basedOn w:val="Normal"/>
    <w:next w:val="Normal"/>
    <w:link w:val="Heading2Char"/>
    <w:uiPriority w:val="9"/>
    <w:unhideWhenUsed/>
    <w:qFormat/>
    <w:rsid w:val="0098151C"/>
    <w:pPr>
      <w:keepNext/>
      <w:keepLines/>
      <w:spacing w:before="220" w:after="100"/>
      <w:outlineLvl w:val="1"/>
    </w:pPr>
    <w:rPr>
      <w:rFonts w:asciiTheme="majorHAnsi" w:eastAsiaTheme="majorEastAsia" w:hAnsiTheme="majorHAnsi" w:cstheme="majorBidi"/>
      <w:b/>
      <w:bCs/>
      <w:color w:val="20486A"/>
      <w:sz w:val="26"/>
      <w:szCs w:val="26"/>
    </w:rPr>
  </w:style>
  <w:style w:type="paragraph" w:styleId="Heading3">
    <w:name w:val="heading 3"/>
    <w:basedOn w:val="Normal"/>
    <w:next w:val="Normal"/>
    <w:link w:val="Heading3Char"/>
    <w:uiPriority w:val="9"/>
    <w:unhideWhenUsed/>
    <w:qFormat/>
    <w:rsid w:val="0098151C"/>
    <w:pPr>
      <w:keepNext/>
      <w:keepLines/>
      <w:spacing w:before="160" w:after="80"/>
      <w:outlineLvl w:val="2"/>
    </w:pPr>
    <w:rPr>
      <w:rFonts w:asciiTheme="majorHAnsi" w:eastAsiaTheme="majorEastAsia" w:hAnsiTheme="majorHAnsi" w:cstheme="majorBidi"/>
      <w:b/>
      <w:bCs/>
      <w:color w:val="2E5578"/>
      <w:sz w:val="24"/>
    </w:rPr>
  </w:style>
  <w:style w:type="paragraph" w:styleId="Heading4">
    <w:name w:val="heading 4"/>
    <w:basedOn w:val="Normal"/>
    <w:next w:val="Normal"/>
    <w:link w:val="Heading4Char"/>
    <w:uiPriority w:val="9"/>
    <w:semiHidden/>
    <w:unhideWhenUsed/>
    <w:qFormat/>
    <w:rsid w:val="0098151C"/>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98151C"/>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98151C"/>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98151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8151C"/>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98151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51C"/>
    <w:rPr>
      <w:rFonts w:asciiTheme="majorHAnsi" w:eastAsiaTheme="majorEastAsia" w:hAnsiTheme="majorHAnsi" w:cstheme="majorBidi"/>
      <w:b/>
      <w:bCs/>
      <w:color w:val="20486A"/>
      <w:kern w:val="0"/>
      <w:sz w:val="32"/>
      <w:szCs w:val="28"/>
      <w:lang w:val="en-GB"/>
      <w14:ligatures w14:val="none"/>
    </w:rPr>
  </w:style>
  <w:style w:type="character" w:customStyle="1" w:styleId="Heading2Char">
    <w:name w:val="Heading 2 Char"/>
    <w:basedOn w:val="DefaultParagraphFont"/>
    <w:link w:val="Heading2"/>
    <w:uiPriority w:val="9"/>
    <w:rsid w:val="0098151C"/>
    <w:rPr>
      <w:rFonts w:asciiTheme="majorHAnsi" w:eastAsiaTheme="majorEastAsia" w:hAnsiTheme="majorHAnsi" w:cstheme="majorBidi"/>
      <w:b/>
      <w:bCs/>
      <w:color w:val="20486A"/>
      <w:kern w:val="0"/>
      <w:sz w:val="26"/>
      <w:szCs w:val="26"/>
      <w:lang w:val="en-GB"/>
      <w14:ligatures w14:val="none"/>
    </w:rPr>
  </w:style>
  <w:style w:type="character" w:customStyle="1" w:styleId="Heading3Char">
    <w:name w:val="Heading 3 Char"/>
    <w:basedOn w:val="DefaultParagraphFont"/>
    <w:link w:val="Heading3"/>
    <w:uiPriority w:val="9"/>
    <w:rsid w:val="0098151C"/>
    <w:rPr>
      <w:rFonts w:asciiTheme="majorHAnsi" w:eastAsiaTheme="majorEastAsia" w:hAnsiTheme="majorHAnsi" w:cstheme="majorBidi"/>
      <w:b/>
      <w:bCs/>
      <w:color w:val="2E5578"/>
      <w:kern w:val="0"/>
      <w:szCs w:val="22"/>
      <w:lang w:val="en-GB"/>
      <w14:ligatures w14:val="none"/>
    </w:rPr>
  </w:style>
  <w:style w:type="character" w:customStyle="1" w:styleId="Heading4Char">
    <w:name w:val="Heading 4 Char"/>
    <w:basedOn w:val="DefaultParagraphFont"/>
    <w:link w:val="Heading4"/>
    <w:uiPriority w:val="9"/>
    <w:semiHidden/>
    <w:rsid w:val="0098151C"/>
    <w:rPr>
      <w:rFonts w:asciiTheme="majorHAnsi" w:eastAsiaTheme="majorEastAsia" w:hAnsiTheme="majorHAnsi" w:cstheme="majorBidi"/>
      <w:b/>
      <w:bCs/>
      <w:i/>
      <w:iCs/>
      <w:color w:val="156082" w:themeColor="accent1"/>
      <w:kern w:val="0"/>
      <w:sz w:val="22"/>
      <w:szCs w:val="22"/>
      <w:lang w:val="en-GB"/>
      <w14:ligatures w14:val="none"/>
    </w:rPr>
  </w:style>
  <w:style w:type="character" w:customStyle="1" w:styleId="Heading5Char">
    <w:name w:val="Heading 5 Char"/>
    <w:basedOn w:val="DefaultParagraphFont"/>
    <w:link w:val="Heading5"/>
    <w:uiPriority w:val="9"/>
    <w:semiHidden/>
    <w:rsid w:val="0098151C"/>
    <w:rPr>
      <w:rFonts w:asciiTheme="majorHAnsi" w:eastAsiaTheme="majorEastAsia" w:hAnsiTheme="majorHAnsi" w:cstheme="majorBidi"/>
      <w:color w:val="0A2F40" w:themeColor="accent1" w:themeShade="7F"/>
      <w:kern w:val="0"/>
      <w:sz w:val="22"/>
      <w:szCs w:val="22"/>
      <w:lang w:val="en-GB"/>
      <w14:ligatures w14:val="none"/>
    </w:rPr>
  </w:style>
  <w:style w:type="character" w:customStyle="1" w:styleId="Heading6Char">
    <w:name w:val="Heading 6 Char"/>
    <w:basedOn w:val="DefaultParagraphFont"/>
    <w:link w:val="Heading6"/>
    <w:uiPriority w:val="9"/>
    <w:semiHidden/>
    <w:rsid w:val="0098151C"/>
    <w:rPr>
      <w:rFonts w:asciiTheme="majorHAnsi" w:eastAsiaTheme="majorEastAsia" w:hAnsiTheme="majorHAnsi" w:cstheme="majorBidi"/>
      <w:i/>
      <w:iCs/>
      <w:color w:val="0A2F40" w:themeColor="accent1" w:themeShade="7F"/>
      <w:kern w:val="0"/>
      <w:sz w:val="22"/>
      <w:szCs w:val="22"/>
      <w:lang w:val="en-GB"/>
      <w14:ligatures w14:val="none"/>
    </w:rPr>
  </w:style>
  <w:style w:type="character" w:customStyle="1" w:styleId="Heading7Char">
    <w:name w:val="Heading 7 Char"/>
    <w:basedOn w:val="DefaultParagraphFont"/>
    <w:link w:val="Heading7"/>
    <w:uiPriority w:val="9"/>
    <w:semiHidden/>
    <w:rsid w:val="0098151C"/>
    <w:rPr>
      <w:rFonts w:asciiTheme="majorHAnsi" w:eastAsiaTheme="majorEastAsia" w:hAnsiTheme="majorHAnsi" w:cstheme="majorBidi"/>
      <w:i/>
      <w:iCs/>
      <w:color w:val="404040" w:themeColor="text1" w:themeTint="BF"/>
      <w:kern w:val="0"/>
      <w:sz w:val="22"/>
      <w:szCs w:val="22"/>
      <w:lang w:val="en-GB"/>
      <w14:ligatures w14:val="none"/>
    </w:rPr>
  </w:style>
  <w:style w:type="character" w:customStyle="1" w:styleId="Heading8Char">
    <w:name w:val="Heading 8 Char"/>
    <w:basedOn w:val="DefaultParagraphFont"/>
    <w:link w:val="Heading8"/>
    <w:uiPriority w:val="9"/>
    <w:semiHidden/>
    <w:rsid w:val="0098151C"/>
    <w:rPr>
      <w:rFonts w:asciiTheme="majorHAnsi" w:eastAsiaTheme="majorEastAsia" w:hAnsiTheme="majorHAnsi" w:cstheme="majorBidi"/>
      <w:color w:val="156082" w:themeColor="accent1"/>
      <w:kern w:val="0"/>
      <w:sz w:val="20"/>
      <w:szCs w:val="20"/>
      <w:lang w:val="en-GB"/>
      <w14:ligatures w14:val="none"/>
    </w:rPr>
  </w:style>
  <w:style w:type="character" w:customStyle="1" w:styleId="Heading9Char">
    <w:name w:val="Heading 9 Char"/>
    <w:basedOn w:val="DefaultParagraphFont"/>
    <w:link w:val="Heading9"/>
    <w:uiPriority w:val="9"/>
    <w:semiHidden/>
    <w:rsid w:val="0098151C"/>
    <w:rPr>
      <w:rFonts w:asciiTheme="majorHAnsi" w:eastAsiaTheme="majorEastAsia" w:hAnsiTheme="majorHAnsi" w:cstheme="majorBidi"/>
      <w:i/>
      <w:iCs/>
      <w:color w:val="404040" w:themeColor="text1" w:themeTint="BF"/>
      <w:kern w:val="0"/>
      <w:sz w:val="20"/>
      <w:szCs w:val="20"/>
      <w:lang w:val="en-GB"/>
      <w14:ligatures w14:val="none"/>
    </w:rPr>
  </w:style>
  <w:style w:type="paragraph" w:styleId="Title">
    <w:name w:val="Title"/>
    <w:basedOn w:val="Normal"/>
    <w:next w:val="Normal"/>
    <w:link w:val="TitleChar"/>
    <w:uiPriority w:val="10"/>
    <w:qFormat/>
    <w:rsid w:val="0098151C"/>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98151C"/>
    <w:rPr>
      <w:rFonts w:asciiTheme="majorHAnsi" w:eastAsiaTheme="majorEastAsia" w:hAnsiTheme="majorHAnsi" w:cstheme="majorBidi"/>
      <w:color w:val="0A1D30" w:themeColor="text2" w:themeShade="BF"/>
      <w:spacing w:val="5"/>
      <w:kern w:val="28"/>
      <w:sz w:val="52"/>
      <w:szCs w:val="52"/>
      <w:lang w:val="en-GB"/>
      <w14:ligatures w14:val="none"/>
    </w:rPr>
  </w:style>
  <w:style w:type="paragraph" w:styleId="Subtitle">
    <w:name w:val="Subtitle"/>
    <w:basedOn w:val="Normal"/>
    <w:next w:val="Normal"/>
    <w:link w:val="SubtitleChar"/>
    <w:uiPriority w:val="11"/>
    <w:qFormat/>
    <w:rsid w:val="0098151C"/>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98151C"/>
    <w:rPr>
      <w:rFonts w:asciiTheme="majorHAnsi" w:eastAsiaTheme="majorEastAsia" w:hAnsiTheme="majorHAnsi" w:cstheme="majorBidi"/>
      <w:i/>
      <w:iCs/>
      <w:color w:val="156082" w:themeColor="accent1"/>
      <w:spacing w:val="15"/>
      <w:kern w:val="0"/>
      <w:lang w:val="en-GB"/>
      <w14:ligatures w14:val="none"/>
    </w:rPr>
  </w:style>
  <w:style w:type="paragraph" w:styleId="Quote">
    <w:name w:val="Quote"/>
    <w:basedOn w:val="Normal"/>
    <w:next w:val="Normal"/>
    <w:link w:val="QuoteChar"/>
    <w:uiPriority w:val="29"/>
    <w:qFormat/>
    <w:rsid w:val="0098151C"/>
    <w:rPr>
      <w:i/>
      <w:iCs/>
      <w:color w:val="000000" w:themeColor="text1"/>
    </w:rPr>
  </w:style>
  <w:style w:type="character" w:customStyle="1" w:styleId="QuoteChar">
    <w:name w:val="Quote Char"/>
    <w:basedOn w:val="DefaultParagraphFont"/>
    <w:link w:val="Quote"/>
    <w:uiPriority w:val="29"/>
    <w:rsid w:val="0098151C"/>
    <w:rPr>
      <w:rFonts w:ascii="Calibri" w:eastAsiaTheme="minorEastAsia" w:hAnsi="Calibri"/>
      <w:i/>
      <w:iCs/>
      <w:color w:val="000000" w:themeColor="text1"/>
      <w:kern w:val="0"/>
      <w:sz w:val="22"/>
      <w:szCs w:val="22"/>
      <w:lang w:val="en-GB"/>
      <w14:ligatures w14:val="none"/>
    </w:rPr>
  </w:style>
  <w:style w:type="paragraph" w:styleId="ListParagraph">
    <w:name w:val="List Paragraph"/>
    <w:basedOn w:val="Normal"/>
    <w:uiPriority w:val="34"/>
    <w:qFormat/>
    <w:rsid w:val="0098151C"/>
    <w:pPr>
      <w:ind w:left="720"/>
      <w:contextualSpacing/>
    </w:pPr>
  </w:style>
  <w:style w:type="character" w:styleId="IntenseEmphasis">
    <w:name w:val="Intense Emphasis"/>
    <w:basedOn w:val="DefaultParagraphFont"/>
    <w:uiPriority w:val="21"/>
    <w:qFormat/>
    <w:rsid w:val="0098151C"/>
    <w:rPr>
      <w:b/>
      <w:bCs/>
      <w:i/>
      <w:iCs/>
      <w:color w:val="156082" w:themeColor="accent1"/>
    </w:rPr>
  </w:style>
  <w:style w:type="paragraph" w:styleId="IntenseQuote">
    <w:name w:val="Intense Quote"/>
    <w:basedOn w:val="Normal"/>
    <w:next w:val="Normal"/>
    <w:link w:val="IntenseQuoteChar"/>
    <w:uiPriority w:val="30"/>
    <w:qFormat/>
    <w:rsid w:val="0098151C"/>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98151C"/>
    <w:rPr>
      <w:rFonts w:ascii="Calibri" w:eastAsiaTheme="minorEastAsia" w:hAnsi="Calibri"/>
      <w:b/>
      <w:bCs/>
      <w:i/>
      <w:iCs/>
      <w:color w:val="156082" w:themeColor="accent1"/>
      <w:kern w:val="0"/>
      <w:sz w:val="22"/>
      <w:szCs w:val="22"/>
      <w:lang w:val="en-GB"/>
      <w14:ligatures w14:val="none"/>
    </w:rPr>
  </w:style>
  <w:style w:type="character" w:styleId="IntenseReference">
    <w:name w:val="Intense Reference"/>
    <w:basedOn w:val="DefaultParagraphFont"/>
    <w:uiPriority w:val="32"/>
    <w:qFormat/>
    <w:rsid w:val="0098151C"/>
    <w:rPr>
      <w:b/>
      <w:bCs/>
      <w:smallCaps/>
      <w:color w:val="E97132" w:themeColor="accent2"/>
      <w:spacing w:val="5"/>
      <w:u w:val="single"/>
    </w:rPr>
  </w:style>
  <w:style w:type="paragraph" w:styleId="Header">
    <w:name w:val="header"/>
    <w:basedOn w:val="Normal"/>
    <w:link w:val="HeaderChar"/>
    <w:uiPriority w:val="99"/>
    <w:unhideWhenUsed/>
    <w:rsid w:val="009815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51C"/>
    <w:rPr>
      <w:rFonts w:ascii="Calibri" w:eastAsiaTheme="minorEastAsia" w:hAnsi="Calibri"/>
      <w:color w:val="1F2937"/>
      <w:kern w:val="0"/>
      <w:sz w:val="22"/>
      <w:szCs w:val="22"/>
      <w:lang w:val="en-GB"/>
      <w14:ligatures w14:val="none"/>
    </w:rPr>
  </w:style>
  <w:style w:type="paragraph" w:styleId="Footer">
    <w:name w:val="footer"/>
    <w:basedOn w:val="Normal"/>
    <w:link w:val="FooterChar"/>
    <w:uiPriority w:val="99"/>
    <w:unhideWhenUsed/>
    <w:rsid w:val="009815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51C"/>
    <w:rPr>
      <w:rFonts w:ascii="Calibri" w:eastAsiaTheme="minorEastAsia" w:hAnsi="Calibri"/>
      <w:color w:val="1F2937"/>
      <w:kern w:val="0"/>
      <w:sz w:val="22"/>
      <w:szCs w:val="22"/>
      <w:lang w:val="en-GB"/>
      <w14:ligatures w14:val="none"/>
    </w:rPr>
  </w:style>
  <w:style w:type="paragraph" w:styleId="NoSpacing">
    <w:name w:val="No Spacing"/>
    <w:uiPriority w:val="1"/>
    <w:qFormat/>
    <w:rsid w:val="0098151C"/>
    <w:pPr>
      <w:spacing w:after="0" w:line="240" w:lineRule="auto"/>
    </w:pPr>
    <w:rPr>
      <w:rFonts w:eastAsiaTheme="minorEastAsia"/>
      <w:kern w:val="0"/>
      <w:sz w:val="22"/>
      <w:szCs w:val="22"/>
      <w14:ligatures w14:val="none"/>
    </w:rPr>
  </w:style>
  <w:style w:type="paragraph" w:styleId="BodyText">
    <w:name w:val="Body Text"/>
    <w:basedOn w:val="Normal"/>
    <w:link w:val="BodyTextChar"/>
    <w:uiPriority w:val="99"/>
    <w:unhideWhenUsed/>
    <w:rsid w:val="0098151C"/>
  </w:style>
  <w:style w:type="character" w:customStyle="1" w:styleId="BodyTextChar">
    <w:name w:val="Body Text Char"/>
    <w:basedOn w:val="DefaultParagraphFont"/>
    <w:link w:val="BodyText"/>
    <w:uiPriority w:val="99"/>
    <w:rsid w:val="0098151C"/>
    <w:rPr>
      <w:rFonts w:ascii="Calibri" w:eastAsiaTheme="minorEastAsia" w:hAnsi="Calibri"/>
      <w:color w:val="1F2937"/>
      <w:kern w:val="0"/>
      <w:sz w:val="22"/>
      <w:szCs w:val="22"/>
      <w:lang w:val="en-GB"/>
      <w14:ligatures w14:val="none"/>
    </w:rPr>
  </w:style>
  <w:style w:type="paragraph" w:styleId="BodyText2">
    <w:name w:val="Body Text 2"/>
    <w:basedOn w:val="Normal"/>
    <w:link w:val="BodyText2Char"/>
    <w:uiPriority w:val="99"/>
    <w:unhideWhenUsed/>
    <w:rsid w:val="0098151C"/>
    <w:pPr>
      <w:spacing w:line="480" w:lineRule="auto"/>
    </w:pPr>
  </w:style>
  <w:style w:type="character" w:customStyle="1" w:styleId="BodyText2Char">
    <w:name w:val="Body Text 2 Char"/>
    <w:basedOn w:val="DefaultParagraphFont"/>
    <w:link w:val="BodyText2"/>
    <w:uiPriority w:val="99"/>
    <w:rsid w:val="0098151C"/>
    <w:rPr>
      <w:rFonts w:ascii="Calibri" w:eastAsiaTheme="minorEastAsia" w:hAnsi="Calibri"/>
      <w:color w:val="1F2937"/>
      <w:kern w:val="0"/>
      <w:sz w:val="22"/>
      <w:szCs w:val="22"/>
      <w:lang w:val="en-GB"/>
      <w14:ligatures w14:val="none"/>
    </w:rPr>
  </w:style>
  <w:style w:type="paragraph" w:styleId="BodyText3">
    <w:name w:val="Body Text 3"/>
    <w:basedOn w:val="Normal"/>
    <w:link w:val="BodyText3Char"/>
    <w:uiPriority w:val="99"/>
    <w:unhideWhenUsed/>
    <w:rsid w:val="0098151C"/>
    <w:rPr>
      <w:sz w:val="16"/>
      <w:szCs w:val="16"/>
    </w:rPr>
  </w:style>
  <w:style w:type="character" w:customStyle="1" w:styleId="BodyText3Char">
    <w:name w:val="Body Text 3 Char"/>
    <w:basedOn w:val="DefaultParagraphFont"/>
    <w:link w:val="BodyText3"/>
    <w:uiPriority w:val="99"/>
    <w:rsid w:val="0098151C"/>
    <w:rPr>
      <w:rFonts w:ascii="Calibri" w:eastAsiaTheme="minorEastAsia" w:hAnsi="Calibri"/>
      <w:color w:val="1F2937"/>
      <w:kern w:val="0"/>
      <w:sz w:val="16"/>
      <w:szCs w:val="16"/>
      <w:lang w:val="en-GB"/>
      <w14:ligatures w14:val="none"/>
    </w:rPr>
  </w:style>
  <w:style w:type="paragraph" w:styleId="List">
    <w:name w:val="List"/>
    <w:basedOn w:val="Normal"/>
    <w:uiPriority w:val="99"/>
    <w:unhideWhenUsed/>
    <w:rsid w:val="0098151C"/>
    <w:pPr>
      <w:ind w:left="360" w:hanging="360"/>
      <w:contextualSpacing/>
    </w:pPr>
  </w:style>
  <w:style w:type="paragraph" w:styleId="List2">
    <w:name w:val="List 2"/>
    <w:basedOn w:val="Normal"/>
    <w:uiPriority w:val="99"/>
    <w:unhideWhenUsed/>
    <w:rsid w:val="0098151C"/>
    <w:pPr>
      <w:ind w:left="720" w:hanging="360"/>
      <w:contextualSpacing/>
    </w:pPr>
  </w:style>
  <w:style w:type="paragraph" w:styleId="List3">
    <w:name w:val="List 3"/>
    <w:basedOn w:val="Normal"/>
    <w:uiPriority w:val="99"/>
    <w:unhideWhenUsed/>
    <w:rsid w:val="0098151C"/>
    <w:pPr>
      <w:ind w:left="1080" w:hanging="360"/>
      <w:contextualSpacing/>
    </w:pPr>
  </w:style>
  <w:style w:type="paragraph" w:styleId="ListBullet">
    <w:name w:val="List Bullet"/>
    <w:basedOn w:val="Normal"/>
    <w:uiPriority w:val="99"/>
    <w:unhideWhenUsed/>
    <w:rsid w:val="0098151C"/>
    <w:pPr>
      <w:numPr>
        <w:numId w:val="1"/>
      </w:numPr>
      <w:tabs>
        <w:tab w:val="clear" w:pos="360"/>
      </w:tabs>
      <w:ind w:left="0" w:firstLine="0"/>
      <w:contextualSpacing/>
    </w:pPr>
  </w:style>
  <w:style w:type="paragraph" w:styleId="ListBullet2">
    <w:name w:val="List Bullet 2"/>
    <w:basedOn w:val="Normal"/>
    <w:uiPriority w:val="99"/>
    <w:unhideWhenUsed/>
    <w:rsid w:val="0098151C"/>
    <w:pPr>
      <w:numPr>
        <w:numId w:val="2"/>
      </w:numPr>
      <w:tabs>
        <w:tab w:val="clear" w:pos="720"/>
      </w:tabs>
      <w:ind w:left="0" w:firstLine="0"/>
      <w:contextualSpacing/>
    </w:pPr>
  </w:style>
  <w:style w:type="paragraph" w:styleId="ListBullet3">
    <w:name w:val="List Bullet 3"/>
    <w:basedOn w:val="Normal"/>
    <w:uiPriority w:val="99"/>
    <w:unhideWhenUsed/>
    <w:rsid w:val="0098151C"/>
    <w:pPr>
      <w:numPr>
        <w:numId w:val="3"/>
      </w:numPr>
      <w:tabs>
        <w:tab w:val="clear" w:pos="1080"/>
      </w:tabs>
      <w:ind w:left="0" w:firstLine="0"/>
      <w:contextualSpacing/>
    </w:pPr>
  </w:style>
  <w:style w:type="paragraph" w:styleId="ListNumber">
    <w:name w:val="List Number"/>
    <w:basedOn w:val="Normal"/>
    <w:uiPriority w:val="99"/>
    <w:unhideWhenUsed/>
    <w:rsid w:val="0098151C"/>
    <w:pPr>
      <w:numPr>
        <w:numId w:val="5"/>
      </w:numPr>
      <w:tabs>
        <w:tab w:val="clear" w:pos="360"/>
      </w:tabs>
      <w:ind w:left="0" w:firstLine="0"/>
      <w:contextualSpacing/>
    </w:pPr>
  </w:style>
  <w:style w:type="paragraph" w:styleId="ListNumber2">
    <w:name w:val="List Number 2"/>
    <w:basedOn w:val="Normal"/>
    <w:uiPriority w:val="99"/>
    <w:unhideWhenUsed/>
    <w:rsid w:val="0098151C"/>
    <w:pPr>
      <w:numPr>
        <w:numId w:val="6"/>
      </w:numPr>
      <w:tabs>
        <w:tab w:val="clear" w:pos="720"/>
      </w:tabs>
      <w:ind w:left="0" w:firstLine="0"/>
      <w:contextualSpacing/>
    </w:pPr>
  </w:style>
  <w:style w:type="paragraph" w:styleId="ListNumber3">
    <w:name w:val="List Number 3"/>
    <w:basedOn w:val="Normal"/>
    <w:uiPriority w:val="99"/>
    <w:unhideWhenUsed/>
    <w:rsid w:val="0098151C"/>
    <w:pPr>
      <w:numPr>
        <w:numId w:val="7"/>
      </w:numPr>
      <w:tabs>
        <w:tab w:val="clear" w:pos="1080"/>
      </w:tabs>
      <w:ind w:left="0" w:firstLine="0"/>
      <w:contextualSpacing/>
    </w:pPr>
  </w:style>
  <w:style w:type="paragraph" w:styleId="ListContinue">
    <w:name w:val="List Continue"/>
    <w:basedOn w:val="Normal"/>
    <w:uiPriority w:val="99"/>
    <w:unhideWhenUsed/>
    <w:rsid w:val="0098151C"/>
    <w:pPr>
      <w:ind w:left="360"/>
      <w:contextualSpacing/>
    </w:pPr>
  </w:style>
  <w:style w:type="paragraph" w:styleId="ListContinue2">
    <w:name w:val="List Continue 2"/>
    <w:basedOn w:val="Normal"/>
    <w:uiPriority w:val="99"/>
    <w:unhideWhenUsed/>
    <w:rsid w:val="0098151C"/>
    <w:pPr>
      <w:ind w:left="720"/>
      <w:contextualSpacing/>
    </w:pPr>
  </w:style>
  <w:style w:type="paragraph" w:styleId="ListContinue3">
    <w:name w:val="List Continue 3"/>
    <w:basedOn w:val="Normal"/>
    <w:uiPriority w:val="99"/>
    <w:unhideWhenUsed/>
    <w:rsid w:val="0098151C"/>
    <w:pPr>
      <w:ind w:left="1080"/>
      <w:contextualSpacing/>
    </w:pPr>
  </w:style>
  <w:style w:type="paragraph" w:styleId="MacroText">
    <w:name w:val="macro"/>
    <w:link w:val="MacroTextChar"/>
    <w:uiPriority w:val="99"/>
    <w:unhideWhenUsed/>
    <w:rsid w:val="0098151C"/>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14:ligatures w14:val="none"/>
    </w:rPr>
  </w:style>
  <w:style w:type="character" w:customStyle="1" w:styleId="MacroTextChar">
    <w:name w:val="Macro Text Char"/>
    <w:basedOn w:val="DefaultParagraphFont"/>
    <w:link w:val="MacroText"/>
    <w:uiPriority w:val="99"/>
    <w:rsid w:val="0098151C"/>
    <w:rPr>
      <w:rFonts w:ascii="Courier" w:eastAsiaTheme="minorEastAsia" w:hAnsi="Courier"/>
      <w:kern w:val="0"/>
      <w:sz w:val="20"/>
      <w:szCs w:val="20"/>
      <w14:ligatures w14:val="none"/>
    </w:rPr>
  </w:style>
  <w:style w:type="paragraph" w:styleId="Caption">
    <w:name w:val="caption"/>
    <w:basedOn w:val="Normal"/>
    <w:next w:val="Normal"/>
    <w:uiPriority w:val="35"/>
    <w:semiHidden/>
    <w:unhideWhenUsed/>
    <w:qFormat/>
    <w:rsid w:val="0098151C"/>
    <w:pPr>
      <w:spacing w:line="240" w:lineRule="auto"/>
    </w:pPr>
    <w:rPr>
      <w:b/>
      <w:bCs/>
      <w:color w:val="156082" w:themeColor="accent1"/>
      <w:sz w:val="18"/>
      <w:szCs w:val="18"/>
    </w:rPr>
  </w:style>
  <w:style w:type="character" w:styleId="Strong">
    <w:name w:val="Strong"/>
    <w:basedOn w:val="DefaultParagraphFont"/>
    <w:uiPriority w:val="22"/>
    <w:qFormat/>
    <w:rsid w:val="0098151C"/>
    <w:rPr>
      <w:b/>
      <w:bCs/>
    </w:rPr>
  </w:style>
  <w:style w:type="character" w:styleId="Emphasis">
    <w:name w:val="Emphasis"/>
    <w:basedOn w:val="DefaultParagraphFont"/>
    <w:uiPriority w:val="20"/>
    <w:qFormat/>
    <w:rsid w:val="0098151C"/>
    <w:rPr>
      <w:i/>
      <w:iCs/>
    </w:rPr>
  </w:style>
  <w:style w:type="character" w:styleId="SubtleEmphasis">
    <w:name w:val="Subtle Emphasis"/>
    <w:basedOn w:val="DefaultParagraphFont"/>
    <w:uiPriority w:val="19"/>
    <w:qFormat/>
    <w:rsid w:val="0098151C"/>
    <w:rPr>
      <w:i/>
      <w:iCs/>
      <w:color w:val="808080" w:themeColor="text1" w:themeTint="7F"/>
    </w:rPr>
  </w:style>
  <w:style w:type="character" w:styleId="SubtleReference">
    <w:name w:val="Subtle Reference"/>
    <w:basedOn w:val="DefaultParagraphFont"/>
    <w:uiPriority w:val="31"/>
    <w:qFormat/>
    <w:rsid w:val="0098151C"/>
    <w:rPr>
      <w:smallCaps/>
      <w:color w:val="E97132" w:themeColor="accent2"/>
      <w:u w:val="single"/>
    </w:rPr>
  </w:style>
  <w:style w:type="character" w:styleId="BookTitle">
    <w:name w:val="Book Title"/>
    <w:basedOn w:val="DefaultParagraphFont"/>
    <w:uiPriority w:val="33"/>
    <w:qFormat/>
    <w:rsid w:val="0098151C"/>
    <w:rPr>
      <w:b/>
      <w:bCs/>
      <w:smallCaps/>
      <w:spacing w:val="5"/>
    </w:rPr>
  </w:style>
  <w:style w:type="paragraph" w:styleId="TOCHeading">
    <w:name w:val="TOC Heading"/>
    <w:basedOn w:val="Heading1"/>
    <w:next w:val="Normal"/>
    <w:uiPriority w:val="39"/>
    <w:semiHidden/>
    <w:unhideWhenUsed/>
    <w:qFormat/>
    <w:rsid w:val="0098151C"/>
    <w:pPr>
      <w:outlineLvl w:val="9"/>
    </w:pPr>
  </w:style>
  <w:style w:type="table" w:styleId="TableGrid">
    <w:name w:val="Table Grid"/>
    <w:basedOn w:val="TableNormal"/>
    <w:uiPriority w:val="59"/>
    <w:rsid w:val="0098151C"/>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98151C"/>
    <w:pPr>
      <w:spacing w:after="0" w:line="240" w:lineRule="auto"/>
    </w:pPr>
    <w:rPr>
      <w:rFonts w:eastAsiaTheme="minorEastAsia"/>
      <w:color w:val="000000" w:themeColor="text1" w:themeShade="BF"/>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8151C"/>
    <w:pPr>
      <w:spacing w:after="0" w:line="240" w:lineRule="auto"/>
    </w:pPr>
    <w:rPr>
      <w:rFonts w:eastAsiaTheme="minorEastAsia"/>
      <w:color w:val="0F4761" w:themeColor="accent1" w:themeShade="BF"/>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98151C"/>
    <w:pPr>
      <w:spacing w:after="0" w:line="240" w:lineRule="auto"/>
    </w:pPr>
    <w:rPr>
      <w:rFonts w:eastAsiaTheme="minorEastAsia"/>
      <w:color w:val="BF4E14" w:themeColor="accent2" w:themeShade="BF"/>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98151C"/>
    <w:pPr>
      <w:spacing w:after="0" w:line="240" w:lineRule="auto"/>
    </w:pPr>
    <w:rPr>
      <w:rFonts w:eastAsiaTheme="minorEastAsia"/>
      <w:color w:val="124F1A" w:themeColor="accent3" w:themeShade="BF"/>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98151C"/>
    <w:pPr>
      <w:spacing w:after="0" w:line="240" w:lineRule="auto"/>
    </w:pPr>
    <w:rPr>
      <w:rFonts w:eastAsiaTheme="minorEastAsia"/>
      <w:color w:val="0B769F" w:themeColor="accent4" w:themeShade="BF"/>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98151C"/>
    <w:pPr>
      <w:spacing w:after="0" w:line="240" w:lineRule="auto"/>
    </w:pPr>
    <w:rPr>
      <w:rFonts w:eastAsiaTheme="minorEastAsia"/>
      <w:color w:val="77206D" w:themeColor="accent5" w:themeShade="BF"/>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98151C"/>
    <w:pPr>
      <w:spacing w:after="0" w:line="240" w:lineRule="auto"/>
    </w:pPr>
    <w:rPr>
      <w:rFonts w:eastAsiaTheme="minorEastAsia"/>
      <w:color w:val="3A7C22" w:themeColor="accent6" w:themeShade="BF"/>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8151C"/>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8151C"/>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98151C"/>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98151C"/>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98151C"/>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98151C"/>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customStyle="1" w:styleId="ReferenceEntry">
    <w:name w:val="Reference Entry"/>
    <w:basedOn w:val="Normal"/>
    <w:rsid w:val="0098151C"/>
    <w:pPr>
      <w:spacing w:after="100" w:line="240" w:lineRule="auto"/>
      <w:ind w:left="403" w:hanging="403"/>
      <w:jc w:val="left"/>
    </w:pPr>
    <w:rPr>
      <w:sz w:val="20"/>
    </w:rPr>
  </w:style>
  <w:style w:type="paragraph" w:customStyle="1" w:styleId="EndNoteBibliographyTitle">
    <w:name w:val="EndNote Bibliography Title"/>
    <w:basedOn w:val="Normal"/>
    <w:link w:val="EndNoteBibliographyTitleChar"/>
    <w:rsid w:val="0098151C"/>
    <w:pPr>
      <w:spacing w:after="0"/>
      <w:jc w:val="center"/>
    </w:pPr>
    <w:rPr>
      <w:rFonts w:cs="Calibri"/>
      <w:noProof/>
      <w:sz w:val="20"/>
      <w:lang w:val="en-US"/>
    </w:rPr>
  </w:style>
  <w:style w:type="character" w:customStyle="1" w:styleId="EndNoteBibliographyTitleChar">
    <w:name w:val="EndNote Bibliography Title Char"/>
    <w:basedOn w:val="DefaultParagraphFont"/>
    <w:link w:val="EndNoteBibliographyTitle"/>
    <w:rsid w:val="0098151C"/>
    <w:rPr>
      <w:rFonts w:ascii="Calibri" w:eastAsiaTheme="minorEastAsia" w:hAnsi="Calibri" w:cs="Calibri"/>
      <w:noProof/>
      <w:color w:val="1F2937"/>
      <w:kern w:val="0"/>
      <w:sz w:val="20"/>
      <w:szCs w:val="22"/>
      <w14:ligatures w14:val="none"/>
    </w:rPr>
  </w:style>
  <w:style w:type="paragraph" w:customStyle="1" w:styleId="EndNoteBibliography">
    <w:name w:val="EndNote Bibliography"/>
    <w:basedOn w:val="Normal"/>
    <w:link w:val="EndNoteBibliographyChar"/>
    <w:rsid w:val="0098151C"/>
    <w:pPr>
      <w:spacing w:line="240" w:lineRule="auto"/>
      <w:jc w:val="left"/>
    </w:pPr>
    <w:rPr>
      <w:rFonts w:cs="Calibri"/>
      <w:noProof/>
      <w:sz w:val="20"/>
      <w:lang w:val="en-US"/>
    </w:rPr>
  </w:style>
  <w:style w:type="character" w:customStyle="1" w:styleId="EndNoteBibliographyChar">
    <w:name w:val="EndNote Bibliography Char"/>
    <w:basedOn w:val="DefaultParagraphFont"/>
    <w:link w:val="EndNoteBibliography"/>
    <w:rsid w:val="0098151C"/>
    <w:rPr>
      <w:rFonts w:ascii="Calibri" w:eastAsiaTheme="minorEastAsia" w:hAnsi="Calibri" w:cs="Calibri"/>
      <w:noProof/>
      <w:color w:val="1F2937"/>
      <w:kern w:val="0"/>
      <w:sz w:val="2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2276</Words>
  <Characters>12974</Characters>
  <Application>Microsoft Office Word</Application>
  <DocSecurity>0</DocSecurity>
  <Lines>108</Lines>
  <Paragraphs>30</Paragraphs>
  <ScaleCrop>false</ScaleCrop>
  <Company/>
  <LinksUpToDate>false</LinksUpToDate>
  <CharactersWithSpaces>15220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2026-08-20T11:17:00Z</dcterms:created>
  <dcterms:modified xsi:type="dcterms:W3CDTF">2026-08-20T11:24:00Z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a24914a0-06d3-4eb8-a6a8-1895a693ce93</vt:lpwstr>
  </property>
</Properties>
</file>