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7FAAE1" w14:textId="77777777" w:rsidR="0072679D" w:rsidRDefault="0072679D" w:rsidP="0072679D">
      <w:pPr>
        <w:spacing w:before="3600" w:after="0" w:line="480" w:lineRule="auto"/>
        <w:jc w:val="center"/>
        <w:rPr>
          <w:rFonts w:ascii="Arial" w:hAnsi="Arial"/>
          <w:color w:val="000000"/>
          <w:sz w:val="22"/>
        </w:rPr>
      </w:pPr>
      <w:r>
        <w:rPr>
          <w:rFonts w:ascii="Arial" w:hAnsi="Arial" w:cs="Arial"/>
          <w:color w:val="000000"/>
          <w:sz w:val="22"/>
        </w:rPr>
        <w:t>THE EFFECT OF GLOBALISATION ON AN ORGANISATIONS’ MARKETING STRATEGY</w:t>
      </w:r>
    </w:p>
    <w:p w14:paraId="107CA961" w14:textId="77777777" w:rsidR="0072679D" w:rsidRDefault="0072679D" w:rsidP="0072679D">
      <w:pPr>
        <w:spacing w:after="0" w:line="480" w:lineRule="auto"/>
        <w:rPr>
          <w:rFonts w:ascii="Arial" w:hAnsi="Arial" w:cs="Arial"/>
          <w:color w:val="000000"/>
          <w:sz w:val="22"/>
        </w:rPr>
      </w:pPr>
    </w:p>
    <w:p w14:paraId="0F1F4C3A" w14:textId="77777777" w:rsidR="0072679D" w:rsidRDefault="0072679D" w:rsidP="0072679D">
      <w:pPr>
        <w:spacing w:after="0" w:line="480" w:lineRule="auto"/>
        <w:rPr>
          <w:rFonts w:ascii="Arial" w:hAnsi="Arial" w:cs="Arial"/>
          <w:color w:val="000000"/>
          <w:sz w:val="22"/>
        </w:rPr>
      </w:pPr>
    </w:p>
    <w:p w14:paraId="4E650169" w14:textId="77777777" w:rsidR="0072679D" w:rsidRDefault="0072679D" w:rsidP="0072679D">
      <w:pPr>
        <w:spacing w:after="0" w:line="480" w:lineRule="auto"/>
        <w:rPr>
          <w:rFonts w:ascii="Arial" w:hAnsi="Arial" w:cs="Arial"/>
          <w:color w:val="000000"/>
          <w:sz w:val="22"/>
        </w:rPr>
      </w:pPr>
    </w:p>
    <w:p w14:paraId="51608123" w14:textId="77777777" w:rsidR="00B26188" w:rsidRDefault="00B26188" w:rsidP="0072679D">
      <w:pPr>
        <w:spacing w:after="0" w:line="480" w:lineRule="auto"/>
        <w:rPr>
          <w:rFonts w:ascii="Arial" w:hAnsi="Arial" w:cs="Arial"/>
          <w:color w:val="000000"/>
          <w:sz w:val="22"/>
        </w:rPr>
      </w:pPr>
    </w:p>
    <w:p w14:paraId="0338BAE9" w14:textId="77777777" w:rsidR="00B26188" w:rsidRDefault="00B26188" w:rsidP="0072679D">
      <w:pPr>
        <w:spacing w:after="0" w:line="480" w:lineRule="auto"/>
        <w:rPr>
          <w:rFonts w:ascii="Arial" w:hAnsi="Arial" w:cs="Arial"/>
          <w:color w:val="000000"/>
          <w:sz w:val="22"/>
        </w:rPr>
      </w:pPr>
    </w:p>
    <w:p w14:paraId="38F6463C" w14:textId="77777777" w:rsidR="00B26188" w:rsidRDefault="00B26188" w:rsidP="0072679D">
      <w:pPr>
        <w:spacing w:after="0" w:line="480" w:lineRule="auto"/>
        <w:rPr>
          <w:rFonts w:ascii="Arial" w:hAnsi="Arial" w:cs="Arial"/>
          <w:color w:val="000000"/>
          <w:sz w:val="22"/>
        </w:rPr>
      </w:pPr>
    </w:p>
    <w:p w14:paraId="03044794" w14:textId="32671DFD" w:rsidR="0072679D" w:rsidRDefault="0072679D" w:rsidP="0072679D">
      <w:pPr>
        <w:spacing w:after="0" w:line="480" w:lineRule="auto"/>
        <w:rPr>
          <w:rFonts w:ascii="Arial" w:hAnsi="Arial" w:cs="Arial"/>
          <w:color w:val="000000"/>
          <w:sz w:val="22"/>
        </w:rPr>
      </w:pPr>
      <w:r>
        <w:rPr>
          <w:rFonts w:ascii="Arial" w:hAnsi="Arial" w:cs="Arial"/>
          <w:color w:val="000000"/>
          <w:sz w:val="22"/>
        </w:rPr>
        <w:t>NAME: MARIAN COSMIN VILAIA</w:t>
      </w:r>
    </w:p>
    <w:p w14:paraId="0FCAD290" w14:textId="77777777" w:rsidR="0072679D" w:rsidRDefault="0072679D" w:rsidP="0072679D">
      <w:pPr>
        <w:spacing w:after="0" w:line="480" w:lineRule="auto"/>
        <w:rPr>
          <w:rFonts w:ascii="Arial" w:hAnsi="Arial" w:cs="Arial"/>
          <w:color w:val="000000"/>
          <w:sz w:val="22"/>
        </w:rPr>
      </w:pPr>
      <w:r>
        <w:rPr>
          <w:rFonts w:ascii="Arial" w:hAnsi="Arial" w:cs="Arial"/>
          <w:color w:val="000000"/>
          <w:sz w:val="22"/>
        </w:rPr>
        <w:t>STUDENT NUMBER: 2113634</w:t>
      </w:r>
    </w:p>
    <w:p w14:paraId="0B81B49D" w14:textId="439F2D7F" w:rsidR="0072679D" w:rsidRDefault="0072679D" w:rsidP="0072679D">
      <w:pPr>
        <w:spacing w:after="0" w:line="480" w:lineRule="auto"/>
        <w:rPr>
          <w:rFonts w:ascii="Arial" w:hAnsi="Arial" w:cs="Arial"/>
          <w:color w:val="000000"/>
          <w:sz w:val="22"/>
        </w:rPr>
      </w:pPr>
      <w:r>
        <w:rPr>
          <w:rFonts w:ascii="Arial" w:hAnsi="Arial" w:cs="Arial"/>
          <w:color w:val="000000"/>
          <w:sz w:val="22"/>
        </w:rPr>
        <w:t>MODULE CODE: LCBB4004 MARKETING FUNDAMENTALS</w:t>
      </w:r>
    </w:p>
    <w:p w14:paraId="4CA1392D" w14:textId="65A099C2" w:rsidR="0072679D" w:rsidRDefault="0072679D" w:rsidP="0072679D">
      <w:pPr>
        <w:spacing w:after="0" w:line="480" w:lineRule="auto"/>
        <w:rPr>
          <w:rFonts w:ascii="Arial" w:hAnsi="Arial" w:cs="Arial"/>
          <w:color w:val="000000"/>
          <w:sz w:val="22"/>
        </w:rPr>
      </w:pPr>
      <w:r>
        <w:rPr>
          <w:rFonts w:ascii="Arial" w:hAnsi="Arial" w:cs="Arial"/>
          <w:color w:val="000000"/>
          <w:sz w:val="22"/>
        </w:rPr>
        <w:t>LECTURER: ZAMEER HUSSAIN</w:t>
      </w:r>
    </w:p>
    <w:p w14:paraId="1D2531B6" w14:textId="7F6CC9AB" w:rsidR="0072679D" w:rsidRDefault="0072679D" w:rsidP="0072679D">
      <w:pPr>
        <w:spacing w:after="0" w:line="480" w:lineRule="auto"/>
        <w:rPr>
          <w:rFonts w:ascii="Arial" w:hAnsi="Arial"/>
          <w:color w:val="000000"/>
          <w:sz w:val="22"/>
        </w:rPr>
      </w:pPr>
      <w:r>
        <w:br w:type="page"/>
      </w:r>
    </w:p>
    <w:p w14:paraId="36F0DD26" w14:textId="77777777" w:rsidR="0072679D" w:rsidRDefault="0072679D" w:rsidP="0072679D">
      <w:pPr>
        <w:pStyle w:val="Heading1"/>
      </w:pPr>
      <w:r>
        <w:lastRenderedPageBreak/>
        <w:t>Using Appropriate Theories and Frameworks to Describe the Role of Marketing in Creating</w:t>
      </w:r>
    </w:p>
    <w:p w14:paraId="5160BFF6" w14:textId="77777777" w:rsidR="0072679D" w:rsidRDefault="0072679D" w:rsidP="0072679D">
      <w:pPr>
        <w:pStyle w:val="Heading1"/>
      </w:pPr>
      <w:r>
        <w:t>Value for Customers</w:t>
      </w:r>
    </w:p>
    <w:p w14:paraId="07B13350" w14:textId="77777777" w:rsidR="0072679D" w:rsidRDefault="0072679D" w:rsidP="0072679D">
      <w:pPr>
        <w:pStyle w:val="Heading2"/>
      </w:pPr>
      <w:r>
        <w:t>Introduction</w:t>
      </w:r>
    </w:p>
    <w:p w14:paraId="340A299A" w14:textId="77777777" w:rsidR="0072679D" w:rsidRDefault="0072679D" w:rsidP="0072679D">
      <w:pPr>
        <w:pStyle w:val="BodyText"/>
      </w:pPr>
      <w:r>
        <w:t>There seems to be no established understanding, framework, or classification of customer value, the same way as there is no widely agreed-upon definition of customer value. Although each has its advantages, none of the approaches done so far is specifically tailored as tools for creating marketing strategies or for creating metrics of consumer value.</w:t>
      </w:r>
    </w:p>
    <w:p w14:paraId="04EAD2DD" w14:textId="77777777" w:rsidR="0072679D" w:rsidRDefault="0072679D" w:rsidP="0072679D">
      <w:pPr>
        <w:pStyle w:val="Heading2"/>
      </w:pPr>
      <w:r>
        <w:t>Customer Needs</w:t>
      </w:r>
    </w:p>
    <w:p w14:paraId="3FA81A90" w14:textId="77777777" w:rsidR="0072679D" w:rsidRDefault="0072679D" w:rsidP="0072679D">
      <w:pPr>
        <w:pStyle w:val="BodyText"/>
      </w:pPr>
      <w:r>
        <w:t xml:space="preserve">Functional, representational, and experiential needs are the three fundamental consumer needs that </w:t>
      </w:r>
      <w:proofErr w:type="spellStart"/>
      <w:r>
        <w:t>Katsikeas</w:t>
      </w:r>
      <w:proofErr w:type="spellEnd"/>
      <w:r>
        <w:t xml:space="preserve">, </w:t>
      </w:r>
      <w:proofErr w:type="spellStart"/>
      <w:r>
        <w:t>Leonidou</w:t>
      </w:r>
      <w:proofErr w:type="spellEnd"/>
      <w:r>
        <w:t xml:space="preserve">, and </w:t>
      </w:r>
      <w:proofErr w:type="spellStart"/>
      <w:r>
        <w:t>Zeriti</w:t>
      </w:r>
      <w:proofErr w:type="spellEnd"/>
      <w:r>
        <w:t xml:space="preserve"> (2019) identify in an early understanding of consumer wants and which reflect value aspects. Functional needs drive the hunt for items that address consumption-related issues. Representational demands are cravings for things that satisfy ego-identification, self-improvement, role-positioning, or group membership requirements that are internally created. Desires for goods that offer positive aspects, variety, or mental stimulation are known as experiential demands. Value perceptions are driven by consumers' requirements, wants, and preferences. Therefore, </w:t>
      </w:r>
      <w:proofErr w:type="spellStart"/>
      <w:r>
        <w:t>Katsikeas</w:t>
      </w:r>
      <w:proofErr w:type="spellEnd"/>
      <w:r>
        <w:t xml:space="preserve">, </w:t>
      </w:r>
      <w:proofErr w:type="spellStart"/>
      <w:r>
        <w:t>Leonidou</w:t>
      </w:r>
      <w:proofErr w:type="spellEnd"/>
      <w:r>
        <w:t xml:space="preserve">, and </w:t>
      </w:r>
      <w:proofErr w:type="spellStart"/>
      <w:r>
        <w:t>Zeriti</w:t>
      </w:r>
      <w:proofErr w:type="spellEnd"/>
      <w:r>
        <w:t xml:space="preserve"> (2019) tacitly propose three fundamental categories of value: functional value, representational value, and experiential value. Nevertheless, the typology above neither suggests lower-order conceptual sub-dimensions, and neither does it reflect the cost/sacrifice part of customer value that the basic definition implies.</w:t>
      </w:r>
    </w:p>
    <w:p w14:paraId="2F0FDB95" w14:textId="77777777" w:rsidR="0072679D" w:rsidRDefault="0072679D" w:rsidP="0072679D">
      <w:pPr>
        <w:pStyle w:val="Heading2"/>
      </w:pPr>
      <w:r>
        <w:t>Orientations of Customers' Values</w:t>
      </w:r>
    </w:p>
    <w:p w14:paraId="0E67B1BB" w14:textId="77777777" w:rsidR="0072679D" w:rsidRDefault="0072679D" w:rsidP="0072679D">
      <w:pPr>
        <w:pStyle w:val="BodyText"/>
      </w:pPr>
      <w:r>
        <w:t xml:space="preserve">According to Zhang, Gu, and Jahromi (2019), the five categories of value that influence customer choice are functional value, social benefit, emotional benefit, symbolic benefits, and perceived value. The perceived usefulness of an option due to its innate, attribute-based, or distinctive feature capacity to fulfil its functional, economic, or practical aims is represented by </w:t>
      </w:r>
      <w:r>
        <w:lastRenderedPageBreak/>
        <w:t xml:space="preserve">functional value. Social benefit is the perceived usefulness of choice due to its symbolism and pictures concerning or disconnection from reference groups that are demographic, social, economic, and </w:t>
      </w:r>
      <w:proofErr w:type="gramStart"/>
      <w:r>
        <w:t>culture-based</w:t>
      </w:r>
      <w:proofErr w:type="gramEnd"/>
      <w:r>
        <w:t xml:space="preserve">. Emotional value is the derived satisfaction that an alternative is seen to have </w:t>
      </w:r>
      <w:proofErr w:type="gramStart"/>
      <w:r>
        <w:t>as a result of</w:t>
      </w:r>
      <w:proofErr w:type="gramEnd"/>
      <w:r>
        <w:t xml:space="preserve"> its capacity to elicit or sustain certain emotions or affective states, such as ease, safety, pleasure, passion, enthusiasm, terror, or guilt. The symbolic value is the perceived benefit that results from a choice's capacity to pique interest, offer novelty, or satiate a need for information. Finally, perceived value is the perception of value that a choice is thought to have due to the </w:t>
      </w:r>
      <w:proofErr w:type="gramStart"/>
      <w:r>
        <w:t>particular circumstance</w:t>
      </w:r>
      <w:proofErr w:type="gramEnd"/>
      <w:r>
        <w:t xml:space="preserve"> or the practical or social context faced by the individual making a decision. The cost/sacrifice component of customer value is not specifically covered by this typology, although it is connected to the significantly greater constructs proposed by Park, </w:t>
      </w:r>
      <w:proofErr w:type="spellStart"/>
      <w:r>
        <w:t>Katsikeas</w:t>
      </w:r>
      <w:proofErr w:type="spellEnd"/>
      <w:r>
        <w:t xml:space="preserve">, </w:t>
      </w:r>
      <w:proofErr w:type="spellStart"/>
      <w:r>
        <w:t>Leonidou</w:t>
      </w:r>
      <w:proofErr w:type="spellEnd"/>
      <w:r>
        <w:t xml:space="preserve">, and </w:t>
      </w:r>
      <w:proofErr w:type="spellStart"/>
      <w:r>
        <w:t>Zeriti</w:t>
      </w:r>
      <w:proofErr w:type="spellEnd"/>
      <w:r>
        <w:t xml:space="preserve"> (2019). Additionally, this approach does not account for additional practical, experiential, and symbolic aspects of customer value.</w:t>
      </w:r>
    </w:p>
    <w:p w14:paraId="3B1A1B2A" w14:textId="77777777" w:rsidR="0072679D" w:rsidRDefault="0072679D" w:rsidP="0072679D">
      <w:pPr>
        <w:pStyle w:val="BodyText"/>
      </w:pPr>
      <w:r>
        <w:t>Frameworks from more recent times have emphasised customer value in particular settings. According to Holbrook (2019), eight different types of value can be found in business partnerships, including quality of product, distribution, order-to-delivery time, direct product costs (pricing), operational costs, interpersonal connection, supplier knowledge, and support services. Holbrook lists three or four specific benefits that are representative of each area. This framework does a good job of defining relationship value, but there are additional forms of value that customers may perceive or get in a business-to-business setting.</w:t>
      </w:r>
    </w:p>
    <w:p w14:paraId="7390F7FE" w14:textId="77777777" w:rsidR="0072679D" w:rsidRDefault="0072679D" w:rsidP="0072679D">
      <w:pPr>
        <w:pStyle w:val="BodyText"/>
      </w:pPr>
      <w:r>
        <w:t xml:space="preserve">Five main types of value for the customer are identified by Heinonen, Jaakkola, and </w:t>
      </w:r>
      <w:proofErr w:type="spellStart"/>
      <w:r>
        <w:t>Neganova</w:t>
      </w:r>
      <w:proofErr w:type="spellEnd"/>
      <w:r>
        <w:t xml:space="preserve"> (2018): net customer value, which describes the balance of benefits and sacrifices; derived customer value describing use and experience results; marketing customer value describing the product's perceived characteristics, sale customer value describing the reduction of </w:t>
      </w:r>
      <w:r>
        <w:lastRenderedPageBreak/>
        <w:t xml:space="preserve">cost or sacrifice, and rational customer value describing the evaluation of fairness in the benefit-sacrifice balance. In the most thorough framework to date, Heinonen, Jaakkola, and </w:t>
      </w:r>
      <w:proofErr w:type="spellStart"/>
      <w:r>
        <w:t>Neganova</w:t>
      </w:r>
      <w:proofErr w:type="spellEnd"/>
      <w:r>
        <w:t xml:space="preserve"> identify numerous particular types of the value connected to his </w:t>
      </w:r>
      <w:proofErr w:type="gramStart"/>
      <w:r>
        <w:t>higher-order</w:t>
      </w:r>
      <w:proofErr w:type="gramEnd"/>
      <w:r>
        <w:t xml:space="preserve">, including derived, marketing, and sale customer value structures. However, there is a lot of category duplication in that the same advantages are listed under other areas. Heinonen, Jaakkola, and </w:t>
      </w:r>
      <w:proofErr w:type="spellStart"/>
      <w:r>
        <w:t>Neganova</w:t>
      </w:r>
      <w:proofErr w:type="spellEnd"/>
      <w:r>
        <w:t xml:space="preserve"> do not describe the most basic dimensions of customer value, whereby the specific advantages and sacrifices might be instructive illustrations, and the benefits and sacrifices identified do not entirely cover the realm of the higher-margin dimension of value. Due to these constraints, the framework cannot be used to prescribe marketing strategy or establish metrics for customer value's main components.</w:t>
      </w:r>
    </w:p>
    <w:p w14:paraId="1B86AE08" w14:textId="77777777" w:rsidR="0072679D" w:rsidRDefault="0072679D" w:rsidP="0072679D">
      <w:pPr>
        <w:pStyle w:val="BodyText"/>
      </w:pPr>
      <w:r>
        <w:t xml:space="preserve">Equivalent restrictions apply to Holbrook's (2019) customer value classification (axiology), which </w:t>
      </w:r>
      <w:proofErr w:type="gramStart"/>
      <w:r>
        <w:t>takes into account</w:t>
      </w:r>
      <w:proofErr w:type="gramEnd"/>
      <w:r>
        <w:t xml:space="preserve"> the form of the value appraisal as well as the root of motivation (external or internal), orientation (individual or other), and type of the value evaluation (active or reactive). Holbrook's eight categories for value are efficiency, quality, prestige, esteem, play, aesthetic appeal, values, and spirituality. The customer value construct's scope is not entirely captured by this classification; even though it has a solid conceptual foundation, it might not be as applicable in business-to-business scenarios. According to Zimmerman and Blythe, 2017), it is also a customer outcome and meaning driven.</w:t>
      </w:r>
    </w:p>
    <w:p w14:paraId="18CF2BF8" w14:textId="77777777" w:rsidR="0072679D" w:rsidRDefault="0072679D" w:rsidP="0072679D">
      <w:pPr>
        <w:pStyle w:val="BodyText"/>
      </w:pPr>
      <w:proofErr w:type="spellStart"/>
      <w:r>
        <w:t>Kotabe</w:t>
      </w:r>
      <w:proofErr w:type="spellEnd"/>
      <w:r>
        <w:t xml:space="preserve"> and Helsen (2020) adopt a different viewpoint. He defines customer value by utilising three aspects: product features, purchases that are delivered, and transactional events. These aspects are connected to fundamental value-chain procedures (design, manufacturing, and marketing), which show how value is produced within businesses. Customers assess these </w:t>
      </w:r>
      <w:r>
        <w:lastRenderedPageBreak/>
        <w:t>variables, or sources of value, based on their accuracy, timeliness, appropriateness, and economics.</w:t>
      </w:r>
    </w:p>
    <w:p w14:paraId="5ED6925F" w14:textId="77777777" w:rsidR="0072679D" w:rsidRDefault="0072679D" w:rsidP="0072679D">
      <w:pPr>
        <w:pStyle w:val="BodyText"/>
      </w:pPr>
      <w:r>
        <w:t xml:space="preserve">Product attributes, fulfilled orders, and transactional events are the three value components that are specified; however, other components of value are produced by other organisational processes. The capacity to comprehend a product's characteristics, functions, benefits, and use, for instance, helps consumers perceive a product's worthwhile buying and using it. Product and business information is also important. Especially in the retail and service industry, the environment structure of the place where a product or service is sold or used is a significant source of value. </w:t>
      </w:r>
      <w:proofErr w:type="spellStart"/>
      <w:r>
        <w:t>Kotabe</w:t>
      </w:r>
      <w:proofErr w:type="spellEnd"/>
      <w:r>
        <w:t xml:space="preserve"> and Helsen (2020) state that consumer relationships with sales personnel, other employees, and transaction mechanisms or activities can contribute to the creation of transaction experiences. The foundation of such a value is relationships involving organisations, consumers, and staff. This type of value generated is typically sensory, although interactions can also lead to value that is cost- or sacrifice-related such as getting prompt service in a stress-free manner, like receiving the right order in a cafe, or representational or expressive, like being promoted to first-class on a flight.</w:t>
      </w:r>
    </w:p>
    <w:p w14:paraId="68BA3913" w14:textId="77777777" w:rsidR="0072679D" w:rsidRDefault="0072679D" w:rsidP="0072679D">
      <w:pPr>
        <w:pStyle w:val="Heading2"/>
      </w:pPr>
      <w:r>
        <w:t>Summary</w:t>
      </w:r>
    </w:p>
    <w:p w14:paraId="4B2C83B0" w14:textId="77777777" w:rsidR="0072679D" w:rsidRDefault="0072679D" w:rsidP="0072679D">
      <w:pPr>
        <w:pStyle w:val="BodyText"/>
      </w:pPr>
      <w:r>
        <w:t xml:space="preserve">The foundation of a marketing plan and marketing philosophy is an awareness of sources of customer value in various settings, and the tactics of creating customer value are more (or less) applicable in specific settings. However, due to conflicting definitions, concepts, frameworks, and categorisations of customer value, neither of which accurately meet the scope of the construct or are especially </w:t>
      </w:r>
      <w:proofErr w:type="gramStart"/>
      <w:r>
        <w:t>best-placed</w:t>
      </w:r>
      <w:proofErr w:type="gramEnd"/>
      <w:r>
        <w:t xml:space="preserve"> to either developing the strategic marketing choices or implementing the construct, it has been challenging to utilise the construct in both practice and market analysis. Before empirical research can adequately answer important </w:t>
      </w:r>
      <w:proofErr w:type="gramStart"/>
      <w:r>
        <w:t>consumer</w:t>
      </w:r>
      <w:proofErr w:type="gramEnd"/>
      <w:r>
        <w:t xml:space="preserve"> value research topics and enhance early assessment efforts, these problems must be handled (e.g., </w:t>
      </w:r>
      <w:r>
        <w:lastRenderedPageBreak/>
        <w:t xml:space="preserve">Holbrook 2019; </w:t>
      </w:r>
      <w:proofErr w:type="spellStart"/>
      <w:r>
        <w:t>Kotabe</w:t>
      </w:r>
      <w:proofErr w:type="spellEnd"/>
      <w:r>
        <w:t xml:space="preserve"> and Helsen, 2020). The majority of empirical studies, however, make an effort to address these problems by extending and integrating earlier research to produce a </w:t>
      </w:r>
      <w:proofErr w:type="gramStart"/>
      <w:r>
        <w:t>more complete and practical</w:t>
      </w:r>
      <w:proofErr w:type="gramEnd"/>
      <w:r>
        <w:t xml:space="preserve"> framework for the analysis of customer value creation. In doing so, they embrace the marketing manager's viewpoint of customer value, including the types of value generated and the methods by which a corporation can produce these values.</w:t>
      </w:r>
    </w:p>
    <w:p w14:paraId="05C4E576" w14:textId="77777777" w:rsidR="0072679D" w:rsidRDefault="0072679D" w:rsidP="0072679D">
      <w:pPr>
        <w:pStyle w:val="Heading1"/>
        <w:spacing w:before="115"/>
      </w:pPr>
      <w:r>
        <w:t>Identify the Role of Stakeholders within a Global Marketing Environment and their Impact</w:t>
      </w:r>
    </w:p>
    <w:p w14:paraId="6DA39045" w14:textId="77777777" w:rsidR="0072679D" w:rsidRDefault="0072679D" w:rsidP="0072679D">
      <w:pPr>
        <w:pStyle w:val="Heading1"/>
      </w:pPr>
      <w:r>
        <w:t>On the Marketing Activities of an Organisation</w:t>
      </w:r>
    </w:p>
    <w:p w14:paraId="36E28DF2" w14:textId="77777777" w:rsidR="0072679D" w:rsidRDefault="0072679D" w:rsidP="0072679D">
      <w:pPr>
        <w:pStyle w:val="BodyText"/>
      </w:pPr>
      <w:r>
        <w:t>According to Cooper (2017), product marketing is what propels products onto the global market and ensures that they thrive. As a result, to accomplish this goal, the product marketing position is reliant on the support of various organisational stakeholders. Market feedback is necessary for product marketers, including competitor strategies, win/loss evaluation, product attributes, case studies, user feedback, and consumer expectations (Yim et al., 2019). They also need to demonstrate value while exporting goods to global markets by utilising positioning, corporate empowerment, and marketing development strategies.</w:t>
      </w:r>
    </w:p>
    <w:p w14:paraId="2C6C3F87" w14:textId="77777777" w:rsidR="0072679D" w:rsidRDefault="0072679D" w:rsidP="0072679D">
      <w:pPr>
        <w:pStyle w:val="BodyText"/>
      </w:pPr>
      <w:r>
        <w:t xml:space="preserve">Although product marketing manages a lot of these responsibilities, they are by no means always responsible for or in charge of carrying out </w:t>
      </w:r>
      <w:proofErr w:type="gramStart"/>
      <w:r>
        <w:t>all of</w:t>
      </w:r>
      <w:proofErr w:type="gramEnd"/>
      <w:r>
        <w:t xml:space="preserve"> these tasks. The organisation's many divisions and functions must work thoughtfully and strategically together to accomplish this.</w:t>
      </w:r>
    </w:p>
    <w:p w14:paraId="4FCDE3E0" w14:textId="77777777" w:rsidR="0072679D" w:rsidRDefault="0072679D" w:rsidP="0072679D">
      <w:pPr>
        <w:pStyle w:val="BodyText"/>
      </w:pPr>
      <w:r>
        <w:t xml:space="preserve">According to </w:t>
      </w:r>
      <w:proofErr w:type="spellStart"/>
      <w:r>
        <w:t>Kotabe</w:t>
      </w:r>
      <w:proofErr w:type="spellEnd"/>
      <w:r>
        <w:t xml:space="preserve"> and Helsen (2020), global product marketing is among the few functions that closely collaborates with sales, sales management, production, product management, collaborations, advertising and promotion, communications, consumer satisfaction, and technology, among others, to efficiently gather market intelligence and manage product rollouts. The best way to succeed as an organisation is to make these cross-functional groups stakeholders.</w:t>
      </w:r>
    </w:p>
    <w:p w14:paraId="28ABED4E" w14:textId="77777777" w:rsidR="0072679D" w:rsidRDefault="0072679D" w:rsidP="0072679D">
      <w:pPr>
        <w:pStyle w:val="Heading2"/>
      </w:pPr>
      <w:r>
        <w:lastRenderedPageBreak/>
        <w:t>Who Are Stakeholders, and How Important Are They?</w:t>
      </w:r>
    </w:p>
    <w:p w14:paraId="66BB9683" w14:textId="77777777" w:rsidR="0072679D" w:rsidRDefault="0072679D" w:rsidP="0072679D">
      <w:pPr>
        <w:pStyle w:val="BodyText"/>
      </w:pPr>
      <w:r>
        <w:t>A stakeholder is any person, team, or organisation whose interests are affected by the project's outcomes (</w:t>
      </w:r>
      <w:proofErr w:type="spellStart"/>
      <w:r>
        <w:t>Kotabe</w:t>
      </w:r>
      <w:proofErr w:type="spellEnd"/>
      <w:r>
        <w:t xml:space="preserve"> and Helsen, 2020). They are invested in the successful completion of a project. For many, a stakeholder is simply anyone that they </w:t>
      </w:r>
      <w:proofErr w:type="gramStart"/>
      <w:r>
        <w:t>have to</w:t>
      </w:r>
      <w:proofErr w:type="gramEnd"/>
      <w:r>
        <w:t xml:space="preserve"> work for or get permission from. However, in practice, stakeholders can help product groups advance... However, if they are not frequently engaged, they can also make life tough for a business. The steps of working with stakeholders, setting goals, and, most significantly, making global marketing successful because of the stakeholders are outlined below.</w:t>
      </w:r>
    </w:p>
    <w:p w14:paraId="4589FCE0" w14:textId="77777777" w:rsidR="0072679D" w:rsidRDefault="0072679D" w:rsidP="0072679D">
      <w:pPr>
        <w:pStyle w:val="Heading2"/>
      </w:pPr>
      <w:r>
        <w:t>How to Ensure Cooperation Between Stakeholders</w:t>
      </w:r>
    </w:p>
    <w:p w14:paraId="59B6FCAF" w14:textId="77777777" w:rsidR="0072679D" w:rsidRDefault="0072679D" w:rsidP="0072679D">
      <w:pPr>
        <w:pStyle w:val="BodyText"/>
      </w:pPr>
      <w:r>
        <w:t>Stakeholders must be engaged frequently and from the start to gain their support. They must be involved early if they are to participate in the finished result (Cooper, 2017). This means that a company must work closely and frequently to develop a business case when recognising possibilities and requirements in the global market. They should also emphasise to their stakeholders that they share the same objectives and whenever an organisation succeeds in an endeavour, they succeed as well. Below is an example:</w:t>
      </w:r>
    </w:p>
    <w:p w14:paraId="5C08A136" w14:textId="77777777" w:rsidR="0072679D" w:rsidRDefault="0072679D" w:rsidP="0072679D">
      <w:pPr>
        <w:pStyle w:val="Heading2"/>
      </w:pPr>
      <w:r>
        <w:t>Product Marketers</w:t>
      </w:r>
    </w:p>
    <w:p w14:paraId="521D7413" w14:textId="77777777" w:rsidR="0072679D" w:rsidRDefault="0072679D" w:rsidP="0072679D">
      <w:pPr>
        <w:pStyle w:val="BodyText"/>
        <w:numPr>
          <w:ilvl w:val="0"/>
          <w:numId w:val="1"/>
        </w:numPr>
      </w:pPr>
      <w:r>
        <w:t>Objectives - The Company aims to advertise qualified leads. Product marketers may easily handle this area with knowledge, strategy, and value proposition.</w:t>
      </w:r>
    </w:p>
    <w:p w14:paraId="4EFAE67A" w14:textId="77777777" w:rsidR="0072679D" w:rsidRDefault="0072679D" w:rsidP="0072679D">
      <w:pPr>
        <w:numPr>
          <w:ilvl w:val="0"/>
          <w:numId w:val="1"/>
        </w:numPr>
        <w:spacing w:after="0" w:line="480" w:lineRule="auto"/>
        <w:rPr>
          <w:rFonts w:ascii="Arial" w:hAnsi="Arial"/>
          <w:color w:val="000000"/>
          <w:sz w:val="22"/>
        </w:rPr>
      </w:pPr>
      <w:r>
        <w:rPr>
          <w:rFonts w:ascii="Arial" w:hAnsi="Arial" w:cs="Arial"/>
          <w:color w:val="000000"/>
          <w:sz w:val="22"/>
        </w:rPr>
        <w:t>Organisational Support - An organisation should facilitate international marketing by educating stakeholders concerning the product plan and providing them with a head start on coming up with enhanced marketing campaigns and client acquisition tactics.</w:t>
      </w:r>
    </w:p>
    <w:p w14:paraId="0A68AD8A" w14:textId="77777777" w:rsidR="0072679D" w:rsidRDefault="0072679D" w:rsidP="0072679D">
      <w:pPr>
        <w:numPr>
          <w:ilvl w:val="0"/>
          <w:numId w:val="1"/>
        </w:numPr>
        <w:spacing w:after="0" w:line="480" w:lineRule="auto"/>
        <w:rPr>
          <w:rFonts w:ascii="Arial" w:hAnsi="Arial"/>
          <w:color w:val="000000"/>
          <w:sz w:val="22"/>
        </w:rPr>
      </w:pPr>
      <w:r>
        <w:rPr>
          <w:rFonts w:ascii="Arial" w:hAnsi="Arial" w:cs="Arial"/>
          <w:color w:val="000000"/>
          <w:sz w:val="22"/>
        </w:rPr>
        <w:t xml:space="preserve">Their Support - On the other hand, a company </w:t>
      </w:r>
      <w:proofErr w:type="gramStart"/>
      <w:r>
        <w:rPr>
          <w:rFonts w:ascii="Arial" w:hAnsi="Arial" w:cs="Arial"/>
          <w:color w:val="000000"/>
          <w:sz w:val="22"/>
        </w:rPr>
        <w:t>has to</w:t>
      </w:r>
      <w:proofErr w:type="gramEnd"/>
      <w:r>
        <w:rPr>
          <w:rFonts w:ascii="Arial" w:hAnsi="Arial" w:cs="Arial"/>
          <w:color w:val="000000"/>
          <w:sz w:val="22"/>
        </w:rPr>
        <w:t xml:space="preserve"> understand from product marketers what its go-to advertisements are and the best strategy or tactic for </w:t>
      </w:r>
      <w:r>
        <w:rPr>
          <w:rFonts w:ascii="Arial" w:hAnsi="Arial" w:cs="Arial"/>
          <w:color w:val="000000"/>
          <w:sz w:val="22"/>
        </w:rPr>
        <w:lastRenderedPageBreak/>
        <w:t>generating leads. They can use this to strengthen their job and support the marketing plan (</w:t>
      </w:r>
      <w:proofErr w:type="spellStart"/>
      <w:r>
        <w:rPr>
          <w:rFonts w:ascii="Arial" w:hAnsi="Arial" w:cs="Arial"/>
          <w:color w:val="000000"/>
          <w:sz w:val="22"/>
        </w:rPr>
        <w:t>Kotabe</w:t>
      </w:r>
      <w:proofErr w:type="spellEnd"/>
      <w:r>
        <w:rPr>
          <w:rFonts w:ascii="Arial" w:hAnsi="Arial" w:cs="Arial"/>
          <w:color w:val="000000"/>
          <w:sz w:val="22"/>
        </w:rPr>
        <w:t xml:space="preserve"> and Helsen, 2020).</w:t>
      </w:r>
    </w:p>
    <w:p w14:paraId="6CD64B17" w14:textId="77777777" w:rsidR="0072679D" w:rsidRDefault="0072679D" w:rsidP="0072679D">
      <w:pPr>
        <w:pStyle w:val="Heading2"/>
      </w:pPr>
      <w:r>
        <w:t>Sales Personnel</w:t>
      </w:r>
    </w:p>
    <w:p w14:paraId="740BA7E4" w14:textId="77777777" w:rsidR="0072679D" w:rsidRDefault="0072679D" w:rsidP="0072679D">
      <w:pPr>
        <w:pStyle w:val="BodyText"/>
        <w:numPr>
          <w:ilvl w:val="0"/>
          <w:numId w:val="2"/>
        </w:numPr>
      </w:pPr>
      <w:r>
        <w:t xml:space="preserve">Objectives - Alongside boosting sales, deal size, and win percentage are Metrics </w:t>
      </w:r>
      <w:proofErr w:type="spellStart"/>
      <w:r>
        <w:t>Kalogiannidis</w:t>
      </w:r>
      <w:proofErr w:type="spellEnd"/>
      <w:r>
        <w:t xml:space="preserve">, </w:t>
      </w:r>
      <w:proofErr w:type="spellStart"/>
      <w:r>
        <w:t>Melfou</w:t>
      </w:r>
      <w:proofErr w:type="spellEnd"/>
      <w:r>
        <w:t xml:space="preserve">, and </w:t>
      </w:r>
      <w:proofErr w:type="spellStart"/>
      <w:r>
        <w:t>Papaevangelou</w:t>
      </w:r>
      <w:proofErr w:type="spellEnd"/>
      <w:r>
        <w:t xml:space="preserve"> (2020), which the marketing and sales personnel may work together to enhance.</w:t>
      </w:r>
    </w:p>
    <w:p w14:paraId="7E34BD73" w14:textId="77777777" w:rsidR="0072679D" w:rsidRDefault="0072679D" w:rsidP="0072679D">
      <w:pPr>
        <w:numPr>
          <w:ilvl w:val="0"/>
          <w:numId w:val="2"/>
        </w:numPr>
        <w:spacing w:after="0" w:line="480" w:lineRule="auto"/>
        <w:rPr>
          <w:rFonts w:ascii="Arial" w:hAnsi="Arial"/>
          <w:color w:val="000000"/>
          <w:sz w:val="22"/>
        </w:rPr>
      </w:pPr>
      <w:proofErr w:type="spellStart"/>
      <w:r>
        <w:rPr>
          <w:rFonts w:ascii="Arial" w:hAnsi="Arial" w:cs="Arial"/>
          <w:color w:val="000000"/>
          <w:sz w:val="22"/>
        </w:rPr>
        <w:t>Organsational</w:t>
      </w:r>
      <w:proofErr w:type="spellEnd"/>
      <w:r>
        <w:rPr>
          <w:rFonts w:ascii="Arial" w:hAnsi="Arial" w:cs="Arial"/>
          <w:color w:val="000000"/>
          <w:sz w:val="22"/>
        </w:rPr>
        <w:t xml:space="preserve"> support - Salespeople are also eager to learn from product marketers regarding strategies the company has in place to further set itself apart from rivals. Battlecards and the roadmap's clarity will be useful in the situation.</w:t>
      </w:r>
    </w:p>
    <w:p w14:paraId="4854ED12" w14:textId="77777777" w:rsidR="0072679D" w:rsidRDefault="0072679D" w:rsidP="0072679D">
      <w:pPr>
        <w:numPr>
          <w:ilvl w:val="0"/>
          <w:numId w:val="2"/>
        </w:numPr>
        <w:spacing w:after="0" w:line="480" w:lineRule="auto"/>
        <w:rPr>
          <w:rFonts w:ascii="Arial" w:hAnsi="Arial"/>
          <w:color w:val="000000"/>
          <w:sz w:val="22"/>
        </w:rPr>
      </w:pPr>
      <w:r>
        <w:rPr>
          <w:rFonts w:ascii="Arial" w:hAnsi="Arial" w:cs="Arial"/>
          <w:color w:val="000000"/>
          <w:sz w:val="22"/>
        </w:rPr>
        <w:t>Their Support - This is also a chance for a company to question salespeople about why they succeeded or failed, typical objections, and their views on rival companies in the global market.</w:t>
      </w:r>
    </w:p>
    <w:p w14:paraId="7D17B4F6" w14:textId="77777777" w:rsidR="0072679D" w:rsidRDefault="0072679D" w:rsidP="0072679D">
      <w:pPr>
        <w:pStyle w:val="Heading2"/>
      </w:pPr>
      <w:r>
        <w:t>Product Marketers</w:t>
      </w:r>
    </w:p>
    <w:p w14:paraId="11863103" w14:textId="77777777" w:rsidR="0072679D" w:rsidRDefault="0072679D" w:rsidP="0072679D">
      <w:pPr>
        <w:numPr>
          <w:ilvl w:val="0"/>
          <w:numId w:val="3"/>
        </w:numPr>
        <w:spacing w:after="0" w:line="480" w:lineRule="auto"/>
        <w:rPr>
          <w:rFonts w:ascii="Arial" w:hAnsi="Arial"/>
          <w:color w:val="000000"/>
          <w:sz w:val="22"/>
        </w:rPr>
      </w:pPr>
      <w:r>
        <w:rPr>
          <w:rFonts w:ascii="Arial" w:hAnsi="Arial" w:cs="Arial"/>
          <w:color w:val="000000"/>
          <w:sz w:val="22"/>
        </w:rPr>
        <w:t>Objectives - Product marketers should share responsibility for driving the adoption of the product and accept accountability for the outcomes if they desire to be full partners. Although tactical outcomes vary, their overall objectives are the same.</w:t>
      </w:r>
    </w:p>
    <w:p w14:paraId="64130C71" w14:textId="77777777" w:rsidR="0072679D" w:rsidRDefault="0072679D" w:rsidP="0072679D">
      <w:pPr>
        <w:numPr>
          <w:ilvl w:val="0"/>
          <w:numId w:val="3"/>
        </w:numPr>
        <w:spacing w:after="0" w:line="480" w:lineRule="auto"/>
        <w:rPr>
          <w:rFonts w:ascii="Arial" w:hAnsi="Arial"/>
          <w:color w:val="000000"/>
          <w:sz w:val="22"/>
        </w:rPr>
      </w:pPr>
      <w:r>
        <w:rPr>
          <w:rFonts w:ascii="Arial" w:hAnsi="Arial" w:cs="Arial"/>
          <w:color w:val="000000"/>
          <w:sz w:val="22"/>
        </w:rPr>
        <w:t>Organisational support - Product marketers are ready to hear the general market's valuable feedback to determine whether they are moving on the correct path or if there are any untapped prospects for customer assistance (</w:t>
      </w:r>
      <w:proofErr w:type="spellStart"/>
      <w:r>
        <w:rPr>
          <w:rFonts w:ascii="Arial" w:hAnsi="Arial" w:cs="Arial"/>
          <w:color w:val="000000"/>
          <w:sz w:val="22"/>
        </w:rPr>
        <w:t>Kotabe</w:t>
      </w:r>
      <w:proofErr w:type="spellEnd"/>
      <w:r>
        <w:rPr>
          <w:rFonts w:ascii="Arial" w:hAnsi="Arial" w:cs="Arial"/>
          <w:color w:val="000000"/>
          <w:sz w:val="22"/>
        </w:rPr>
        <w:t xml:space="preserve"> and Helsen, 2020). Additionally, they anticipate good feedback in the form of endorsements and case analysis in addition to feedback that could affect their strategy.</w:t>
      </w:r>
    </w:p>
    <w:p w14:paraId="49D12869" w14:textId="77777777" w:rsidR="0072679D" w:rsidRDefault="0072679D" w:rsidP="0072679D">
      <w:pPr>
        <w:numPr>
          <w:ilvl w:val="0"/>
          <w:numId w:val="3"/>
        </w:numPr>
        <w:spacing w:after="0" w:line="480" w:lineRule="auto"/>
        <w:rPr>
          <w:rFonts w:ascii="Arial" w:hAnsi="Arial"/>
          <w:color w:val="000000"/>
          <w:sz w:val="22"/>
        </w:rPr>
      </w:pPr>
      <w:r>
        <w:rPr>
          <w:rFonts w:ascii="Arial" w:hAnsi="Arial" w:cs="Arial"/>
          <w:color w:val="000000"/>
          <w:sz w:val="22"/>
        </w:rPr>
        <w:t>Their support - The success of a business relies on using a product marketer's expertise to impact the product marketing plan. The secret to product marketing's beneficial influence and achieving the desired product objectives is product management.</w:t>
      </w:r>
    </w:p>
    <w:p w14:paraId="78082A6B" w14:textId="77777777" w:rsidR="0072679D" w:rsidRDefault="0072679D" w:rsidP="0072679D">
      <w:pPr>
        <w:pStyle w:val="Heading2"/>
      </w:pPr>
      <w:r>
        <w:lastRenderedPageBreak/>
        <w:t>Leveraging Stakeholders for Support</w:t>
      </w:r>
    </w:p>
    <w:p w14:paraId="6C5048C0" w14:textId="77777777" w:rsidR="0072679D" w:rsidRDefault="0072679D" w:rsidP="0072679D">
      <w:pPr>
        <w:pStyle w:val="BodyText"/>
      </w:pPr>
      <w:r>
        <w:t xml:space="preserve">Making </w:t>
      </w:r>
      <w:proofErr w:type="gramStart"/>
      <w:r>
        <w:t>early-involved</w:t>
      </w:r>
      <w:proofErr w:type="gramEnd"/>
      <w:r>
        <w:t xml:space="preserve"> stakeholders an additional set of eyes is a win-win strategy for any business. This enhances the likelihood that they will cooperate and is aligned with the outcome by allowing them to be involved before finishing a technique or collateral. For instance, because they are intimately aware of the product and the market, the brand management team and salespeople can aid in the quality assurance of the product message and positioning (</w:t>
      </w:r>
      <w:proofErr w:type="spellStart"/>
      <w:r>
        <w:t>Leonidou</w:t>
      </w:r>
      <w:proofErr w:type="spellEnd"/>
      <w:r>
        <w:t xml:space="preserve"> and Hultman, 2019). Secondly, consumer loyalty can support the verification of customer opinions and presumptions. Finally, business development associates can let the company know the way partners can be seen and offer feedback on the marketing materials they use to get support.</w:t>
      </w:r>
    </w:p>
    <w:p w14:paraId="5F03CD95" w14:textId="77777777" w:rsidR="0072679D" w:rsidRDefault="0072679D" w:rsidP="0072679D">
      <w:pPr>
        <w:pStyle w:val="Heading2"/>
      </w:pPr>
      <w:r>
        <w:t>Scaling Product Launch with Stakeholders</w:t>
      </w:r>
    </w:p>
    <w:p w14:paraId="2FF2B342" w14:textId="77777777" w:rsidR="0072679D" w:rsidRDefault="0072679D" w:rsidP="0072679D">
      <w:pPr>
        <w:pStyle w:val="BodyText"/>
      </w:pPr>
      <w:r>
        <w:t>Unless a company is a scruffy start-up with a brand marketer who also makes telemarketing calls, runs an online ad, and does demos to launch any brand outside of the firm's walls and, more precisely, outside of national boundaries, an organisation needs the support of stakeholders.</w:t>
      </w:r>
    </w:p>
    <w:p w14:paraId="0CD3B48F" w14:textId="77777777" w:rsidR="0072679D" w:rsidRDefault="0072679D" w:rsidP="0072679D">
      <w:pPr>
        <w:pStyle w:val="BodyText"/>
      </w:pPr>
      <w:r>
        <w:t xml:space="preserve">According to </w:t>
      </w:r>
      <w:proofErr w:type="spellStart"/>
      <w:r>
        <w:t>Kotabe</w:t>
      </w:r>
      <w:proofErr w:type="spellEnd"/>
      <w:r>
        <w:t xml:space="preserve"> and Helsen (2020), companies should collaborate with their sales development representatives to ensure they fully embrace the language and forward to them any pertinent blogs so they can continue to seek customer prospects. They should make sure marketing is equipped with the necessary content, buyer profiles, and resources to properly carry out their expansion and fulfil global marketing responsibilities. To effectively pitch the product and align usage with the precise requirements of the global market, they should as well make sure salespeople are cognizant of the product use cases (Yim et al. 2019).</w:t>
      </w:r>
    </w:p>
    <w:p w14:paraId="30C293AA" w14:textId="77777777" w:rsidR="0072679D" w:rsidRDefault="0072679D" w:rsidP="0072679D">
      <w:pPr>
        <w:pStyle w:val="Heading2"/>
      </w:pPr>
      <w:r>
        <w:lastRenderedPageBreak/>
        <w:t>Leveraging Stakeholders to Assess Organisational Efforts</w:t>
      </w:r>
    </w:p>
    <w:p w14:paraId="33A79FB3" w14:textId="77777777" w:rsidR="0072679D" w:rsidRDefault="0072679D" w:rsidP="0072679D">
      <w:pPr>
        <w:pStyle w:val="BodyText"/>
      </w:pPr>
      <w:r>
        <w:t xml:space="preserve">While many distinct measures assess a product marketer's performance in local and international marketing, they all centre on encouraging customers and prospects to use or buy a company's product. Although a product marketer can take responsibility for tracking these activities independently </w:t>
      </w:r>
      <w:proofErr w:type="spellStart"/>
      <w:r>
        <w:t>Kalogiannidis</w:t>
      </w:r>
      <w:proofErr w:type="spellEnd"/>
      <w:r>
        <w:t xml:space="preserve">, </w:t>
      </w:r>
      <w:proofErr w:type="spellStart"/>
      <w:r>
        <w:t>Melfou</w:t>
      </w:r>
      <w:proofErr w:type="spellEnd"/>
      <w:r>
        <w:t xml:space="preserve">, and </w:t>
      </w:r>
      <w:proofErr w:type="spellStart"/>
      <w:r>
        <w:t>Papaevangelou</w:t>
      </w:r>
      <w:proofErr w:type="spellEnd"/>
      <w:r>
        <w:t>, (2020), some qualitative performance metrics call for extra information from other stakeholders who are directly promoting the product to global markets.</w:t>
      </w:r>
    </w:p>
    <w:p w14:paraId="40A65FAF" w14:textId="77777777" w:rsidR="0072679D" w:rsidRDefault="0072679D" w:rsidP="0072679D">
      <w:pPr>
        <w:pStyle w:val="BodyText"/>
      </w:pPr>
      <w:r>
        <w:t xml:space="preserve">The firm's content and development personnel can determine why a small per cent of an audience is adopting </w:t>
      </w:r>
      <w:proofErr w:type="gramStart"/>
      <w:r>
        <w:t>as a result of</w:t>
      </w:r>
      <w:proofErr w:type="gramEnd"/>
      <w:r>
        <w:t xml:space="preserve"> an advertisement and which global target categories are responding the most (Cooper, 2017). Similarly, only salespeople can determine why only a small portion of global prospects are interested in understanding more when the sales team presents a new product to them and what barriers their prospects may have encountered (Zimmerman and Blythe, 2017). Client success can also help a business understand why a customer segment bought a solution but only sometimes utilises it and what needs to be done to boost adoption.</w:t>
      </w:r>
    </w:p>
    <w:p w14:paraId="49B18541" w14:textId="77777777" w:rsidR="0072679D" w:rsidRDefault="0072679D" w:rsidP="0072679D">
      <w:pPr>
        <w:pStyle w:val="Heading2"/>
      </w:pPr>
      <w:r>
        <w:t>Making the Next Product Launch to Hit</w:t>
      </w:r>
    </w:p>
    <w:p w14:paraId="3A51EFCC" w14:textId="77777777" w:rsidR="0072679D" w:rsidRDefault="0072679D" w:rsidP="0072679D">
      <w:pPr>
        <w:pStyle w:val="BodyText"/>
      </w:pPr>
      <w:r>
        <w:t xml:space="preserve">The </w:t>
      </w:r>
      <w:proofErr w:type="gramStart"/>
      <w:r>
        <w:t>aforementioned actions</w:t>
      </w:r>
      <w:proofErr w:type="gramEnd"/>
      <w:r>
        <w:t xml:space="preserve"> are meant to enhance product marketing's engagement with key stakeholders, boost stakeholder support, and eventually enhance how a firm enters or expands in the global market. There is no denying the existence of group power. </w:t>
      </w:r>
      <w:proofErr w:type="spellStart"/>
      <w:r>
        <w:t>Leonidou</w:t>
      </w:r>
      <w:proofErr w:type="spellEnd"/>
      <w:r>
        <w:t xml:space="preserve"> and Hultman (2019) state that diverse teams can use this ability together to increase customer adoption, profitability, and business success. This system of reciprocal assistance is an ongoing process that does not only come to a stop with the release of a product. To activate more market value and maintain organisational performance, a company must continue providing value and obtaining backing from external stakeholders and internal advocates.</w:t>
      </w:r>
      <w:r>
        <w:br w:type="page"/>
      </w:r>
    </w:p>
    <w:p w14:paraId="74692F23" w14:textId="77777777" w:rsidR="0072679D" w:rsidRDefault="0072679D" w:rsidP="0072679D">
      <w:pPr>
        <w:pStyle w:val="Heading1"/>
      </w:pPr>
      <w:r>
        <w:lastRenderedPageBreak/>
        <w:t>References</w:t>
      </w:r>
    </w:p>
    <w:p w14:paraId="02423D3E" w14:textId="77777777" w:rsidR="0072679D" w:rsidRDefault="0072679D" w:rsidP="0072679D">
      <w:pPr>
        <w:spacing w:after="0" w:line="480" w:lineRule="auto"/>
        <w:ind w:left="720" w:hanging="720"/>
        <w:rPr>
          <w:rFonts w:ascii="Arial" w:hAnsi="Arial"/>
          <w:color w:val="000000"/>
          <w:sz w:val="22"/>
        </w:rPr>
      </w:pPr>
      <w:r>
        <w:rPr>
          <w:rFonts w:ascii="Arial" w:hAnsi="Arial" w:cs="Arial"/>
          <w:color w:val="000000"/>
          <w:sz w:val="22"/>
        </w:rPr>
        <w:t xml:space="preserve">Cooper, S., 2017. </w:t>
      </w:r>
      <w:r>
        <w:rPr>
          <w:rFonts w:ascii="Arial" w:hAnsi="Arial" w:cs="Arial"/>
          <w:i/>
          <w:iCs/>
          <w:color w:val="000000"/>
          <w:sz w:val="22"/>
        </w:rPr>
        <w:t>Corporate social performance: a stakeholder approach</w:t>
      </w:r>
      <w:r>
        <w:rPr>
          <w:rFonts w:ascii="Arial" w:hAnsi="Arial" w:cs="Arial"/>
          <w:color w:val="000000"/>
          <w:sz w:val="22"/>
        </w:rPr>
        <w:t>. Routledge.</w:t>
      </w:r>
    </w:p>
    <w:p w14:paraId="423419D0" w14:textId="77777777" w:rsidR="0072679D" w:rsidRDefault="0072679D" w:rsidP="0072679D">
      <w:pPr>
        <w:spacing w:after="0" w:line="480" w:lineRule="auto"/>
        <w:ind w:left="720" w:hanging="720"/>
        <w:rPr>
          <w:rFonts w:ascii="Arial" w:hAnsi="Arial"/>
          <w:color w:val="000000"/>
          <w:sz w:val="22"/>
        </w:rPr>
      </w:pPr>
      <w:r>
        <w:rPr>
          <w:rFonts w:ascii="Arial" w:hAnsi="Arial" w:cs="Arial"/>
          <w:color w:val="000000"/>
          <w:sz w:val="22"/>
        </w:rPr>
        <w:t xml:space="preserve">Heinonen, K., Jaakkola, E. and </w:t>
      </w:r>
      <w:proofErr w:type="spellStart"/>
      <w:r>
        <w:rPr>
          <w:rFonts w:ascii="Arial" w:hAnsi="Arial" w:cs="Arial"/>
          <w:color w:val="000000"/>
          <w:sz w:val="22"/>
        </w:rPr>
        <w:t>Neganova</w:t>
      </w:r>
      <w:proofErr w:type="spellEnd"/>
      <w:r>
        <w:rPr>
          <w:rFonts w:ascii="Arial" w:hAnsi="Arial" w:cs="Arial"/>
          <w:color w:val="000000"/>
          <w:sz w:val="22"/>
        </w:rPr>
        <w:t xml:space="preserve">, I., 2018. Drivers, </w:t>
      </w:r>
      <w:proofErr w:type="gramStart"/>
      <w:r>
        <w:rPr>
          <w:rFonts w:ascii="Arial" w:hAnsi="Arial" w:cs="Arial"/>
          <w:color w:val="000000"/>
          <w:sz w:val="22"/>
        </w:rPr>
        <w:t>types</w:t>
      </w:r>
      <w:proofErr w:type="gramEnd"/>
      <w:r>
        <w:rPr>
          <w:rFonts w:ascii="Arial" w:hAnsi="Arial" w:cs="Arial"/>
          <w:color w:val="000000"/>
          <w:sz w:val="22"/>
        </w:rPr>
        <w:t xml:space="preserve"> and value outcomes of customer-to-customer interaction: an integrative review and research agenda. </w:t>
      </w:r>
      <w:r>
        <w:rPr>
          <w:rFonts w:ascii="Arial" w:hAnsi="Arial" w:cs="Arial"/>
          <w:i/>
          <w:iCs/>
          <w:color w:val="000000"/>
          <w:sz w:val="22"/>
        </w:rPr>
        <w:t xml:space="preserve">Journal of Service Theory and Practice, </w:t>
      </w:r>
      <w:r>
        <w:rPr>
          <w:rFonts w:ascii="Arial" w:hAnsi="Arial" w:cs="Arial"/>
          <w:b/>
          <w:bCs/>
          <w:color w:val="000000"/>
          <w:sz w:val="22"/>
        </w:rPr>
        <w:t>28</w:t>
      </w:r>
      <w:r>
        <w:rPr>
          <w:rFonts w:ascii="Arial" w:hAnsi="Arial" w:cs="Arial"/>
          <w:color w:val="000000"/>
          <w:sz w:val="22"/>
        </w:rPr>
        <w:t>(6), pp.710-732.</w:t>
      </w:r>
    </w:p>
    <w:p w14:paraId="63CF136F" w14:textId="77777777" w:rsidR="0072679D" w:rsidRDefault="0072679D" w:rsidP="0072679D">
      <w:pPr>
        <w:spacing w:after="0" w:line="480" w:lineRule="auto"/>
        <w:ind w:left="720" w:hanging="720"/>
        <w:rPr>
          <w:rFonts w:ascii="Arial" w:hAnsi="Arial"/>
          <w:color w:val="000000"/>
          <w:sz w:val="22"/>
        </w:rPr>
      </w:pPr>
      <w:r>
        <w:rPr>
          <w:rFonts w:ascii="Arial" w:hAnsi="Arial" w:cs="Arial"/>
          <w:color w:val="000000"/>
          <w:sz w:val="22"/>
        </w:rPr>
        <w:t xml:space="preserve">Holbrook, M.B., 2019. The concept of consumer value: development, implications, trajectory. In Marinov, M.A. ed. </w:t>
      </w:r>
      <w:r>
        <w:rPr>
          <w:rFonts w:ascii="Arial" w:hAnsi="Arial" w:cs="Arial"/>
          <w:i/>
          <w:iCs/>
          <w:color w:val="000000"/>
          <w:sz w:val="22"/>
        </w:rPr>
        <w:t>Value in marketing</w:t>
      </w:r>
      <w:r>
        <w:rPr>
          <w:rFonts w:ascii="Arial" w:hAnsi="Arial" w:cs="Arial"/>
          <w:color w:val="000000"/>
          <w:sz w:val="22"/>
        </w:rPr>
        <w:t>. Routledge, pp.9-41.</w:t>
      </w:r>
    </w:p>
    <w:p w14:paraId="1A29761F" w14:textId="77777777" w:rsidR="0072679D" w:rsidRDefault="0072679D" w:rsidP="0072679D">
      <w:pPr>
        <w:spacing w:after="0" w:line="480" w:lineRule="auto"/>
        <w:ind w:left="720" w:hanging="720"/>
        <w:rPr>
          <w:rFonts w:ascii="Arial" w:hAnsi="Arial"/>
          <w:color w:val="000000"/>
          <w:sz w:val="22"/>
        </w:rPr>
      </w:pPr>
      <w:proofErr w:type="spellStart"/>
      <w:r>
        <w:rPr>
          <w:rFonts w:ascii="Arial" w:hAnsi="Arial" w:cs="Arial"/>
          <w:color w:val="000000"/>
          <w:sz w:val="22"/>
        </w:rPr>
        <w:t>Kalogiannidis</w:t>
      </w:r>
      <w:proofErr w:type="spellEnd"/>
      <w:r>
        <w:rPr>
          <w:rFonts w:ascii="Arial" w:hAnsi="Arial" w:cs="Arial"/>
          <w:color w:val="000000"/>
          <w:sz w:val="22"/>
        </w:rPr>
        <w:t xml:space="preserve">, S., </w:t>
      </w:r>
      <w:proofErr w:type="spellStart"/>
      <w:r>
        <w:rPr>
          <w:rFonts w:ascii="Arial" w:hAnsi="Arial" w:cs="Arial"/>
          <w:color w:val="000000"/>
          <w:sz w:val="22"/>
        </w:rPr>
        <w:t>Melfou</w:t>
      </w:r>
      <w:proofErr w:type="spellEnd"/>
      <w:r>
        <w:rPr>
          <w:rFonts w:ascii="Arial" w:hAnsi="Arial" w:cs="Arial"/>
          <w:color w:val="000000"/>
          <w:sz w:val="22"/>
        </w:rPr>
        <w:t xml:space="preserve">, K. and </w:t>
      </w:r>
      <w:proofErr w:type="spellStart"/>
      <w:r>
        <w:rPr>
          <w:rFonts w:ascii="Arial" w:hAnsi="Arial" w:cs="Arial"/>
          <w:color w:val="000000"/>
          <w:sz w:val="22"/>
        </w:rPr>
        <w:t>Papaevangelou</w:t>
      </w:r>
      <w:proofErr w:type="spellEnd"/>
      <w:r>
        <w:rPr>
          <w:rFonts w:ascii="Arial" w:hAnsi="Arial" w:cs="Arial"/>
          <w:color w:val="000000"/>
          <w:sz w:val="22"/>
        </w:rPr>
        <w:t xml:space="preserve">, O., 2020. Global marketing strategic approaches on multi-national </w:t>
      </w:r>
      <w:proofErr w:type="gramStart"/>
      <w:r>
        <w:rPr>
          <w:rFonts w:ascii="Arial" w:hAnsi="Arial" w:cs="Arial"/>
          <w:color w:val="000000"/>
          <w:sz w:val="22"/>
        </w:rPr>
        <w:t>companies</w:t>
      </w:r>
      <w:proofErr w:type="gramEnd"/>
      <w:r>
        <w:rPr>
          <w:rFonts w:ascii="Arial" w:hAnsi="Arial" w:cs="Arial"/>
          <w:color w:val="000000"/>
          <w:sz w:val="22"/>
        </w:rPr>
        <w:t xml:space="preserve"> product development. </w:t>
      </w:r>
      <w:r>
        <w:rPr>
          <w:rFonts w:ascii="Arial" w:hAnsi="Arial" w:cs="Arial"/>
          <w:i/>
          <w:iCs/>
          <w:color w:val="000000"/>
          <w:sz w:val="22"/>
        </w:rPr>
        <w:t>International Journal of Scientific Research and Management</w:t>
      </w:r>
      <w:r>
        <w:rPr>
          <w:rFonts w:ascii="Arial" w:hAnsi="Arial" w:cs="Arial"/>
          <w:color w:val="000000"/>
          <w:sz w:val="22"/>
        </w:rPr>
        <w:t xml:space="preserve">, </w:t>
      </w:r>
      <w:r>
        <w:rPr>
          <w:rFonts w:ascii="Arial" w:hAnsi="Arial" w:cs="Arial"/>
          <w:b/>
          <w:bCs/>
          <w:color w:val="000000"/>
          <w:sz w:val="22"/>
        </w:rPr>
        <w:t>8</w:t>
      </w:r>
      <w:r>
        <w:rPr>
          <w:rFonts w:ascii="Arial" w:hAnsi="Arial" w:cs="Arial"/>
          <w:color w:val="000000"/>
          <w:sz w:val="22"/>
        </w:rPr>
        <w:t>(12), pp.2084-2090.</w:t>
      </w:r>
    </w:p>
    <w:p w14:paraId="43A55336" w14:textId="77777777" w:rsidR="0072679D" w:rsidRDefault="0072679D" w:rsidP="0072679D">
      <w:pPr>
        <w:spacing w:after="0" w:line="480" w:lineRule="auto"/>
        <w:ind w:left="720" w:hanging="720"/>
        <w:rPr>
          <w:rFonts w:ascii="Arial" w:hAnsi="Arial"/>
          <w:color w:val="000000"/>
          <w:sz w:val="22"/>
        </w:rPr>
      </w:pPr>
      <w:proofErr w:type="spellStart"/>
      <w:r>
        <w:rPr>
          <w:rFonts w:ascii="Arial" w:hAnsi="Arial" w:cs="Arial"/>
          <w:color w:val="000000"/>
          <w:sz w:val="22"/>
        </w:rPr>
        <w:t>Katsikeas</w:t>
      </w:r>
      <w:proofErr w:type="spellEnd"/>
      <w:r>
        <w:rPr>
          <w:rFonts w:ascii="Arial" w:hAnsi="Arial" w:cs="Arial"/>
          <w:color w:val="000000"/>
          <w:sz w:val="22"/>
        </w:rPr>
        <w:t xml:space="preserve">, C., </w:t>
      </w:r>
      <w:proofErr w:type="spellStart"/>
      <w:r>
        <w:rPr>
          <w:rFonts w:ascii="Arial" w:hAnsi="Arial" w:cs="Arial"/>
          <w:color w:val="000000"/>
          <w:sz w:val="22"/>
        </w:rPr>
        <w:t>Leonidou</w:t>
      </w:r>
      <w:proofErr w:type="spellEnd"/>
      <w:r>
        <w:rPr>
          <w:rFonts w:ascii="Arial" w:hAnsi="Arial" w:cs="Arial"/>
          <w:color w:val="000000"/>
          <w:sz w:val="22"/>
        </w:rPr>
        <w:t xml:space="preserve">, L. and </w:t>
      </w:r>
      <w:proofErr w:type="spellStart"/>
      <w:r>
        <w:rPr>
          <w:rFonts w:ascii="Arial" w:hAnsi="Arial" w:cs="Arial"/>
          <w:color w:val="000000"/>
          <w:sz w:val="22"/>
        </w:rPr>
        <w:t>Zeriti</w:t>
      </w:r>
      <w:proofErr w:type="spellEnd"/>
      <w:r>
        <w:rPr>
          <w:rFonts w:ascii="Arial" w:hAnsi="Arial" w:cs="Arial"/>
          <w:color w:val="000000"/>
          <w:sz w:val="22"/>
        </w:rPr>
        <w:t xml:space="preserve">, A., 2019. Revisiting international marketing strategy in a digital era: opportunities, challenges, and research directions. </w:t>
      </w:r>
      <w:r>
        <w:rPr>
          <w:rFonts w:ascii="Arial" w:hAnsi="Arial" w:cs="Arial"/>
          <w:i/>
          <w:iCs/>
          <w:color w:val="000000"/>
          <w:sz w:val="22"/>
        </w:rPr>
        <w:t xml:space="preserve">International Marketing Review, </w:t>
      </w:r>
      <w:r>
        <w:rPr>
          <w:rFonts w:ascii="Arial" w:hAnsi="Arial" w:cs="Arial"/>
          <w:b/>
          <w:bCs/>
          <w:color w:val="000000"/>
          <w:sz w:val="22"/>
        </w:rPr>
        <w:t>37</w:t>
      </w:r>
      <w:r>
        <w:rPr>
          <w:rFonts w:ascii="Arial" w:hAnsi="Arial" w:cs="Arial"/>
          <w:color w:val="000000"/>
          <w:sz w:val="22"/>
        </w:rPr>
        <w:t>(3), pp.405-424.</w:t>
      </w:r>
    </w:p>
    <w:p w14:paraId="38761130" w14:textId="77777777" w:rsidR="0072679D" w:rsidRDefault="0072679D" w:rsidP="0072679D">
      <w:pPr>
        <w:spacing w:after="0" w:line="480" w:lineRule="auto"/>
        <w:ind w:left="720" w:hanging="720"/>
        <w:rPr>
          <w:rFonts w:ascii="Arial" w:hAnsi="Arial"/>
          <w:color w:val="000000"/>
          <w:sz w:val="22"/>
        </w:rPr>
      </w:pPr>
      <w:proofErr w:type="spellStart"/>
      <w:r>
        <w:rPr>
          <w:rFonts w:ascii="Arial" w:hAnsi="Arial" w:cs="Arial"/>
          <w:color w:val="000000"/>
          <w:sz w:val="22"/>
        </w:rPr>
        <w:t>Kotabe</w:t>
      </w:r>
      <w:proofErr w:type="spellEnd"/>
      <w:r>
        <w:rPr>
          <w:rFonts w:ascii="Arial" w:hAnsi="Arial" w:cs="Arial"/>
          <w:color w:val="000000"/>
          <w:sz w:val="22"/>
        </w:rPr>
        <w:t xml:space="preserve">, M.M. and Helsen, K., 2020. </w:t>
      </w:r>
      <w:r>
        <w:rPr>
          <w:rFonts w:ascii="Arial" w:hAnsi="Arial" w:cs="Arial"/>
          <w:i/>
          <w:iCs/>
          <w:color w:val="000000"/>
          <w:sz w:val="22"/>
        </w:rPr>
        <w:t>Global marketing management</w:t>
      </w:r>
      <w:r>
        <w:rPr>
          <w:rFonts w:ascii="Arial" w:hAnsi="Arial" w:cs="Arial"/>
          <w:color w:val="000000"/>
          <w:sz w:val="22"/>
        </w:rPr>
        <w:t>. John Wiley and Sons.</w:t>
      </w:r>
    </w:p>
    <w:p w14:paraId="247E3EB9" w14:textId="77777777" w:rsidR="0072679D" w:rsidRDefault="0072679D" w:rsidP="0072679D">
      <w:pPr>
        <w:spacing w:after="0" w:line="480" w:lineRule="auto"/>
        <w:ind w:left="720" w:hanging="720"/>
        <w:rPr>
          <w:rFonts w:ascii="Arial" w:hAnsi="Arial"/>
          <w:color w:val="000000"/>
          <w:sz w:val="22"/>
        </w:rPr>
      </w:pPr>
      <w:proofErr w:type="spellStart"/>
      <w:r>
        <w:rPr>
          <w:rFonts w:ascii="Arial" w:hAnsi="Arial" w:cs="Arial"/>
          <w:color w:val="000000"/>
          <w:sz w:val="22"/>
        </w:rPr>
        <w:t>Leonidou</w:t>
      </w:r>
      <w:proofErr w:type="spellEnd"/>
      <w:r>
        <w:rPr>
          <w:rFonts w:ascii="Arial" w:hAnsi="Arial" w:cs="Arial"/>
          <w:color w:val="000000"/>
          <w:sz w:val="22"/>
        </w:rPr>
        <w:t xml:space="preserve">, C.N. and Hultman, M., 2019. Global marketing in business-to-business contexts: Challenges, developments, and opportunities. </w:t>
      </w:r>
      <w:r>
        <w:rPr>
          <w:rFonts w:ascii="Arial" w:hAnsi="Arial" w:cs="Arial"/>
          <w:i/>
          <w:iCs/>
          <w:color w:val="000000"/>
          <w:sz w:val="22"/>
        </w:rPr>
        <w:t>Industrial Marketing Management</w:t>
      </w:r>
      <w:r>
        <w:rPr>
          <w:rFonts w:ascii="Arial" w:hAnsi="Arial" w:cs="Arial"/>
          <w:color w:val="000000"/>
          <w:sz w:val="22"/>
        </w:rPr>
        <w:t xml:space="preserve">, </w:t>
      </w:r>
      <w:r>
        <w:rPr>
          <w:rFonts w:ascii="Arial" w:hAnsi="Arial" w:cs="Arial"/>
          <w:b/>
          <w:bCs/>
          <w:color w:val="000000"/>
          <w:sz w:val="22"/>
        </w:rPr>
        <w:t>78</w:t>
      </w:r>
      <w:r>
        <w:rPr>
          <w:rFonts w:ascii="Arial" w:hAnsi="Arial" w:cs="Arial"/>
          <w:color w:val="000000"/>
          <w:sz w:val="22"/>
        </w:rPr>
        <w:t>, pp.102-107.</w:t>
      </w:r>
    </w:p>
    <w:p w14:paraId="1A390258" w14:textId="77777777" w:rsidR="0072679D" w:rsidRDefault="0072679D" w:rsidP="0072679D">
      <w:pPr>
        <w:spacing w:after="0" w:line="480" w:lineRule="auto"/>
        <w:ind w:left="720" w:hanging="720"/>
        <w:rPr>
          <w:rFonts w:ascii="Arial" w:hAnsi="Arial"/>
          <w:color w:val="000000"/>
          <w:sz w:val="22"/>
        </w:rPr>
      </w:pPr>
      <w:r>
        <w:rPr>
          <w:rFonts w:ascii="Arial" w:hAnsi="Arial" w:cs="Arial"/>
          <w:color w:val="000000"/>
          <w:sz w:val="22"/>
        </w:rPr>
        <w:t xml:space="preserve">Yim, S., Bae, Y.H., Lim, H. and Kwon, J., 2019. The role of marketing capability in linking CSR to corporate financial performance: when CSR gives positive signals to stakeholders. </w:t>
      </w:r>
      <w:r>
        <w:rPr>
          <w:rFonts w:ascii="Arial" w:hAnsi="Arial" w:cs="Arial"/>
          <w:i/>
          <w:iCs/>
          <w:color w:val="000000"/>
          <w:sz w:val="22"/>
        </w:rPr>
        <w:t xml:space="preserve">European Journal of Marketing, </w:t>
      </w:r>
      <w:r>
        <w:rPr>
          <w:rFonts w:ascii="Arial" w:hAnsi="Arial" w:cs="Arial"/>
          <w:b/>
          <w:bCs/>
          <w:color w:val="000000"/>
          <w:sz w:val="22"/>
        </w:rPr>
        <w:t>53</w:t>
      </w:r>
      <w:r>
        <w:rPr>
          <w:rFonts w:ascii="Arial" w:hAnsi="Arial" w:cs="Arial"/>
          <w:color w:val="000000"/>
          <w:sz w:val="22"/>
        </w:rPr>
        <w:t>(7), pp.1333-1354.</w:t>
      </w:r>
    </w:p>
    <w:p w14:paraId="181BBA38" w14:textId="77777777" w:rsidR="0072679D" w:rsidRDefault="0072679D" w:rsidP="0072679D">
      <w:pPr>
        <w:spacing w:after="0" w:line="480" w:lineRule="auto"/>
        <w:ind w:left="720" w:hanging="720"/>
        <w:rPr>
          <w:rFonts w:ascii="Arial" w:hAnsi="Arial"/>
          <w:color w:val="000000"/>
          <w:sz w:val="22"/>
        </w:rPr>
      </w:pPr>
      <w:r>
        <w:rPr>
          <w:rFonts w:ascii="Arial" w:hAnsi="Arial" w:cs="Arial"/>
          <w:color w:val="000000"/>
          <w:sz w:val="22"/>
        </w:rPr>
        <w:t xml:space="preserve">Zhang, T.C., Gu, </w:t>
      </w:r>
      <w:proofErr w:type="gramStart"/>
      <w:r>
        <w:rPr>
          <w:rFonts w:ascii="Arial" w:hAnsi="Arial" w:cs="Arial"/>
          <w:color w:val="000000"/>
          <w:sz w:val="22"/>
        </w:rPr>
        <w:t>H.</w:t>
      </w:r>
      <w:proofErr w:type="gramEnd"/>
      <w:r>
        <w:rPr>
          <w:rFonts w:ascii="Arial" w:hAnsi="Arial" w:cs="Arial"/>
          <w:color w:val="000000"/>
          <w:sz w:val="22"/>
        </w:rPr>
        <w:t xml:space="preserve"> and Jahromi, M.F., 2019. What makes the sharing economy successful? An empirical examination of competitive customer value propositions. </w:t>
      </w:r>
      <w:r>
        <w:rPr>
          <w:rFonts w:ascii="Arial" w:hAnsi="Arial" w:cs="Arial"/>
          <w:i/>
          <w:iCs/>
          <w:color w:val="000000"/>
          <w:sz w:val="22"/>
        </w:rPr>
        <w:t xml:space="preserve">Computers in Human </w:t>
      </w:r>
      <w:proofErr w:type="spellStart"/>
      <w:r>
        <w:rPr>
          <w:rFonts w:ascii="Arial" w:hAnsi="Arial" w:cs="Arial"/>
          <w:i/>
          <w:iCs/>
          <w:color w:val="000000"/>
          <w:sz w:val="22"/>
        </w:rPr>
        <w:t>Behavior</w:t>
      </w:r>
      <w:proofErr w:type="spellEnd"/>
      <w:r>
        <w:rPr>
          <w:rFonts w:ascii="Arial" w:hAnsi="Arial" w:cs="Arial"/>
          <w:color w:val="000000"/>
          <w:sz w:val="22"/>
        </w:rPr>
        <w:t xml:space="preserve">, </w:t>
      </w:r>
      <w:r>
        <w:rPr>
          <w:rFonts w:ascii="Arial" w:hAnsi="Arial" w:cs="Arial"/>
          <w:b/>
          <w:bCs/>
          <w:color w:val="000000"/>
          <w:sz w:val="22"/>
        </w:rPr>
        <w:t>95</w:t>
      </w:r>
      <w:r>
        <w:rPr>
          <w:rFonts w:ascii="Arial" w:hAnsi="Arial" w:cs="Arial"/>
          <w:color w:val="000000"/>
          <w:sz w:val="22"/>
        </w:rPr>
        <w:t>, pp.275-283.</w:t>
      </w:r>
    </w:p>
    <w:p w14:paraId="7AC3BE6C" w14:textId="77777777" w:rsidR="0072679D" w:rsidRDefault="0072679D" w:rsidP="0072679D">
      <w:pPr>
        <w:spacing w:after="0" w:line="480" w:lineRule="auto"/>
        <w:ind w:left="720" w:hanging="720"/>
        <w:rPr>
          <w:rFonts w:ascii="Arial" w:hAnsi="Arial"/>
          <w:color w:val="000000"/>
          <w:sz w:val="22"/>
        </w:rPr>
      </w:pPr>
      <w:r>
        <w:rPr>
          <w:rFonts w:ascii="Arial" w:hAnsi="Arial" w:cs="Arial"/>
          <w:color w:val="000000"/>
          <w:sz w:val="22"/>
        </w:rPr>
        <w:t xml:space="preserve">Zimmerman, A. and Blythe, J., 2017. </w:t>
      </w:r>
      <w:r>
        <w:rPr>
          <w:rFonts w:ascii="Arial" w:hAnsi="Arial" w:cs="Arial"/>
          <w:i/>
          <w:iCs/>
          <w:color w:val="000000"/>
          <w:sz w:val="22"/>
        </w:rPr>
        <w:t>Business to business marketing management: a global perspective</w:t>
      </w:r>
      <w:r>
        <w:rPr>
          <w:rFonts w:ascii="Arial" w:hAnsi="Arial" w:cs="Arial"/>
          <w:color w:val="000000"/>
          <w:sz w:val="22"/>
        </w:rPr>
        <w:t>. Routledge.</w:t>
      </w:r>
    </w:p>
    <w:p w14:paraId="52D6947B" w14:textId="77777777" w:rsidR="00551B8B" w:rsidRDefault="00551B8B"/>
    <w:sectPr w:rsidR="00551B8B">
      <w:headerReference w:type="default" r:id="rId5"/>
      <w:pgSz w:w="12240" w:h="15840"/>
      <w:pgMar w:top="1440" w:right="1440" w:bottom="1440" w:left="1440" w:header="72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icrosoft YaHei">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6895931"/>
      <w:docPartObj>
        <w:docPartGallery w:val="Page Numbers (Top of Page)"/>
        <w:docPartUnique/>
      </w:docPartObj>
    </w:sdtPr>
    <w:sdtContent>
      <w:p w14:paraId="426D2B65" w14:textId="77777777" w:rsidR="003B6A9F" w:rsidRDefault="00000000">
        <w:pPr>
          <w:pStyle w:val="Header"/>
          <w:jc w:val="right"/>
        </w:pPr>
        <w:r>
          <w:rPr>
            <w:rFonts w:ascii="Arial" w:hAnsi="Arial" w:cs="Arial"/>
          </w:rPr>
          <w:t xml:space="preserve">Marketing Fundamentals </w:t>
        </w:r>
        <w:r>
          <w:rPr>
            <w:rFonts w:ascii="Arial" w:hAnsi="Arial" w:cs="Arial"/>
          </w:rPr>
          <w:fldChar w:fldCharType="begin"/>
        </w:r>
        <w:r>
          <w:rPr>
            <w:rFonts w:ascii="Arial" w:hAnsi="Arial" w:cs="Arial"/>
          </w:rPr>
          <w:instrText xml:space="preserve"> PAGE </w:instrText>
        </w:r>
        <w:r>
          <w:rPr>
            <w:rFonts w:ascii="Arial" w:hAnsi="Arial" w:cs="Arial"/>
          </w:rPr>
          <w:fldChar w:fldCharType="separate"/>
        </w:r>
        <w:r>
          <w:rPr>
            <w:rFonts w:ascii="Arial" w:hAnsi="Arial" w:cs="Arial"/>
          </w:rPr>
          <w:t>11</w:t>
        </w:r>
        <w:r>
          <w:rPr>
            <w:rFonts w:ascii="Arial" w:hAnsi="Arial" w:cs="Arial"/>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CB03B87"/>
    <w:multiLevelType w:val="multilevel"/>
    <w:tmpl w:val="D2D49340"/>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Wingdings" w:hAnsi="Wingdings" w:cs="Wingdings" w:hint="default"/>
      </w:rPr>
    </w:lvl>
    <w:lvl w:ilvl="4">
      <w:start w:val="1"/>
      <w:numFmt w:val="bullet"/>
      <w:lvlText w:val=""/>
      <w:lvlJc w:val="left"/>
      <w:pPr>
        <w:tabs>
          <w:tab w:val="num" w:pos="3600"/>
        </w:tabs>
        <w:ind w:left="3600" w:hanging="360"/>
      </w:pPr>
      <w:rPr>
        <w:rFonts w:ascii="Wingdings" w:hAnsi="Wingdings" w:cs="Wingdings"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Wingdings" w:hAnsi="Wingdings" w:cs="Wingdings" w:hint="default"/>
      </w:rPr>
    </w:lvl>
    <w:lvl w:ilvl="7">
      <w:start w:val="1"/>
      <w:numFmt w:val="bullet"/>
      <w:lvlText w:val=""/>
      <w:lvlJc w:val="left"/>
      <w:pPr>
        <w:tabs>
          <w:tab w:val="num" w:pos="5760"/>
        </w:tabs>
        <w:ind w:left="5760" w:hanging="360"/>
      </w:pPr>
      <w:rPr>
        <w:rFonts w:ascii="Wingdings" w:hAnsi="Wingdings" w:cs="Wingdings"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778D280A"/>
    <w:multiLevelType w:val="multilevel"/>
    <w:tmpl w:val="71D21E2A"/>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Wingdings" w:hAnsi="Wingdings" w:cs="Wingdings" w:hint="default"/>
      </w:rPr>
    </w:lvl>
    <w:lvl w:ilvl="4">
      <w:start w:val="1"/>
      <w:numFmt w:val="bullet"/>
      <w:lvlText w:val=""/>
      <w:lvlJc w:val="left"/>
      <w:pPr>
        <w:tabs>
          <w:tab w:val="num" w:pos="3600"/>
        </w:tabs>
        <w:ind w:left="3600" w:hanging="360"/>
      </w:pPr>
      <w:rPr>
        <w:rFonts w:ascii="Wingdings" w:hAnsi="Wingdings" w:cs="Wingdings"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Wingdings" w:hAnsi="Wingdings" w:cs="Wingdings" w:hint="default"/>
      </w:rPr>
    </w:lvl>
    <w:lvl w:ilvl="7">
      <w:start w:val="1"/>
      <w:numFmt w:val="bullet"/>
      <w:lvlText w:val=""/>
      <w:lvlJc w:val="left"/>
      <w:pPr>
        <w:tabs>
          <w:tab w:val="num" w:pos="5760"/>
        </w:tabs>
        <w:ind w:left="5760" w:hanging="360"/>
      </w:pPr>
      <w:rPr>
        <w:rFonts w:ascii="Wingdings" w:hAnsi="Wingdings" w:cs="Wingdings"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 w15:restartNumberingAfterBreak="0">
    <w:nsid w:val="7850668C"/>
    <w:multiLevelType w:val="multilevel"/>
    <w:tmpl w:val="A8A4369C"/>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Wingdings" w:hAnsi="Wingdings" w:cs="Wingdings" w:hint="default"/>
      </w:rPr>
    </w:lvl>
    <w:lvl w:ilvl="4">
      <w:start w:val="1"/>
      <w:numFmt w:val="bullet"/>
      <w:lvlText w:val=""/>
      <w:lvlJc w:val="left"/>
      <w:pPr>
        <w:tabs>
          <w:tab w:val="num" w:pos="3600"/>
        </w:tabs>
        <w:ind w:left="3600" w:hanging="360"/>
      </w:pPr>
      <w:rPr>
        <w:rFonts w:ascii="Wingdings" w:hAnsi="Wingdings" w:cs="Wingdings"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Wingdings" w:hAnsi="Wingdings" w:cs="Wingdings" w:hint="default"/>
      </w:rPr>
    </w:lvl>
    <w:lvl w:ilvl="7">
      <w:start w:val="1"/>
      <w:numFmt w:val="bullet"/>
      <w:lvlText w:val=""/>
      <w:lvlJc w:val="left"/>
      <w:pPr>
        <w:tabs>
          <w:tab w:val="num" w:pos="5760"/>
        </w:tabs>
        <w:ind w:left="5760" w:hanging="360"/>
      </w:pPr>
      <w:rPr>
        <w:rFonts w:ascii="Wingdings" w:hAnsi="Wingdings" w:cs="Wingdings" w:hint="default"/>
      </w:rPr>
    </w:lvl>
    <w:lvl w:ilvl="8">
      <w:start w:val="1"/>
      <w:numFmt w:val="bullet"/>
      <w:lvlText w:val=""/>
      <w:lvlJc w:val="left"/>
      <w:pPr>
        <w:tabs>
          <w:tab w:val="num" w:pos="6480"/>
        </w:tabs>
        <w:ind w:left="6480" w:hanging="360"/>
      </w:pPr>
      <w:rPr>
        <w:rFonts w:ascii="Wingdings" w:hAnsi="Wingdings" w:cs="Wingdings" w:hint="default"/>
      </w:rPr>
    </w:lvl>
  </w:abstractNum>
  <w:num w:numId="1" w16cid:durableId="1941795762">
    <w:abstractNumId w:val="0"/>
  </w:num>
  <w:num w:numId="2" w16cid:durableId="1025012464">
    <w:abstractNumId w:val="1"/>
  </w:num>
  <w:num w:numId="3" w16cid:durableId="82066094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679D"/>
    <w:rsid w:val="00551B8B"/>
    <w:rsid w:val="0072679D"/>
    <w:rsid w:val="00B261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AF3706"/>
  <w15:chartTrackingRefBased/>
  <w15:docId w15:val="{694BE6F9-89C4-47A8-BE5F-87C4632824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679D"/>
    <w:pPr>
      <w:suppressAutoHyphens/>
    </w:pPr>
    <w:rPr>
      <w:rFonts w:ascii="Times New Roman" w:hAnsi="Times New Roman" w:cs="Tahoma"/>
      <w:sz w:val="24"/>
    </w:rPr>
  </w:style>
  <w:style w:type="paragraph" w:styleId="Heading1">
    <w:name w:val="heading 1"/>
    <w:basedOn w:val="Normal"/>
    <w:next w:val="BodyText"/>
    <w:link w:val="Heading1Char"/>
    <w:qFormat/>
    <w:rsid w:val="0072679D"/>
    <w:pPr>
      <w:keepNext/>
      <w:spacing w:after="0" w:line="480" w:lineRule="auto"/>
      <w:jc w:val="center"/>
      <w:outlineLvl w:val="0"/>
    </w:pPr>
    <w:rPr>
      <w:rFonts w:ascii="Arial" w:eastAsia="Microsoft YaHei" w:hAnsi="Arial" w:cs="Arial"/>
      <w:sz w:val="22"/>
    </w:rPr>
  </w:style>
  <w:style w:type="paragraph" w:styleId="Heading2">
    <w:name w:val="heading 2"/>
    <w:basedOn w:val="Normal"/>
    <w:next w:val="Normal"/>
    <w:link w:val="Heading2Char"/>
    <w:qFormat/>
    <w:rsid w:val="0072679D"/>
    <w:pPr>
      <w:keepNext/>
      <w:keepLines/>
      <w:spacing w:after="0" w:line="480" w:lineRule="auto"/>
      <w:outlineLvl w:val="1"/>
    </w:pPr>
    <w:rPr>
      <w:rFonts w:ascii="Arial" w:eastAsia="Calibri" w:hAnsi="Arial"/>
      <w:i/>
      <w:iCs/>
      <w:color w:val="000000"/>
      <w:sz w:val="22"/>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qFormat/>
    <w:rsid w:val="0072679D"/>
    <w:rPr>
      <w:rFonts w:ascii="Arial" w:eastAsia="Microsoft YaHei" w:hAnsi="Arial" w:cs="Arial"/>
    </w:rPr>
  </w:style>
  <w:style w:type="character" w:customStyle="1" w:styleId="Heading2Char">
    <w:name w:val="Heading 2 Char"/>
    <w:basedOn w:val="DefaultParagraphFont"/>
    <w:link w:val="Heading2"/>
    <w:qFormat/>
    <w:rsid w:val="0072679D"/>
    <w:rPr>
      <w:rFonts w:ascii="Arial" w:eastAsia="Calibri" w:hAnsi="Arial" w:cs="Tahoma"/>
      <w:i/>
      <w:iCs/>
      <w:color w:val="000000"/>
      <w:lang w:eastAsia="en-GB"/>
    </w:rPr>
  </w:style>
  <w:style w:type="character" w:customStyle="1" w:styleId="HeaderChar">
    <w:name w:val="Header Char"/>
    <w:basedOn w:val="DefaultParagraphFont"/>
    <w:link w:val="Header"/>
    <w:uiPriority w:val="99"/>
    <w:qFormat/>
    <w:rsid w:val="0072679D"/>
  </w:style>
  <w:style w:type="character" w:customStyle="1" w:styleId="BodyTextChar">
    <w:name w:val="Body Text Char"/>
    <w:basedOn w:val="DefaultParagraphFont"/>
    <w:link w:val="BodyText"/>
    <w:qFormat/>
    <w:rsid w:val="0072679D"/>
    <w:rPr>
      <w:rFonts w:ascii="Times New Roman" w:hAnsi="Times New Roman"/>
      <w:sz w:val="24"/>
    </w:rPr>
  </w:style>
  <w:style w:type="paragraph" w:styleId="BodyText">
    <w:name w:val="Body Text"/>
    <w:basedOn w:val="Normal"/>
    <w:link w:val="BodyTextChar"/>
    <w:rsid w:val="0072679D"/>
    <w:pPr>
      <w:spacing w:after="0" w:line="480" w:lineRule="auto"/>
      <w:ind w:firstLine="720"/>
    </w:pPr>
    <w:rPr>
      <w:rFonts w:cstheme="minorBidi"/>
    </w:rPr>
  </w:style>
  <w:style w:type="character" w:customStyle="1" w:styleId="BodyTextChar1">
    <w:name w:val="Body Text Char1"/>
    <w:basedOn w:val="DefaultParagraphFont"/>
    <w:uiPriority w:val="99"/>
    <w:semiHidden/>
    <w:rsid w:val="0072679D"/>
    <w:rPr>
      <w:rFonts w:ascii="Times New Roman" w:hAnsi="Times New Roman" w:cs="Tahoma"/>
      <w:sz w:val="24"/>
    </w:rPr>
  </w:style>
  <w:style w:type="paragraph" w:styleId="Header">
    <w:name w:val="header"/>
    <w:basedOn w:val="Normal"/>
    <w:link w:val="HeaderChar"/>
    <w:uiPriority w:val="99"/>
    <w:unhideWhenUsed/>
    <w:rsid w:val="0072679D"/>
    <w:pPr>
      <w:tabs>
        <w:tab w:val="center" w:pos="4513"/>
        <w:tab w:val="right" w:pos="9026"/>
      </w:tabs>
      <w:spacing w:after="0" w:line="240" w:lineRule="auto"/>
    </w:pPr>
    <w:rPr>
      <w:rFonts w:asciiTheme="minorHAnsi" w:hAnsiTheme="minorHAnsi" w:cstheme="minorBidi"/>
      <w:sz w:val="22"/>
    </w:rPr>
  </w:style>
  <w:style w:type="character" w:customStyle="1" w:styleId="HeaderChar1">
    <w:name w:val="Header Char1"/>
    <w:basedOn w:val="DefaultParagraphFont"/>
    <w:uiPriority w:val="99"/>
    <w:semiHidden/>
    <w:rsid w:val="0072679D"/>
    <w:rPr>
      <w:rFonts w:ascii="Times New Roman" w:hAnsi="Times New Roman" w:cs="Tahoma"/>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eader" Target="header1.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11</Pages>
  <Words>2855</Words>
  <Characters>16278</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Vilaia Cosmin</dc:creator>
  <cp:keywords/>
  <dc:description/>
  <cp:lastModifiedBy>Vilaia Cosmin</cp:lastModifiedBy>
  <cp:revision>1</cp:revision>
  <dcterms:created xsi:type="dcterms:W3CDTF">2022-08-08T20:50:00Z</dcterms:created>
  <dcterms:modified xsi:type="dcterms:W3CDTF">2022-08-08T20:59:00Z</dcterms:modified>
</cp:coreProperties>
</file>