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1B4E77" w14:textId="77777777" w:rsidR="000B3837" w:rsidRPr="000B3837" w:rsidRDefault="000B3837" w:rsidP="000B3837">
      <w:pPr>
        <w:rPr>
          <w:b/>
          <w:bCs/>
        </w:rPr>
      </w:pPr>
      <w:r w:rsidRPr="000B3837">
        <w:rPr>
          <w:b/>
          <w:bCs/>
        </w:rPr>
        <w:t>Trend Commentary</w:t>
      </w:r>
    </w:p>
    <w:p w14:paraId="459DF09D" w14:textId="77777777" w:rsidR="000B3837" w:rsidRPr="000B3837" w:rsidRDefault="000B3837" w:rsidP="000B3837">
      <w:pPr>
        <w:rPr>
          <w:b/>
          <w:bCs/>
        </w:rPr>
      </w:pPr>
      <w:r w:rsidRPr="000B3837">
        <w:rPr>
          <w:b/>
          <w:bCs/>
        </w:rPr>
        <w:t>Profitability</w:t>
      </w:r>
    </w:p>
    <w:p w14:paraId="57249884" w14:textId="77777777" w:rsidR="000B3837" w:rsidRPr="000B3837" w:rsidRDefault="000B3837" w:rsidP="000B3837">
      <w:r w:rsidRPr="000B3837">
        <w:t>The company's profitability metrics tell a clear story of a severe disruption followed by a robust recovery and expansion.</w:t>
      </w:r>
    </w:p>
    <w:p w14:paraId="31FBE5DB" w14:textId="77777777" w:rsidR="000B3837" w:rsidRPr="000B3837" w:rsidRDefault="000B3837" w:rsidP="000B3837">
      <w:pPr>
        <w:numPr>
          <w:ilvl w:val="0"/>
          <w:numId w:val="1"/>
        </w:numPr>
      </w:pPr>
      <w:r w:rsidRPr="000B3837">
        <w:rPr>
          <w:b/>
          <w:bCs/>
        </w:rPr>
        <w:t>Gross Margin:</w:t>
      </w:r>
      <w:r w:rsidRPr="000B3837">
        <w:t> This metric remained highly stable and strong throughout the period, ranging from 93.6% to 95.1%. This indicates that the direct costs associated with the company's owned and leased hotels were managed effectively, even during the downturn, and the core fee-based business model has a very high margin structure.</w:t>
      </w:r>
    </w:p>
    <w:p w14:paraId="27ADDD99" w14:textId="77777777" w:rsidR="000B3837" w:rsidRPr="000B3837" w:rsidRDefault="000B3837" w:rsidP="000B3837">
      <w:pPr>
        <w:numPr>
          <w:ilvl w:val="0"/>
          <w:numId w:val="1"/>
        </w:numPr>
      </w:pPr>
      <w:r w:rsidRPr="000B3837">
        <w:rPr>
          <w:b/>
          <w:bCs/>
        </w:rPr>
        <w:t>Operating Margin &amp; Net Margin:</w:t>
      </w:r>
      <w:r w:rsidRPr="000B3837">
        <w:t> These metrics show a dramatic "V-shaped" recovery. They declined sharply in 2020 due to the impact of the COVID-19 pandemic, which decimated revenues. However, operating and net margins rebounded strongly in 2021 and 2022, exceeding pre-pandemic levels. The efficiency gains and cost-control measures implemented during the crisis, combined with the asset-light model, contributed to record profitability in subsequent years. The slight dip in 2023's operating margin (from 16.7% to 16.3%) was offset by improved other income and a lower effective tax rate, leading to a higher net margin of 13.0%.</w:t>
      </w:r>
    </w:p>
    <w:p w14:paraId="541B04A8" w14:textId="77777777" w:rsidR="000B3837" w:rsidRPr="000B3837" w:rsidRDefault="000B3837" w:rsidP="000B3837">
      <w:pPr>
        <w:rPr>
          <w:b/>
          <w:bCs/>
        </w:rPr>
      </w:pPr>
      <w:r w:rsidRPr="000B3837">
        <w:rPr>
          <w:b/>
          <w:bCs/>
        </w:rPr>
        <w:t>Liquidity</w:t>
      </w:r>
    </w:p>
    <w:p w14:paraId="2B8E8536" w14:textId="77777777" w:rsidR="000B3837" w:rsidRPr="000B3837" w:rsidRDefault="000B3837" w:rsidP="000B3837">
      <w:r w:rsidRPr="000B3837">
        <w:t>Liquidity was a major focus during the pandemic, and the metrics reflect the actions taken.</w:t>
      </w:r>
    </w:p>
    <w:p w14:paraId="15993CD7" w14:textId="77777777" w:rsidR="000B3837" w:rsidRPr="000B3837" w:rsidRDefault="000B3837" w:rsidP="000B3837">
      <w:pPr>
        <w:numPr>
          <w:ilvl w:val="0"/>
          <w:numId w:val="2"/>
        </w:numPr>
      </w:pPr>
      <w:r w:rsidRPr="000B3837">
        <w:rPr>
          <w:b/>
          <w:bCs/>
        </w:rPr>
        <w:t>All Liquidity Ratios (Current, Quick, Cash):</w:t>
      </w:r>
      <w:r w:rsidRPr="000B3837">
        <w:t> These ratios weakened in 2019 (the period before COVID-19) and fell to very low levels, driven by the company's policy of returning cash to shareholders. In response to the pandemic crisis in 2020, the company significantly boosted its cash position by drawing on its credit facility and raising capital, resulting in a noticeable improvement in all liquidity ratios. As the recovery took hold in 2021 and 2022, the company resumed share repurchases and paid down debt, leading to a steady decrease in cash reserves and a corresponding decline in the current, quick, and cash ratios. By 2023, the cash ratio (0.04x) suggests a very focused strategy of not letting idle cash build up on the balance sheet, relying instead on its significant credit facility for operational liquidity.</w:t>
      </w:r>
    </w:p>
    <w:p w14:paraId="32BFBDE0" w14:textId="77777777" w:rsidR="000B3837" w:rsidRPr="000B3837" w:rsidRDefault="000B3837" w:rsidP="000B3837">
      <w:pPr>
        <w:rPr>
          <w:b/>
          <w:bCs/>
        </w:rPr>
      </w:pPr>
      <w:r w:rsidRPr="000B3837">
        <w:rPr>
          <w:b/>
          <w:bCs/>
        </w:rPr>
        <w:t>Efficiency</w:t>
      </w:r>
    </w:p>
    <w:p w14:paraId="00E415F1" w14:textId="77777777" w:rsidR="000B3837" w:rsidRPr="000B3837" w:rsidRDefault="000B3837" w:rsidP="000B3837">
      <w:r w:rsidRPr="000B3837">
        <w:t>The efficiency ratios highlight the asset-light nature of Marriott's business model.</w:t>
      </w:r>
    </w:p>
    <w:p w14:paraId="492A70AD" w14:textId="77777777" w:rsidR="000B3837" w:rsidRPr="000B3837" w:rsidRDefault="000B3837" w:rsidP="000B3837">
      <w:pPr>
        <w:numPr>
          <w:ilvl w:val="0"/>
          <w:numId w:val="3"/>
        </w:numPr>
      </w:pPr>
      <w:r w:rsidRPr="000B3837">
        <w:rPr>
          <w:b/>
          <w:bCs/>
        </w:rPr>
        <w:t>Asset Turnover:</w:t>
      </w:r>
      <w:r w:rsidRPr="000B3837">
        <w:t> This ratio was highly volatile, dropping sharply in 2020 as revenues collapsed while total assets remained relatively stable. The ratio recovered quickly as revenues rebounded. The 2023 figure of 0.94x is significantly higher than the 2019 level of 0.84x, showing that for every dollar of assets, the company is now generating more revenue than before the pandemic. This is a sign of increased operational leverage.</w:t>
      </w:r>
    </w:p>
    <w:p w14:paraId="7C318A8A" w14:textId="77777777" w:rsidR="000B3837" w:rsidRPr="000B3837" w:rsidRDefault="000B3837" w:rsidP="000B3837">
      <w:pPr>
        <w:numPr>
          <w:ilvl w:val="0"/>
          <w:numId w:val="3"/>
        </w:numPr>
      </w:pPr>
      <w:r w:rsidRPr="000B3837">
        <w:rPr>
          <w:b/>
          <w:bCs/>
        </w:rPr>
        <w:t>Fixed Asset Turnover:</w:t>
      </w:r>
      <w:r w:rsidRPr="000B3837">
        <w:t> This ratio shows an even more dramatic efficiency improvement. Because the company owns very few physical hotels, its net property, plant, and equipment (PP&amp;E) is relatively small. The ratio grew from a healthy 11.0x in 2019 to an impressive 15.0x in 2023, indicating that the company is generating significantly more revenue from its limited fixed asset base.</w:t>
      </w:r>
    </w:p>
    <w:p w14:paraId="139CD8CE" w14:textId="77777777" w:rsidR="000B3837" w:rsidRPr="000B3837" w:rsidRDefault="000B3837" w:rsidP="000B3837">
      <w:pPr>
        <w:rPr>
          <w:b/>
          <w:bCs/>
        </w:rPr>
      </w:pPr>
      <w:r w:rsidRPr="000B3837">
        <w:rPr>
          <w:b/>
          <w:bCs/>
        </w:rPr>
        <w:t>Leverage</w:t>
      </w:r>
    </w:p>
    <w:p w14:paraId="0336164E" w14:textId="77777777" w:rsidR="000B3837" w:rsidRPr="000B3837" w:rsidRDefault="000B3837" w:rsidP="000B3837">
      <w:r w:rsidRPr="000B3837">
        <w:lastRenderedPageBreak/>
        <w:t>Leverage metrics demonstrate a very aggressive capital structure consistent with an asset-light business model, with notable fluctuations.</w:t>
      </w:r>
    </w:p>
    <w:p w14:paraId="4D025C0B" w14:textId="77777777" w:rsidR="000B3837" w:rsidRPr="000B3837" w:rsidRDefault="000B3837" w:rsidP="000B3837">
      <w:pPr>
        <w:numPr>
          <w:ilvl w:val="0"/>
          <w:numId w:val="4"/>
        </w:numPr>
      </w:pPr>
      <w:r w:rsidRPr="000B3837">
        <w:rPr>
          <w:b/>
          <w:bCs/>
        </w:rPr>
        <w:t>Interest Coverage Ratio:</w:t>
      </w:r>
      <w:r w:rsidRPr="000B3837">
        <w:t> This ratio indicates the company's ability to pay interest on its debt. It fell to a dangerously low 0.19x in 2020 as operating income plummeted. However, it rebounded quickly and strongly, exceeding its 2019 level in 2021 and peaking at 8.59x in 2022. The slight decline to 6.84x in 2023 was driven by increased interest costs due to higher interest rates and debt levels, but it remains at a healthy level, well above the common threshold of 3.0x.</w:t>
      </w:r>
    </w:p>
    <w:p w14:paraId="6E91E431" w14:textId="77777777" w:rsidR="000B3837" w:rsidRPr="000B3837" w:rsidRDefault="000B3837" w:rsidP="000B3837">
      <w:pPr>
        <w:numPr>
          <w:ilvl w:val="0"/>
          <w:numId w:val="4"/>
        </w:numPr>
      </w:pPr>
      <w:r w:rsidRPr="000B3837">
        <w:rPr>
          <w:b/>
          <w:bCs/>
        </w:rPr>
        <w:t>Debt-to-Equity Ratio:</w:t>
      </w:r>
      <w:r w:rsidRPr="000B3837">
        <w:t> This ratio reflects the company's heavy reliance on debt financing. The high values (over 34x in 2019 and 2022) are a result of the company having a negative equity balance for much of the period, a common trait for companies with aggressive share buyback programs. The ratio improved (meaning it went down) in 2021 due to a significant increase in equity from strong earnings. However, massive share repurchases in 2022 and 2023 caused the equity base to shrink again, leading to a negative equity position in 2023 (and thus a negative ratio). This highlights a financial strategy where the company is highly leveraged and uses its substantial cash flow to return capital to shareholders rather than retaining it as equity on the balance sheet.</w:t>
      </w:r>
    </w:p>
    <w:p w14:paraId="469CA399" w14:textId="77777777" w:rsidR="00B7115E" w:rsidRDefault="00B7115E"/>
    <w:sectPr w:rsidR="00B711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392309"/>
    <w:multiLevelType w:val="multilevel"/>
    <w:tmpl w:val="9BCEB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3149C8"/>
    <w:multiLevelType w:val="multilevel"/>
    <w:tmpl w:val="877AE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CFA094D"/>
    <w:multiLevelType w:val="multilevel"/>
    <w:tmpl w:val="1A103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F11F3E"/>
    <w:multiLevelType w:val="multilevel"/>
    <w:tmpl w:val="A5B23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62602">
    <w:abstractNumId w:val="2"/>
  </w:num>
  <w:num w:numId="2" w16cid:durableId="564993370">
    <w:abstractNumId w:val="3"/>
  </w:num>
  <w:num w:numId="3" w16cid:durableId="411436486">
    <w:abstractNumId w:val="0"/>
  </w:num>
  <w:num w:numId="4" w16cid:durableId="694234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837"/>
    <w:rsid w:val="000B3837"/>
    <w:rsid w:val="00360833"/>
    <w:rsid w:val="00626BE4"/>
    <w:rsid w:val="00802BE9"/>
    <w:rsid w:val="00843D27"/>
    <w:rsid w:val="00B5358D"/>
    <w:rsid w:val="00B7115E"/>
    <w:rsid w:val="00E00F0C"/>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8276F"/>
  <w15:chartTrackingRefBased/>
  <w15:docId w15:val="{C9ACA906-48F1-408E-8859-F20E35B6C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383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B383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B383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B383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B383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B38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38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38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38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383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B383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B383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B383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B383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B38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38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38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3837"/>
    <w:rPr>
      <w:rFonts w:eastAsiaTheme="majorEastAsia" w:cstheme="majorBidi"/>
      <w:color w:val="272727" w:themeColor="text1" w:themeTint="D8"/>
    </w:rPr>
  </w:style>
  <w:style w:type="paragraph" w:styleId="Title">
    <w:name w:val="Title"/>
    <w:basedOn w:val="Normal"/>
    <w:next w:val="Normal"/>
    <w:link w:val="TitleChar"/>
    <w:uiPriority w:val="10"/>
    <w:qFormat/>
    <w:rsid w:val="000B38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38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38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38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3837"/>
    <w:pPr>
      <w:spacing w:before="160"/>
      <w:jc w:val="center"/>
    </w:pPr>
    <w:rPr>
      <w:i/>
      <w:iCs/>
      <w:color w:val="404040" w:themeColor="text1" w:themeTint="BF"/>
    </w:rPr>
  </w:style>
  <w:style w:type="character" w:customStyle="1" w:styleId="QuoteChar">
    <w:name w:val="Quote Char"/>
    <w:basedOn w:val="DefaultParagraphFont"/>
    <w:link w:val="Quote"/>
    <w:uiPriority w:val="29"/>
    <w:rsid w:val="000B3837"/>
    <w:rPr>
      <w:i/>
      <w:iCs/>
      <w:color w:val="404040" w:themeColor="text1" w:themeTint="BF"/>
    </w:rPr>
  </w:style>
  <w:style w:type="paragraph" w:styleId="ListParagraph">
    <w:name w:val="List Paragraph"/>
    <w:basedOn w:val="Normal"/>
    <w:uiPriority w:val="34"/>
    <w:qFormat/>
    <w:rsid w:val="000B3837"/>
    <w:pPr>
      <w:ind w:left="720"/>
      <w:contextualSpacing/>
    </w:pPr>
  </w:style>
  <w:style w:type="character" w:styleId="IntenseEmphasis">
    <w:name w:val="Intense Emphasis"/>
    <w:basedOn w:val="DefaultParagraphFont"/>
    <w:uiPriority w:val="21"/>
    <w:qFormat/>
    <w:rsid w:val="000B3837"/>
    <w:rPr>
      <w:i/>
      <w:iCs/>
      <w:color w:val="2F5496" w:themeColor="accent1" w:themeShade="BF"/>
    </w:rPr>
  </w:style>
  <w:style w:type="paragraph" w:styleId="IntenseQuote">
    <w:name w:val="Intense Quote"/>
    <w:basedOn w:val="Normal"/>
    <w:next w:val="Normal"/>
    <w:link w:val="IntenseQuoteChar"/>
    <w:uiPriority w:val="30"/>
    <w:qFormat/>
    <w:rsid w:val="000B383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B3837"/>
    <w:rPr>
      <w:i/>
      <w:iCs/>
      <w:color w:val="2F5496" w:themeColor="accent1" w:themeShade="BF"/>
    </w:rPr>
  </w:style>
  <w:style w:type="character" w:styleId="IntenseReference">
    <w:name w:val="Intense Reference"/>
    <w:basedOn w:val="DefaultParagraphFont"/>
    <w:uiPriority w:val="32"/>
    <w:qFormat/>
    <w:rsid w:val="000B3837"/>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Pages>
  <Words>648</Words>
  <Characters>3696</Characters>
  <Application>Microsoft Office Word</Application>
  <DocSecurity>0</DocSecurity>
  <Lines>30</Lines>
  <Paragraphs>8</Paragraphs>
  <ScaleCrop>false</ScaleCrop>
  <Company/>
  <LinksUpToDate>false</LinksUpToDate>
  <CharactersWithSpaces>4336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vrutant solanki</dc:creator>
  <cp:keywords/>
  <dc:description/>
  <cp:lastModifiedBy>vrutant solanki</cp:lastModifiedBy>
  <cp:revision>3</cp:revision>
  <dcterms:created xsi:type="dcterms:W3CDTF">2026-08-07T10:17:00Z</dcterms:created>
  <dcterms:modified xsi:type="dcterms:W3CDTF">2026-08-07T10:26:00Z</dcterms:modified>
</cp:coreProperties>
</file>