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D1B8D7" w14:textId="77777777" w:rsidR="000876D6" w:rsidRPr="00F6016C" w:rsidRDefault="00F6016C" w:rsidP="00F6016C">
      <w:pPr>
        <w:jc w:val="center"/>
        <w:rPr>
          <w:i/>
          <w:iCs/>
          <w:u w:val="single"/>
        </w:rPr>
      </w:pPr>
      <w:bookmarkStart w:id="0" w:name="_GoBack"/>
      <w:bookmarkEnd w:id="0"/>
      <w:r w:rsidRPr="00F6016C">
        <w:rPr>
          <w:i/>
          <w:iCs/>
          <w:u w:val="single"/>
        </w:rPr>
        <w:t>‘</w:t>
      </w:r>
      <w:r w:rsidR="002244B7" w:rsidRPr="00F6016C">
        <w:rPr>
          <w:i/>
          <w:iCs/>
          <w:u w:val="single"/>
        </w:rPr>
        <w:t>Critically consider representations of Theseus’ labours in Graeco-Roman literary and artistic sources</w:t>
      </w:r>
      <w:r w:rsidRPr="00F6016C">
        <w:rPr>
          <w:i/>
          <w:iCs/>
          <w:u w:val="single"/>
        </w:rPr>
        <w:t>.’</w:t>
      </w:r>
    </w:p>
    <w:p w14:paraId="1FACB9FE" w14:textId="77777777" w:rsidR="00F6016C" w:rsidRDefault="00F6016C" w:rsidP="00BD0D3A"/>
    <w:p w14:paraId="188F292D" w14:textId="427A7D38" w:rsidR="00EB4884" w:rsidRDefault="00857A8F" w:rsidP="00BD0D3A">
      <w:r>
        <w:t xml:space="preserve">This essay will </w:t>
      </w:r>
      <w:r w:rsidR="00821E73">
        <w:t xml:space="preserve">assess the six labours of </w:t>
      </w:r>
      <w:r w:rsidR="003469CE">
        <w:t xml:space="preserve">Theseus </w:t>
      </w:r>
      <w:r w:rsidR="00904729">
        <w:t>undert</w:t>
      </w:r>
      <w:r w:rsidR="00D61E5D">
        <w:t>aken</w:t>
      </w:r>
      <w:r w:rsidR="00904729">
        <w:t xml:space="preserve"> on his journey from Crete to Athens</w:t>
      </w:r>
      <w:r w:rsidR="00FF18D9">
        <w:t xml:space="preserve"> and analyse </w:t>
      </w:r>
      <w:r w:rsidR="004C6655">
        <w:t>various literary and artistic representations of them</w:t>
      </w:r>
      <w:r w:rsidR="00904729">
        <w:t xml:space="preserve">. </w:t>
      </w:r>
      <w:r w:rsidR="0051593A">
        <w:t xml:space="preserve">These labours or trials are depicted in a variety of ways, both literary and artistic representations. </w:t>
      </w:r>
      <w:r w:rsidR="00725166">
        <w:t>The initial six trials of Theseus are depicted the le</w:t>
      </w:r>
      <w:r w:rsidR="009E1320">
        <w:t xml:space="preserve">ss often than </w:t>
      </w:r>
      <w:r w:rsidR="005243AF">
        <w:t xml:space="preserve">other labours such as the Centaur or The Minotaur, though this could be that they just did not survive. These six labours detailed below were </w:t>
      </w:r>
      <w:r w:rsidR="00725166">
        <w:t>most typically shown on kylix bowls</w:t>
      </w:r>
      <w:r w:rsidR="00D07106">
        <w:t xml:space="preserve"> </w:t>
      </w:r>
      <w:r w:rsidR="00B36E69">
        <w:t xml:space="preserve">or other </w:t>
      </w:r>
      <w:r>
        <w:t>5</w:t>
      </w:r>
      <w:r w:rsidRPr="00857A8F">
        <w:rPr>
          <w:vertAlign w:val="superscript"/>
        </w:rPr>
        <w:t>th</w:t>
      </w:r>
      <w:r>
        <w:t xml:space="preserve"> century BC Greek pottery </w:t>
      </w:r>
      <w:r w:rsidR="00D07106">
        <w:t>when artistically depicted</w:t>
      </w:r>
      <w:r w:rsidR="00725166">
        <w:t>, as shown in figures 1</w:t>
      </w:r>
      <w:r w:rsidR="00337D9B">
        <w:t>, 3, 4 and 5</w:t>
      </w:r>
      <w:r w:rsidR="00725166">
        <w:t xml:space="preserve"> below. </w:t>
      </w:r>
      <w:r>
        <w:t>Another artistic representation, also dating from the 5</w:t>
      </w:r>
      <w:r w:rsidRPr="00857A8F">
        <w:rPr>
          <w:vertAlign w:val="superscript"/>
        </w:rPr>
        <w:t>th</w:t>
      </w:r>
      <w:r>
        <w:t xml:space="preserve"> century BC, is the Athenian Treasury at Delphi, discussed in the essay. </w:t>
      </w:r>
      <w:r w:rsidR="00311803">
        <w:t>The two most tho</w:t>
      </w:r>
      <w:r w:rsidR="00471953">
        <w:t>rough li</w:t>
      </w:r>
      <w:r w:rsidR="00311803">
        <w:t xml:space="preserve">terary sources that mention these labours performed by Theseus </w:t>
      </w:r>
      <w:r w:rsidR="00471953">
        <w:t xml:space="preserve">are those of Plutarch’s Life of Theseus, and Pseudo-Apollodorus’ Epitome. </w:t>
      </w:r>
    </w:p>
    <w:p w14:paraId="686343A5" w14:textId="70EB346B" w:rsidR="00EB4884" w:rsidRDefault="009436A6" w:rsidP="00BD0D3A">
      <w:r>
        <w:rPr>
          <w:noProof/>
        </w:rPr>
        <w:drawing>
          <wp:anchor distT="0" distB="0" distL="114300" distR="114300" simplePos="0" relativeHeight="251664384" behindDoc="0" locked="0" layoutInCell="1" allowOverlap="1" wp14:anchorId="0A46E596" wp14:editId="1E8A85D7">
            <wp:simplePos x="0" y="0"/>
            <wp:positionH relativeFrom="column">
              <wp:posOffset>434340</wp:posOffset>
            </wp:positionH>
            <wp:positionV relativeFrom="paragraph">
              <wp:posOffset>172085</wp:posOffset>
            </wp:positionV>
            <wp:extent cx="4762500" cy="3987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762500" cy="3987800"/>
                    </a:xfrm>
                    <a:prstGeom prst="rect">
                      <a:avLst/>
                    </a:prstGeom>
                  </pic:spPr>
                </pic:pic>
              </a:graphicData>
            </a:graphic>
          </wp:anchor>
        </w:drawing>
      </w:r>
    </w:p>
    <w:p w14:paraId="00F1F5EA" w14:textId="491A2CB3" w:rsidR="009436A6" w:rsidRPr="000F5C36" w:rsidRDefault="000A3826" w:rsidP="000A3826">
      <w:pPr>
        <w:jc w:val="center"/>
        <w:rPr>
          <w:sz w:val="20"/>
          <w:szCs w:val="20"/>
        </w:rPr>
      </w:pPr>
      <w:r w:rsidRPr="000F5C36">
        <w:rPr>
          <w:sz w:val="20"/>
          <w:szCs w:val="20"/>
        </w:rPr>
        <w:t>Fig.1. Attic red-figured kylix depicting the deeds of Theseus. The British Museum.</w:t>
      </w:r>
    </w:p>
    <w:p w14:paraId="0C31A90F" w14:textId="77777777" w:rsidR="000A3826" w:rsidRDefault="000A3826" w:rsidP="000A3826">
      <w:pPr>
        <w:jc w:val="center"/>
      </w:pPr>
    </w:p>
    <w:p w14:paraId="5A729934" w14:textId="1A436F40" w:rsidR="00B846D7" w:rsidRDefault="00BC4042" w:rsidP="00BD0D3A">
      <w:r>
        <w:t xml:space="preserve">One depiction of </w:t>
      </w:r>
      <w:r w:rsidR="00BF3022">
        <w:t xml:space="preserve">the deeds </w:t>
      </w:r>
      <w:r w:rsidR="007F5602">
        <w:t>performed by</w:t>
      </w:r>
      <w:r w:rsidR="00BF3022">
        <w:t xml:space="preserve"> Theseus is on the Athenian Treasury at Delphi</w:t>
      </w:r>
      <w:r w:rsidR="00BF3022">
        <w:rPr>
          <w:rStyle w:val="FootnoteReference"/>
        </w:rPr>
        <w:footnoteReference w:id="1"/>
      </w:r>
      <w:r w:rsidR="00BF3022">
        <w:t>.</w:t>
      </w:r>
      <w:r w:rsidR="0080729B">
        <w:t xml:space="preserve"> While the surviving</w:t>
      </w:r>
      <w:r w:rsidR="00E7536F">
        <w:t>, greatly damaged, depictions of the labours of Theseus show</w:t>
      </w:r>
      <w:r w:rsidR="009B2E3A">
        <w:t xml:space="preserve"> all</w:t>
      </w:r>
      <w:r w:rsidR="00E7536F">
        <w:t xml:space="preserve"> his labours </w:t>
      </w:r>
      <w:r w:rsidR="00833174">
        <w:t xml:space="preserve">but the first </w:t>
      </w:r>
      <w:r w:rsidR="009B2E3A">
        <w:t>(stated by Plutarch and</w:t>
      </w:r>
      <w:r w:rsidR="00BE54E0">
        <w:t xml:space="preserve"> Pseudo-</w:t>
      </w:r>
      <w:r w:rsidR="00D025B6">
        <w:t>Apollodorus as being with P</w:t>
      </w:r>
      <w:r w:rsidR="008B5CF6">
        <w:t>eriphetes)</w:t>
      </w:r>
      <w:r w:rsidR="00D025B6">
        <w:t xml:space="preserve"> </w:t>
      </w:r>
      <w:r w:rsidR="00C97775">
        <w:t xml:space="preserve">, shown in figure 2, </w:t>
      </w:r>
      <w:r w:rsidR="00E7536F">
        <w:t xml:space="preserve">were originally portrayed and </w:t>
      </w:r>
      <w:r w:rsidR="000270A5">
        <w:t xml:space="preserve">have all Ben at least partially </w:t>
      </w:r>
      <w:r w:rsidR="00E7536F">
        <w:t xml:space="preserve">destroyed since the Treasury’s consecration </w:t>
      </w:r>
      <w:r w:rsidR="00A16058">
        <w:t>circa 507 BC to post 470 BC (the exact date varies with different scholars</w:t>
      </w:r>
      <w:r w:rsidR="00371271">
        <w:rPr>
          <w:rStyle w:val="FootnoteReference"/>
        </w:rPr>
        <w:footnoteReference w:id="2"/>
      </w:r>
      <w:r w:rsidR="00A16058">
        <w:t xml:space="preserve">). </w:t>
      </w:r>
      <w:r w:rsidR="004D672B">
        <w:t>The reason for the exclusion of Theseus’ labour agains the Club Bearer Periphetes is unknown</w:t>
      </w:r>
      <w:r w:rsidR="00891787">
        <w:t>. Pseudo-Apollodorus’ Epi</w:t>
      </w:r>
      <w:r w:rsidR="00B50792">
        <w:t xml:space="preserve">tome </w:t>
      </w:r>
      <w:r w:rsidR="00FB59B3">
        <w:t xml:space="preserve">was written much later than the Treasury was built, dating from the </w:t>
      </w:r>
      <w:r w:rsidR="00D62608">
        <w:t>1</w:t>
      </w:r>
      <w:r w:rsidR="00D62608" w:rsidRPr="00D62608">
        <w:rPr>
          <w:vertAlign w:val="superscript"/>
        </w:rPr>
        <w:t>st</w:t>
      </w:r>
      <w:r w:rsidR="00D62608">
        <w:t xml:space="preserve"> or 2</w:t>
      </w:r>
      <w:r w:rsidR="00D62608" w:rsidRPr="00D62608">
        <w:rPr>
          <w:vertAlign w:val="superscript"/>
        </w:rPr>
        <w:t>nd</w:t>
      </w:r>
      <w:r w:rsidR="00D62608">
        <w:t xml:space="preserve"> century AD, while </w:t>
      </w:r>
      <w:proofErr w:type="spellStart"/>
      <w:r w:rsidR="00287E11">
        <w:t>Plitarch’s</w:t>
      </w:r>
      <w:proofErr w:type="spellEnd"/>
      <w:r w:rsidR="00287E11">
        <w:t xml:space="preserve"> Life of Theseus was written</w:t>
      </w:r>
      <w:r w:rsidR="00B846D7">
        <w:t xml:space="preserve"> early 2</w:t>
      </w:r>
      <w:r w:rsidR="00B846D7" w:rsidRPr="00B846D7">
        <w:rPr>
          <w:vertAlign w:val="superscript"/>
        </w:rPr>
        <w:t>nd</w:t>
      </w:r>
      <w:r w:rsidR="00B846D7">
        <w:t xml:space="preserve"> century AD. </w:t>
      </w:r>
      <w:r w:rsidR="00E86A83">
        <w:t xml:space="preserve">As both works were written around a thousand years after the construction of the Athenian Treasury at Delphi and its </w:t>
      </w:r>
      <w:r w:rsidR="00F3755D">
        <w:t xml:space="preserve">representations of the labours of </w:t>
      </w:r>
      <w:r w:rsidR="00E86A83">
        <w:t>Thes</w:t>
      </w:r>
      <w:r w:rsidR="00F3755D">
        <w:t xml:space="preserve">eus, it is </w:t>
      </w:r>
      <w:r w:rsidR="00DF626C">
        <w:t xml:space="preserve">probable that this labour was a later addition to the heroes journey. </w:t>
      </w:r>
    </w:p>
    <w:p w14:paraId="72D52BDB" w14:textId="4BC69300" w:rsidR="00F6016C" w:rsidRDefault="00F6016C" w:rsidP="00BD0D3A"/>
    <w:p w14:paraId="63C53F1C" w14:textId="6E3DEDC9" w:rsidR="00186214" w:rsidRDefault="000A3826" w:rsidP="00BD0D3A">
      <w:r>
        <w:rPr>
          <w:noProof/>
        </w:rPr>
        <w:drawing>
          <wp:anchor distT="0" distB="0" distL="114300" distR="114300" simplePos="0" relativeHeight="251665408" behindDoc="0" locked="0" layoutInCell="1" allowOverlap="1" wp14:anchorId="6761D2B1" wp14:editId="309338DE">
            <wp:simplePos x="0" y="0"/>
            <wp:positionH relativeFrom="column">
              <wp:posOffset>932507</wp:posOffset>
            </wp:positionH>
            <wp:positionV relativeFrom="paragraph">
              <wp:posOffset>235459</wp:posOffset>
            </wp:positionV>
            <wp:extent cx="3784600" cy="40894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7">
                      <a:extLst>
                        <a:ext uri="{28A0092B-C50C-407E-A947-70E740481C1C}">
                          <a14:useLocalDpi xmlns:a14="http://schemas.microsoft.com/office/drawing/2010/main" val="0"/>
                        </a:ext>
                      </a:extLst>
                    </a:blip>
                    <a:stretch>
                      <a:fillRect/>
                    </a:stretch>
                  </pic:blipFill>
                  <pic:spPr>
                    <a:xfrm>
                      <a:off x="0" y="0"/>
                      <a:ext cx="3784600" cy="4089400"/>
                    </a:xfrm>
                    <a:prstGeom prst="rect">
                      <a:avLst/>
                    </a:prstGeom>
                  </pic:spPr>
                </pic:pic>
              </a:graphicData>
            </a:graphic>
          </wp:anchor>
        </w:drawing>
      </w:r>
    </w:p>
    <w:p w14:paraId="58058F0F" w14:textId="77777777" w:rsidR="000A3826" w:rsidRDefault="000A3826" w:rsidP="000A3826"/>
    <w:p w14:paraId="6F9F30BF" w14:textId="069DCFEF" w:rsidR="000A3826" w:rsidRPr="000F5C36" w:rsidRDefault="005F2E7B" w:rsidP="004F0DBA">
      <w:pPr>
        <w:jc w:val="center"/>
        <w:rPr>
          <w:sz w:val="20"/>
          <w:szCs w:val="20"/>
        </w:rPr>
      </w:pPr>
      <w:r w:rsidRPr="000F5C36">
        <w:rPr>
          <w:sz w:val="20"/>
          <w:szCs w:val="20"/>
        </w:rPr>
        <w:t xml:space="preserve">Fig.2. Map of </w:t>
      </w:r>
      <w:r w:rsidR="000A3826" w:rsidRPr="000F5C36">
        <w:rPr>
          <w:sz w:val="20"/>
          <w:szCs w:val="20"/>
        </w:rPr>
        <w:t>Metopes of the Athenian Treasury at Delphi</w:t>
      </w:r>
      <w:r w:rsidR="00FA2010" w:rsidRPr="000F5C36">
        <w:rPr>
          <w:sz w:val="20"/>
          <w:szCs w:val="20"/>
        </w:rPr>
        <w:t xml:space="preserve">. </w:t>
      </w:r>
      <w:r w:rsidR="00A0072E" w:rsidRPr="000F5C36">
        <w:rPr>
          <w:sz w:val="20"/>
          <w:szCs w:val="20"/>
        </w:rPr>
        <w:t xml:space="preserve">Images </w:t>
      </w:r>
      <w:r w:rsidR="00FA2010" w:rsidRPr="000F5C36">
        <w:rPr>
          <w:sz w:val="20"/>
          <w:szCs w:val="20"/>
        </w:rPr>
        <w:t>1-8</w:t>
      </w:r>
      <w:r w:rsidR="006F09A3" w:rsidRPr="000F5C36">
        <w:rPr>
          <w:sz w:val="20"/>
          <w:szCs w:val="20"/>
        </w:rPr>
        <w:t xml:space="preserve"> show the </w:t>
      </w:r>
      <w:r w:rsidR="00FA2010" w:rsidRPr="000F5C36">
        <w:rPr>
          <w:sz w:val="20"/>
          <w:szCs w:val="20"/>
        </w:rPr>
        <w:t>adventures of Theseus</w:t>
      </w:r>
      <w:r w:rsidR="00A0072E" w:rsidRPr="000F5C36">
        <w:rPr>
          <w:sz w:val="20"/>
          <w:szCs w:val="20"/>
        </w:rPr>
        <w:t>,</w:t>
      </w:r>
      <w:r w:rsidR="00FA2010" w:rsidRPr="000F5C36">
        <w:rPr>
          <w:sz w:val="20"/>
          <w:szCs w:val="20"/>
        </w:rPr>
        <w:t xml:space="preserve"> 9-14</w:t>
      </w:r>
      <w:r w:rsidR="009C32B6" w:rsidRPr="000F5C36">
        <w:rPr>
          <w:sz w:val="20"/>
          <w:szCs w:val="20"/>
        </w:rPr>
        <w:t xml:space="preserve"> depict</w:t>
      </w:r>
      <w:r w:rsidR="00FA2010" w:rsidRPr="000F5C36">
        <w:rPr>
          <w:sz w:val="20"/>
          <w:szCs w:val="20"/>
        </w:rPr>
        <w:t xml:space="preserve"> Amazons fighting</w:t>
      </w:r>
      <w:r w:rsidR="00A0072E" w:rsidRPr="000F5C36">
        <w:rPr>
          <w:sz w:val="20"/>
          <w:szCs w:val="20"/>
        </w:rPr>
        <w:t>,</w:t>
      </w:r>
      <w:r w:rsidR="00FA2010" w:rsidRPr="000F5C36">
        <w:rPr>
          <w:sz w:val="20"/>
          <w:szCs w:val="20"/>
        </w:rPr>
        <w:t xml:space="preserve"> 15-22</w:t>
      </w:r>
      <w:r w:rsidR="009C32B6" w:rsidRPr="000F5C36">
        <w:rPr>
          <w:sz w:val="20"/>
          <w:szCs w:val="20"/>
        </w:rPr>
        <w:t xml:space="preserve"> show the </w:t>
      </w:r>
      <w:r w:rsidR="00FA2010" w:rsidRPr="000F5C36">
        <w:rPr>
          <w:sz w:val="20"/>
          <w:szCs w:val="20"/>
        </w:rPr>
        <w:t>adventures of Herakles</w:t>
      </w:r>
      <w:r w:rsidR="009C32B6" w:rsidRPr="000F5C36">
        <w:rPr>
          <w:sz w:val="20"/>
          <w:szCs w:val="20"/>
        </w:rPr>
        <w:t xml:space="preserve">, and </w:t>
      </w:r>
      <w:r w:rsidR="00FA2010" w:rsidRPr="000F5C36">
        <w:rPr>
          <w:sz w:val="20"/>
          <w:szCs w:val="20"/>
        </w:rPr>
        <w:t>23-27</w:t>
      </w:r>
      <w:r w:rsidR="009C32B6" w:rsidRPr="000F5C36">
        <w:rPr>
          <w:sz w:val="20"/>
          <w:szCs w:val="20"/>
        </w:rPr>
        <w:t xml:space="preserve"> </w:t>
      </w:r>
      <w:r w:rsidR="00A56EA0" w:rsidRPr="000F5C36">
        <w:rPr>
          <w:sz w:val="20"/>
          <w:szCs w:val="20"/>
        </w:rPr>
        <w:t xml:space="preserve">represent </w:t>
      </w:r>
      <w:r w:rsidR="00FA2010" w:rsidRPr="000F5C36">
        <w:rPr>
          <w:sz w:val="20"/>
          <w:szCs w:val="20"/>
        </w:rPr>
        <w:t xml:space="preserve">Herakles and </w:t>
      </w:r>
      <w:proofErr w:type="spellStart"/>
      <w:r w:rsidR="00FA2010" w:rsidRPr="000F5C36">
        <w:rPr>
          <w:sz w:val="20"/>
          <w:szCs w:val="20"/>
        </w:rPr>
        <w:t>Geryon</w:t>
      </w:r>
      <w:proofErr w:type="spellEnd"/>
      <w:r w:rsidR="00A56EA0" w:rsidRPr="000F5C36">
        <w:rPr>
          <w:sz w:val="20"/>
          <w:szCs w:val="20"/>
        </w:rPr>
        <w:t xml:space="preserve">, with </w:t>
      </w:r>
      <w:r w:rsidR="00FA2010" w:rsidRPr="000F5C36">
        <w:rPr>
          <w:sz w:val="20"/>
          <w:szCs w:val="20"/>
        </w:rPr>
        <w:t>Metopes 17 and 22 not show</w:t>
      </w:r>
      <w:r w:rsidR="00A56EA0" w:rsidRPr="000F5C36">
        <w:rPr>
          <w:sz w:val="20"/>
          <w:szCs w:val="20"/>
        </w:rPr>
        <w:t>n.</w:t>
      </w:r>
      <w:r w:rsidR="00A0072E" w:rsidRPr="000F5C36">
        <w:rPr>
          <w:sz w:val="20"/>
          <w:szCs w:val="20"/>
        </w:rPr>
        <w:t xml:space="preserve"> </w:t>
      </w:r>
      <w:r w:rsidR="000A3826" w:rsidRPr="000F5C36">
        <w:rPr>
          <w:sz w:val="20"/>
          <w:szCs w:val="20"/>
        </w:rPr>
        <w:t xml:space="preserve"> John Boardman Greek Sculpture Archaic </w:t>
      </w:r>
      <w:r w:rsidR="00E8327A" w:rsidRPr="000F5C36">
        <w:rPr>
          <w:sz w:val="20"/>
          <w:szCs w:val="20"/>
        </w:rPr>
        <w:t>Period</w:t>
      </w:r>
      <w:r w:rsidR="000A3826" w:rsidRPr="000F5C36">
        <w:rPr>
          <w:sz w:val="20"/>
          <w:szCs w:val="20"/>
        </w:rPr>
        <w:t xml:space="preserve">  (Marion Cox)</w:t>
      </w:r>
      <w:r w:rsidR="00FA2010" w:rsidRPr="000F5C36">
        <w:rPr>
          <w:sz w:val="20"/>
          <w:szCs w:val="20"/>
        </w:rPr>
        <w:t>.</w:t>
      </w:r>
      <w:r w:rsidR="00A0072E" w:rsidRPr="000F5C36">
        <w:rPr>
          <w:sz w:val="20"/>
          <w:szCs w:val="20"/>
        </w:rPr>
        <w:t xml:space="preserve"> </w:t>
      </w:r>
      <w:r w:rsidR="004F0DBA" w:rsidRPr="000F5C36">
        <w:rPr>
          <w:sz w:val="20"/>
          <w:szCs w:val="20"/>
        </w:rPr>
        <w:t xml:space="preserve">The </w:t>
      </w:r>
      <w:r w:rsidR="005A7107" w:rsidRPr="000F5C36">
        <w:rPr>
          <w:sz w:val="20"/>
          <w:szCs w:val="20"/>
        </w:rPr>
        <w:t xml:space="preserve">Classical Art Research Centre and </w:t>
      </w:r>
      <w:r w:rsidR="005D5097" w:rsidRPr="000F5C36">
        <w:rPr>
          <w:sz w:val="20"/>
          <w:szCs w:val="20"/>
        </w:rPr>
        <w:t xml:space="preserve">the </w:t>
      </w:r>
      <w:proofErr w:type="spellStart"/>
      <w:r w:rsidR="005D5097" w:rsidRPr="000F5C36">
        <w:rPr>
          <w:sz w:val="20"/>
          <w:szCs w:val="20"/>
        </w:rPr>
        <w:t>Beazley</w:t>
      </w:r>
      <w:proofErr w:type="spellEnd"/>
      <w:r w:rsidR="005D5097" w:rsidRPr="000F5C36">
        <w:rPr>
          <w:sz w:val="20"/>
          <w:szCs w:val="20"/>
        </w:rPr>
        <w:t xml:space="preserve"> Archive</w:t>
      </w:r>
      <w:r w:rsidR="00FE43F5" w:rsidRPr="000F5C36">
        <w:rPr>
          <w:sz w:val="20"/>
          <w:szCs w:val="20"/>
        </w:rPr>
        <w:t>,</w:t>
      </w:r>
      <w:r w:rsidR="005D5097" w:rsidRPr="000F5C36">
        <w:rPr>
          <w:sz w:val="20"/>
          <w:szCs w:val="20"/>
        </w:rPr>
        <w:t xml:space="preserve"> University of Oxford.</w:t>
      </w:r>
    </w:p>
    <w:p w14:paraId="09AE1DF4" w14:textId="77777777" w:rsidR="000A3826" w:rsidRDefault="000A3826" w:rsidP="00BD0D3A"/>
    <w:p w14:paraId="2112FE00" w14:textId="36CCB348" w:rsidR="003678D2" w:rsidRDefault="0051593A" w:rsidP="00BD0D3A">
      <w:r>
        <w:t xml:space="preserve">The first of the six </w:t>
      </w:r>
      <w:r w:rsidR="00D40B6E">
        <w:t xml:space="preserve">labours of Theseus on his journey to Athens </w:t>
      </w:r>
      <w:r>
        <w:t xml:space="preserve">is known as Theseus and </w:t>
      </w:r>
      <w:r w:rsidR="00BD0D3A">
        <w:t>Periphetes</w:t>
      </w:r>
      <w:r>
        <w:t xml:space="preserve">. </w:t>
      </w:r>
      <w:r w:rsidR="0033788D">
        <w:t xml:space="preserve">Upon leaving Crete, </w:t>
      </w:r>
      <w:r w:rsidR="00BD0D3A">
        <w:t xml:space="preserve">Theseus arrived at </w:t>
      </w:r>
      <w:proofErr w:type="spellStart"/>
      <w:r w:rsidR="00BD0D3A">
        <w:t>Epidaurus</w:t>
      </w:r>
      <w:proofErr w:type="spellEnd"/>
      <w:r w:rsidR="007D356B">
        <w:t xml:space="preserve"> where </w:t>
      </w:r>
      <w:r w:rsidR="00BD0D3A">
        <w:t xml:space="preserve">he met Periphetes. </w:t>
      </w:r>
      <w:r w:rsidR="000047EA">
        <w:t xml:space="preserve">Also known as the Club-Bearer due to his bronze club, Periphetes roamed the road from Athens to </w:t>
      </w:r>
      <w:proofErr w:type="spellStart"/>
      <w:r w:rsidR="000047EA">
        <w:t>Troe</w:t>
      </w:r>
      <w:r w:rsidR="00A564AB">
        <w:t>ze</w:t>
      </w:r>
      <w:r w:rsidR="000047EA">
        <w:t>n</w:t>
      </w:r>
      <w:proofErr w:type="spellEnd"/>
      <w:r w:rsidR="000047EA">
        <w:t xml:space="preserve"> robbing travellers and then killing them with his club. In some versions Periphetes is depicted with one eye like a Cyclops and in others he is described as being lame in one leg like his father Hephaestus.</w:t>
      </w:r>
      <w:r w:rsidR="00EC58FC">
        <w:t xml:space="preserve"> Theseus tricked</w:t>
      </w:r>
      <w:r w:rsidR="003678D2">
        <w:t xml:space="preserve"> Periphetes into surrendering his club under the pretence of checking if it was gruels bronze, then killing the Club-Bearer with the same fate his victims received, hit in the head to death</w:t>
      </w:r>
      <w:r w:rsidR="00DB7417">
        <w:rPr>
          <w:rStyle w:val="FootnoteReference"/>
        </w:rPr>
        <w:footnoteReference w:id="3"/>
      </w:r>
      <w:r w:rsidR="003678D2">
        <w:t xml:space="preserve">. </w:t>
      </w:r>
      <w:r w:rsidR="00C70394">
        <w:t xml:space="preserve">In Plutarch’s Life of Theseus, </w:t>
      </w:r>
      <w:r w:rsidR="00A40B63">
        <w:t>Theseus kept Periphetes club, being likened go Hercules wearing the pelt of the Nemean</w:t>
      </w:r>
      <w:r w:rsidR="00E42BB2">
        <w:t xml:space="preserve"> </w:t>
      </w:r>
      <w:r w:rsidR="00A40B63">
        <w:t xml:space="preserve">lion. </w:t>
      </w:r>
      <w:r w:rsidR="003043C2">
        <w:t xml:space="preserve">The artistic representation appears to be absent from the kylix shown in figure 1. This is likely because the kylix is an early representation of the labours of Theseus, while the literary sources that mention this specific labour are much later. </w:t>
      </w:r>
    </w:p>
    <w:p w14:paraId="70A6FDE5" w14:textId="77777777" w:rsidR="006002FF" w:rsidRDefault="006002FF" w:rsidP="00BD0D3A"/>
    <w:p w14:paraId="5167275C" w14:textId="2D2FC45C" w:rsidR="004324D3" w:rsidRPr="000F5C36" w:rsidRDefault="007B1ED9" w:rsidP="00CA287F">
      <w:pPr>
        <w:jc w:val="center"/>
        <w:rPr>
          <w:sz w:val="20"/>
          <w:szCs w:val="20"/>
        </w:rPr>
      </w:pPr>
      <w:r w:rsidRPr="000F5C36">
        <w:rPr>
          <w:noProof/>
          <w:sz w:val="20"/>
          <w:szCs w:val="20"/>
        </w:rPr>
        <w:lastRenderedPageBreak/>
        <w:drawing>
          <wp:anchor distT="0" distB="0" distL="114300" distR="114300" simplePos="0" relativeHeight="251661312" behindDoc="0" locked="0" layoutInCell="1" allowOverlap="1" wp14:anchorId="4B6778B7" wp14:editId="60BAF62F">
            <wp:simplePos x="0" y="0"/>
            <wp:positionH relativeFrom="column">
              <wp:posOffset>425513</wp:posOffset>
            </wp:positionH>
            <wp:positionV relativeFrom="paragraph">
              <wp:posOffset>465</wp:posOffset>
            </wp:positionV>
            <wp:extent cx="4533900" cy="6502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extLst>
                        <a:ext uri="{28A0092B-C50C-407E-A947-70E740481C1C}">
                          <a14:useLocalDpi xmlns:a14="http://schemas.microsoft.com/office/drawing/2010/main" val="0"/>
                        </a:ext>
                      </a:extLst>
                    </a:blip>
                    <a:stretch>
                      <a:fillRect/>
                    </a:stretch>
                  </pic:blipFill>
                  <pic:spPr>
                    <a:xfrm>
                      <a:off x="0" y="0"/>
                      <a:ext cx="4533900" cy="6502400"/>
                    </a:xfrm>
                    <a:prstGeom prst="rect">
                      <a:avLst/>
                    </a:prstGeom>
                  </pic:spPr>
                </pic:pic>
              </a:graphicData>
            </a:graphic>
          </wp:anchor>
        </w:drawing>
      </w:r>
      <w:r w:rsidR="00B0485A" w:rsidRPr="000F5C36">
        <w:rPr>
          <w:sz w:val="20"/>
          <w:szCs w:val="20"/>
        </w:rPr>
        <w:t>Fig.</w:t>
      </w:r>
      <w:r w:rsidR="004F0DBA" w:rsidRPr="000F5C36">
        <w:rPr>
          <w:sz w:val="20"/>
          <w:szCs w:val="20"/>
        </w:rPr>
        <w:t>3</w:t>
      </w:r>
      <w:r w:rsidR="00B0485A" w:rsidRPr="000F5C36">
        <w:rPr>
          <w:sz w:val="20"/>
          <w:szCs w:val="20"/>
        </w:rPr>
        <w:t xml:space="preserve">. </w:t>
      </w:r>
      <w:r w:rsidR="00F76C7C" w:rsidRPr="000F5C36">
        <w:rPr>
          <w:sz w:val="20"/>
          <w:szCs w:val="20"/>
        </w:rPr>
        <w:t xml:space="preserve">Nolan amphora with triple handles depicting </w:t>
      </w:r>
      <w:r w:rsidR="006B5B35" w:rsidRPr="000F5C36">
        <w:rPr>
          <w:sz w:val="20"/>
          <w:szCs w:val="20"/>
        </w:rPr>
        <w:t>Sinis being tied to a pine tree by Theseus.</w:t>
      </w:r>
      <w:r w:rsidR="000D3D8D" w:rsidRPr="000F5C36">
        <w:rPr>
          <w:sz w:val="20"/>
          <w:szCs w:val="20"/>
        </w:rPr>
        <w:t xml:space="preserve"> (ca. 470 BC - ca. 460 BC)</w:t>
      </w:r>
      <w:r w:rsidR="006B5B35" w:rsidRPr="000F5C36">
        <w:rPr>
          <w:sz w:val="20"/>
          <w:szCs w:val="20"/>
        </w:rPr>
        <w:t xml:space="preserve"> </w:t>
      </w:r>
      <w:r w:rsidR="00B0485A" w:rsidRPr="000F5C36">
        <w:rPr>
          <w:sz w:val="20"/>
          <w:szCs w:val="20"/>
        </w:rPr>
        <w:t>Photograph by Maria Daniels, courtesy of Harvard University Art Museums, 1990</w:t>
      </w:r>
      <w:r w:rsidR="006B5B35" w:rsidRPr="000F5C36">
        <w:rPr>
          <w:sz w:val="20"/>
          <w:szCs w:val="20"/>
        </w:rPr>
        <w:t>.</w:t>
      </w:r>
    </w:p>
    <w:p w14:paraId="7614B889" w14:textId="77777777" w:rsidR="007B1ED9" w:rsidRDefault="007B1ED9" w:rsidP="00BD0D3A"/>
    <w:p w14:paraId="7D5DE749" w14:textId="77FA2A6E" w:rsidR="00BD0D3A" w:rsidRDefault="0005758F" w:rsidP="00BD0D3A">
      <w:r>
        <w:t xml:space="preserve">His </w:t>
      </w:r>
      <w:r w:rsidR="003D5589">
        <w:t xml:space="preserve">second </w:t>
      </w:r>
      <w:r>
        <w:t xml:space="preserve">labour after departing from Crete </w:t>
      </w:r>
      <w:r w:rsidR="003D5589">
        <w:t xml:space="preserve">is that of </w:t>
      </w:r>
      <w:r w:rsidR="00BD0D3A">
        <w:t>Theseus and Sinis</w:t>
      </w:r>
      <w:r w:rsidR="003D5589">
        <w:t xml:space="preserve">. </w:t>
      </w:r>
      <w:r w:rsidR="00985B44">
        <w:t xml:space="preserve">The figure of Sinis is an Isthmian outlaw who forces travellers to </w:t>
      </w:r>
      <w:r w:rsidR="003763EA">
        <w:t xml:space="preserve">aid him in bending pine trees to the ground and use the momentum of it to kill the traveller once the branches are near the ground. </w:t>
      </w:r>
      <w:r w:rsidR="00462E7D">
        <w:t>The victims of Sinis are then atta</w:t>
      </w:r>
      <w:r w:rsidR="002526D2">
        <w:t xml:space="preserve">ched to the branches and </w:t>
      </w:r>
      <w:r w:rsidR="0037521D">
        <w:t xml:space="preserve">being tossed by the tree to their death. In some versions of the tale, Sinis ties his victims to two pine trees causing them to be torn in apart. </w:t>
      </w:r>
      <w:r w:rsidR="00B3639C">
        <w:t>Theseus was approached by Sinis as he passed by</w:t>
      </w:r>
      <w:r w:rsidR="002F2449">
        <w:t xml:space="preserve"> and was asked to help</w:t>
      </w:r>
      <w:r w:rsidR="007908AB">
        <w:t xml:space="preserve">. Much </w:t>
      </w:r>
      <w:r w:rsidR="002F2449">
        <w:t xml:space="preserve">like </w:t>
      </w:r>
      <w:r w:rsidR="007908AB">
        <w:t xml:space="preserve">his first trial, </w:t>
      </w:r>
      <w:r w:rsidR="008E5351">
        <w:t xml:space="preserve">Theseus </w:t>
      </w:r>
      <w:r w:rsidR="00AD3FD4">
        <w:t xml:space="preserve">killed Sinis </w:t>
      </w:r>
      <w:r w:rsidR="00BE7BFC">
        <w:t>the way he would have killed his travelling helper, as he had with countless others</w:t>
      </w:r>
      <w:r w:rsidR="00A06157">
        <w:rPr>
          <w:rStyle w:val="FootnoteReference"/>
        </w:rPr>
        <w:footnoteReference w:id="4"/>
      </w:r>
      <w:r w:rsidR="00BE7BFC">
        <w:t xml:space="preserve">. </w:t>
      </w:r>
      <w:r w:rsidR="001019D0">
        <w:t xml:space="preserve">The representation of Theseus’ second labour against Sinis shows the two men </w:t>
      </w:r>
      <w:r w:rsidR="002C0FE3">
        <w:t xml:space="preserve">lowering the branches of </w:t>
      </w:r>
      <w:r w:rsidR="001019D0">
        <w:t xml:space="preserve">one pine tree, as opposed to two described in alternative versions of the myth. </w:t>
      </w:r>
    </w:p>
    <w:p w14:paraId="167EC6D2" w14:textId="77777777" w:rsidR="00BD0D3A" w:rsidRDefault="00BD0D3A" w:rsidP="00BD0D3A"/>
    <w:p w14:paraId="189E1DF7" w14:textId="77777777" w:rsidR="00BD0D3A" w:rsidRDefault="00BD0D3A" w:rsidP="00BD0D3A">
      <w:r>
        <w:t xml:space="preserve">       </w:t>
      </w:r>
    </w:p>
    <w:p w14:paraId="15153928" w14:textId="4CC49C81" w:rsidR="00B07572" w:rsidRDefault="000C1F1E" w:rsidP="00BD0D3A">
      <w:r>
        <w:t xml:space="preserve">The third of Theseus’ </w:t>
      </w:r>
      <w:r w:rsidR="00A24F14">
        <w:t xml:space="preserve">labours on his journey to Athens </w:t>
      </w:r>
      <w:r w:rsidR="006472FA">
        <w:t xml:space="preserve">is </w:t>
      </w:r>
      <w:r w:rsidR="00A24F14">
        <w:t xml:space="preserve">that of </w:t>
      </w:r>
      <w:r w:rsidR="006472FA">
        <w:t>Theseus and The Crommyonian Sow. As the fable goes, a monstrous wild pig terrorised the countryside around Crommyon</w:t>
      </w:r>
      <w:r w:rsidR="00E64B23">
        <w:t>, robbing and killing those it came in contact with</w:t>
      </w:r>
      <w:r w:rsidR="006472FA">
        <w:t xml:space="preserve">, becoming known as the Crommyonian Sow. An old witch by the name of Phaea was said to be the mistress of the Sow. </w:t>
      </w:r>
      <w:r w:rsidR="00C163EE">
        <w:t xml:space="preserve">In another version, the Sow itself was known as Phaea, named </w:t>
      </w:r>
      <w:r w:rsidR="00DA1C91">
        <w:t>“</w:t>
      </w:r>
      <w:r w:rsidR="00C163EE">
        <w:t xml:space="preserve">after the </w:t>
      </w:r>
      <w:r w:rsidR="00BA414A">
        <w:t>old woman who bred it”</w:t>
      </w:r>
      <w:r w:rsidR="00DA1C91">
        <w:t xml:space="preserve">, though in another </w:t>
      </w:r>
      <w:r w:rsidR="00FB6EE0">
        <w:t xml:space="preserve">the Crommyonian Sow was said to be the issue of </w:t>
      </w:r>
      <w:proofErr w:type="spellStart"/>
      <w:r w:rsidR="00FB6EE0">
        <w:t>Typhon</w:t>
      </w:r>
      <w:proofErr w:type="spellEnd"/>
      <w:r w:rsidR="00FB6EE0">
        <w:t xml:space="preserve"> and Echidna</w:t>
      </w:r>
      <w:r w:rsidR="00CD29FC">
        <w:rPr>
          <w:rStyle w:val="FootnoteReference"/>
        </w:rPr>
        <w:footnoteReference w:id="5"/>
      </w:r>
      <w:r w:rsidR="00FB6EE0">
        <w:t xml:space="preserve">. Upon arrival at Crommyon, Theseus killed the Sow and </w:t>
      </w:r>
      <w:r w:rsidR="0096654D">
        <w:t xml:space="preserve">its mistress, as </w:t>
      </w:r>
      <w:r w:rsidR="00A40DC0">
        <w:t xml:space="preserve">represented </w:t>
      </w:r>
      <w:r w:rsidR="0096654D">
        <w:t xml:space="preserve">in figure </w:t>
      </w:r>
      <w:r w:rsidR="007E13A9">
        <w:t>1</w:t>
      </w:r>
      <w:r w:rsidR="0096654D">
        <w:t xml:space="preserve">. </w:t>
      </w:r>
      <w:r w:rsidR="00A00FB4">
        <w:t xml:space="preserve">Alternatively, </w:t>
      </w:r>
      <w:r w:rsidR="000E3BD4">
        <w:t>Plutarch</w:t>
      </w:r>
      <w:r w:rsidR="00A00FB4">
        <w:t xml:space="preserve"> suggests in</w:t>
      </w:r>
      <w:r w:rsidR="000E3BD4">
        <w:t xml:space="preserve"> his biographical work ‘Life of Theseus’</w:t>
      </w:r>
      <w:r w:rsidR="00473762">
        <w:t xml:space="preserve"> </w:t>
      </w:r>
      <w:r w:rsidR="000E3BD4">
        <w:t>that the Sow is possibly a woman robber derogatorily known as a sow as opposed to actually being a pig</w:t>
      </w:r>
      <w:r w:rsidR="000E3BD4">
        <w:rPr>
          <w:rStyle w:val="FootnoteReference"/>
        </w:rPr>
        <w:footnoteReference w:id="6"/>
      </w:r>
      <w:r w:rsidR="000E3BD4">
        <w:t xml:space="preserve">. </w:t>
      </w:r>
      <w:r w:rsidR="00B07572">
        <w:t xml:space="preserve">The depiction of this labour included in figure 1 shows the Crommyon Sow and her mistress Phaea as separate entities, more closely </w:t>
      </w:r>
      <w:r w:rsidR="00060F70">
        <w:t>matching</w:t>
      </w:r>
      <w:r w:rsidR="00B07572">
        <w:t xml:space="preserve"> the description in the Epitome as opposed to Plutarch’s attempt at explaining the truth behind the myths in his theory that the Sow was metaphorical and was actually a human female robber.</w:t>
      </w:r>
    </w:p>
    <w:p w14:paraId="0F9FA5A5" w14:textId="09DFABD7" w:rsidR="00BD0D3A" w:rsidRDefault="00907104" w:rsidP="00BD0D3A">
      <w:r>
        <w:rPr>
          <w:noProof/>
        </w:rPr>
        <w:drawing>
          <wp:anchor distT="0" distB="0" distL="114300" distR="114300" simplePos="0" relativeHeight="251660288" behindDoc="0" locked="0" layoutInCell="1" allowOverlap="1" wp14:anchorId="3C8EAC97" wp14:editId="70F06BB4">
            <wp:simplePos x="0" y="0"/>
            <wp:positionH relativeFrom="column">
              <wp:posOffset>334645</wp:posOffset>
            </wp:positionH>
            <wp:positionV relativeFrom="paragraph">
              <wp:posOffset>296545</wp:posOffset>
            </wp:positionV>
            <wp:extent cx="4749800" cy="3810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extLst>
                        <a:ext uri="{28A0092B-C50C-407E-A947-70E740481C1C}">
                          <a14:useLocalDpi xmlns:a14="http://schemas.microsoft.com/office/drawing/2010/main" val="0"/>
                        </a:ext>
                      </a:extLst>
                    </a:blip>
                    <a:stretch>
                      <a:fillRect/>
                    </a:stretch>
                  </pic:blipFill>
                  <pic:spPr>
                    <a:xfrm>
                      <a:off x="0" y="0"/>
                      <a:ext cx="4749800" cy="3810000"/>
                    </a:xfrm>
                    <a:prstGeom prst="rect">
                      <a:avLst/>
                    </a:prstGeom>
                  </pic:spPr>
                </pic:pic>
              </a:graphicData>
            </a:graphic>
          </wp:anchor>
        </w:drawing>
      </w:r>
    </w:p>
    <w:p w14:paraId="72489D0F" w14:textId="29E9D00F" w:rsidR="00F75A60" w:rsidRDefault="00F75A60" w:rsidP="00BD0D3A"/>
    <w:p w14:paraId="7AA267C8" w14:textId="60566C17" w:rsidR="00AE7748" w:rsidRPr="000F5C36" w:rsidRDefault="00907104" w:rsidP="00BF1CBB">
      <w:pPr>
        <w:jc w:val="center"/>
        <w:rPr>
          <w:sz w:val="20"/>
          <w:szCs w:val="20"/>
        </w:rPr>
      </w:pPr>
      <w:r w:rsidRPr="000F5C36">
        <w:rPr>
          <w:sz w:val="20"/>
          <w:szCs w:val="20"/>
        </w:rPr>
        <w:t>Fig.</w:t>
      </w:r>
      <w:r w:rsidR="004F0DBA" w:rsidRPr="000F5C36">
        <w:rPr>
          <w:sz w:val="20"/>
          <w:szCs w:val="20"/>
        </w:rPr>
        <w:t>4</w:t>
      </w:r>
      <w:r w:rsidRPr="000F5C36">
        <w:rPr>
          <w:sz w:val="20"/>
          <w:szCs w:val="20"/>
        </w:rPr>
        <w:t xml:space="preserve">. </w:t>
      </w:r>
      <w:r w:rsidR="007E3038" w:rsidRPr="000F5C36">
        <w:rPr>
          <w:sz w:val="20"/>
          <w:szCs w:val="20"/>
        </w:rPr>
        <w:t xml:space="preserve">Kylix showing Theseus pushing Sciron into the sea. </w:t>
      </w:r>
      <w:r w:rsidR="00BF1CBB" w:rsidRPr="000F5C36">
        <w:rPr>
          <w:sz w:val="20"/>
          <w:szCs w:val="20"/>
        </w:rPr>
        <w:t xml:space="preserve">The </w:t>
      </w:r>
      <w:proofErr w:type="spellStart"/>
      <w:r w:rsidR="00BF1CBB" w:rsidRPr="000F5C36">
        <w:rPr>
          <w:sz w:val="20"/>
          <w:szCs w:val="20"/>
        </w:rPr>
        <w:t>Antikensammlung</w:t>
      </w:r>
      <w:proofErr w:type="spellEnd"/>
      <w:r w:rsidR="00BF1CBB" w:rsidRPr="000F5C36">
        <w:rPr>
          <w:sz w:val="20"/>
          <w:szCs w:val="20"/>
        </w:rPr>
        <w:t xml:space="preserve"> Berlin Museum.</w:t>
      </w:r>
    </w:p>
    <w:p w14:paraId="1BFC2A43" w14:textId="77777777" w:rsidR="00907104" w:rsidRDefault="00907104" w:rsidP="00BD0D3A"/>
    <w:p w14:paraId="603C624B" w14:textId="2C62CCC0" w:rsidR="004324D3" w:rsidRDefault="00C1036C" w:rsidP="00BD0D3A">
      <w:r>
        <w:t>The</w:t>
      </w:r>
      <w:r w:rsidR="00947ADB">
        <w:t>seus’</w:t>
      </w:r>
      <w:r>
        <w:t xml:space="preserve"> fourth </w:t>
      </w:r>
      <w:r w:rsidR="00851598">
        <w:t xml:space="preserve">labour </w:t>
      </w:r>
      <w:r w:rsidR="00701B1F">
        <w:t xml:space="preserve">after leaving Crete </w:t>
      </w:r>
      <w:r w:rsidR="004F573A">
        <w:t xml:space="preserve">was that of Theseus and Sciron. Sciron was an Isthmian outlaw and either the son of Poseidon or Pelops. The outlaw lived on a cliff on the Saronic coast of Isthmus and Corinth, known as </w:t>
      </w:r>
      <w:proofErr w:type="spellStart"/>
      <w:r w:rsidR="004F573A">
        <w:t>Sceironian</w:t>
      </w:r>
      <w:proofErr w:type="spellEnd"/>
      <w:r w:rsidR="004F573A">
        <w:t xml:space="preserve"> Rocks. Scir</w:t>
      </w:r>
      <w:r w:rsidR="005864C9">
        <w:t xml:space="preserve">on was known </w:t>
      </w:r>
      <w:r w:rsidR="00AE7748">
        <w:t xml:space="preserve">as a thief of travellers passing by his cliffside and to force them to wash his feet. </w:t>
      </w:r>
      <w:r w:rsidR="00956BDB">
        <w:t>As the travellers knelt before Sciron, he kicked them o</w:t>
      </w:r>
      <w:r w:rsidR="00772345">
        <w:t xml:space="preserve">ff the cliff and into the sea, knowing that they would be eaten by a monstrous turtle. </w:t>
      </w:r>
      <w:r w:rsidR="00C47C3E">
        <w:t xml:space="preserve">As became a pattern of Theseus’ trials, he killed Sciron </w:t>
      </w:r>
      <w:r w:rsidR="004324D3">
        <w:t>in the same fashion, by pushing him to his death off the cliff</w:t>
      </w:r>
      <w:r w:rsidR="004E2C42">
        <w:rPr>
          <w:rStyle w:val="FootnoteReference"/>
        </w:rPr>
        <w:footnoteReference w:id="7"/>
      </w:r>
      <w:r w:rsidR="004324D3">
        <w:t>.</w:t>
      </w:r>
      <w:r w:rsidR="00074E68">
        <w:t xml:space="preserve"> </w:t>
      </w:r>
      <w:r w:rsidR="00E219E5">
        <w:t xml:space="preserve">In Life of Theseus, Plutarch does not mention the monstrous turtle, only that Sciron kicks his </w:t>
      </w:r>
      <w:r w:rsidR="00E219E5">
        <w:lastRenderedPageBreak/>
        <w:t xml:space="preserve">victims over the cliff to their death. </w:t>
      </w:r>
      <w:r w:rsidR="007D4E57">
        <w:t xml:space="preserve">Plutarch </w:t>
      </w:r>
      <w:r w:rsidR="00104391">
        <w:t>then mentions the contradictory claim held by some that Sciron was</w:t>
      </w:r>
      <w:r w:rsidR="00D60A22">
        <w:t xml:space="preserve"> not violent or a criminal, </w:t>
      </w:r>
      <w:r w:rsidR="00F27986">
        <w:t xml:space="preserve">and was in fact “a kinsman and </w:t>
      </w:r>
      <w:r w:rsidR="007029BC">
        <w:t>friend of good and just men</w:t>
      </w:r>
      <w:r w:rsidR="007029BC">
        <w:rPr>
          <w:rStyle w:val="FootnoteReference"/>
        </w:rPr>
        <w:footnoteReference w:id="8"/>
      </w:r>
      <w:r w:rsidR="007029BC">
        <w:t>.</w:t>
      </w:r>
      <w:r w:rsidR="00F91200">
        <w:t xml:space="preserve"> </w:t>
      </w:r>
      <w:r w:rsidR="006A1D67">
        <w:t xml:space="preserve">The kylix shown in figure 4 clearly and accurately depicts the labour described in the Life of Theseus and in the Epitome. </w:t>
      </w:r>
      <w:r w:rsidR="00D438DD">
        <w:t xml:space="preserve">The depiction is closer to that described by Pseudo-Apollodorus as it includes the turtle in its imagery, an aspect not included in Plutarch’s biographical work. </w:t>
      </w:r>
    </w:p>
    <w:p w14:paraId="0793B4E9" w14:textId="77777777" w:rsidR="0067198F" w:rsidRDefault="0067198F" w:rsidP="00BD0D3A"/>
    <w:p w14:paraId="649D04CC" w14:textId="539025BD" w:rsidR="002C7803" w:rsidRDefault="0058336E" w:rsidP="00BD0D3A">
      <w:r>
        <w:t xml:space="preserve">Theseus and Cercyon was the fifth of the </w:t>
      </w:r>
      <w:r w:rsidR="00701B1F">
        <w:t xml:space="preserve">labours </w:t>
      </w:r>
      <w:r>
        <w:t xml:space="preserve">endured by Theseus on his journey to Athens. The King of Eleusis, Cercyon, was known as an extremely strong man. It is said he challenged passersby to a wrestling on the roads </w:t>
      </w:r>
      <w:r w:rsidR="00804CA5">
        <w:t xml:space="preserve">around his kingdom. </w:t>
      </w:r>
      <w:r w:rsidR="00075793">
        <w:t>The match was to the death, with Cercyon prom</w:t>
      </w:r>
      <w:r w:rsidR="00FF3CF4">
        <w:t xml:space="preserve">ising his kingdom to whomever defeated him. </w:t>
      </w:r>
      <w:r w:rsidR="00C84FE1">
        <w:t>Cercyon was undefeated, killing countless people, until he was bested by Theseus, not by superior physical strength but by his skill. Theseus thus claimed the kingdom of Eleusis as his</w:t>
      </w:r>
      <w:r w:rsidR="008E5492">
        <w:rPr>
          <w:rStyle w:val="FootnoteReference"/>
        </w:rPr>
        <w:footnoteReference w:id="9"/>
      </w:r>
      <w:r w:rsidR="00C84FE1">
        <w:t>.</w:t>
      </w:r>
      <w:r w:rsidR="00D14E42">
        <w:t xml:space="preserve"> Figure 1 </w:t>
      </w:r>
      <w:r w:rsidR="00616126">
        <w:t xml:space="preserve">plainly shows Theseus wrestling Cercyon, King of Eleusis, directly above the centre depiction of Theseus slaying the Minotaur. Artistic representations of this trial are easily recognisable, especially when </w:t>
      </w:r>
      <w:r w:rsidR="002C7803">
        <w:t xml:space="preserve">shown </w:t>
      </w:r>
      <w:r w:rsidR="00616126">
        <w:t xml:space="preserve">among </w:t>
      </w:r>
      <w:r w:rsidR="002C7803">
        <w:t xml:space="preserve">various other trials of Theseus, as with the above figure 1. </w:t>
      </w:r>
    </w:p>
    <w:p w14:paraId="57F8ED92" w14:textId="5409A2C8" w:rsidR="00FF3CF4" w:rsidRDefault="00FF3CF4" w:rsidP="00BD0D3A"/>
    <w:p w14:paraId="10B6B1F8" w14:textId="4EC638EF" w:rsidR="001126F3" w:rsidRPr="000F5C36" w:rsidRDefault="001126F3" w:rsidP="00537D21">
      <w:pPr>
        <w:jc w:val="center"/>
        <w:rPr>
          <w:sz w:val="20"/>
          <w:szCs w:val="20"/>
        </w:rPr>
      </w:pPr>
      <w:r w:rsidRPr="000F5C36">
        <w:rPr>
          <w:sz w:val="20"/>
          <w:szCs w:val="20"/>
        </w:rPr>
        <w:t>Fig.</w:t>
      </w:r>
      <w:r w:rsidR="004F0DBA" w:rsidRPr="000F5C36">
        <w:rPr>
          <w:sz w:val="20"/>
          <w:szCs w:val="20"/>
        </w:rPr>
        <w:t>5</w:t>
      </w:r>
      <w:r w:rsidRPr="000F5C36">
        <w:rPr>
          <w:sz w:val="20"/>
          <w:szCs w:val="20"/>
        </w:rPr>
        <w:t xml:space="preserve">. </w:t>
      </w:r>
      <w:r w:rsidR="00BF4669" w:rsidRPr="000F5C36">
        <w:rPr>
          <w:sz w:val="20"/>
          <w:szCs w:val="20"/>
        </w:rPr>
        <w:t xml:space="preserve">Attic red figure vase depicting Theseus slaying </w:t>
      </w:r>
      <w:r w:rsidR="00AC542D" w:rsidRPr="000F5C36">
        <w:rPr>
          <w:sz w:val="20"/>
          <w:szCs w:val="20"/>
        </w:rPr>
        <w:t>P</w:t>
      </w:r>
      <w:r w:rsidR="00845390" w:rsidRPr="000F5C36">
        <w:rPr>
          <w:noProof/>
          <w:sz w:val="20"/>
          <w:szCs w:val="20"/>
        </w:rPr>
        <w:drawing>
          <wp:anchor distT="0" distB="0" distL="114300" distR="114300" simplePos="0" relativeHeight="251667456" behindDoc="0" locked="0" layoutInCell="1" allowOverlap="1" wp14:anchorId="25830B5B" wp14:editId="2F57766E">
            <wp:simplePos x="0" y="0"/>
            <wp:positionH relativeFrom="column">
              <wp:posOffset>0</wp:posOffset>
            </wp:positionH>
            <wp:positionV relativeFrom="paragraph">
              <wp:posOffset>153035</wp:posOffset>
            </wp:positionV>
            <wp:extent cx="5731510" cy="448691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486910"/>
                    </a:xfrm>
                    <a:prstGeom prst="rect">
                      <a:avLst/>
                    </a:prstGeom>
                  </pic:spPr>
                </pic:pic>
              </a:graphicData>
            </a:graphic>
          </wp:anchor>
        </w:drawing>
      </w:r>
      <w:r w:rsidR="00AC542D" w:rsidRPr="000F5C36">
        <w:rPr>
          <w:sz w:val="20"/>
          <w:szCs w:val="20"/>
        </w:rPr>
        <w:t>rocrustes</w:t>
      </w:r>
      <w:r w:rsidR="0017333B" w:rsidRPr="000F5C36">
        <w:rPr>
          <w:sz w:val="20"/>
          <w:szCs w:val="20"/>
        </w:rPr>
        <w:t xml:space="preserve"> c. 470 BC. </w:t>
      </w:r>
      <w:r w:rsidR="00DC6290" w:rsidRPr="000F5C36">
        <w:rPr>
          <w:sz w:val="20"/>
          <w:szCs w:val="20"/>
        </w:rPr>
        <w:t xml:space="preserve">Vienna, </w:t>
      </w:r>
      <w:proofErr w:type="spellStart"/>
      <w:r w:rsidR="00A366A4" w:rsidRPr="000F5C36">
        <w:rPr>
          <w:sz w:val="20"/>
          <w:szCs w:val="20"/>
        </w:rPr>
        <w:t>Kunstnis</w:t>
      </w:r>
      <w:r w:rsidR="002E27F3" w:rsidRPr="000F5C36">
        <w:rPr>
          <w:sz w:val="20"/>
          <w:szCs w:val="20"/>
        </w:rPr>
        <w:t>tor</w:t>
      </w:r>
      <w:r w:rsidR="00537D21" w:rsidRPr="000F5C36">
        <w:rPr>
          <w:sz w:val="20"/>
          <w:szCs w:val="20"/>
        </w:rPr>
        <w:t>ches</w:t>
      </w:r>
      <w:proofErr w:type="spellEnd"/>
      <w:r w:rsidR="00537D21" w:rsidRPr="000F5C36">
        <w:rPr>
          <w:sz w:val="20"/>
          <w:szCs w:val="20"/>
        </w:rPr>
        <w:t xml:space="preserve"> Museum.</w:t>
      </w:r>
    </w:p>
    <w:p w14:paraId="0206A58C" w14:textId="77777777" w:rsidR="001126F3" w:rsidRDefault="001126F3" w:rsidP="00BD0D3A"/>
    <w:p w14:paraId="03BEDB60" w14:textId="3242B555" w:rsidR="003A5FBE" w:rsidRDefault="00C83514" w:rsidP="00BD0D3A">
      <w:r>
        <w:t xml:space="preserve">The final trial of Theseus on his journey from Crete to Athens was that Theseus and Procrustes. The son of Poseidon, Procrustes has a stronghold on Mount </w:t>
      </w:r>
      <w:proofErr w:type="spellStart"/>
      <w:r>
        <w:t>Korydallos</w:t>
      </w:r>
      <w:proofErr w:type="spellEnd"/>
      <w:r>
        <w:t xml:space="preserve"> at Erineus. He invited passersby to spend the night at his stronghold on his iron bed. Procrustes proceeded to stretch his guests to make them fit the bed using his smith’s hammer. In certain versions Procrustes would amputate </w:t>
      </w:r>
      <w:r>
        <w:lastRenderedPageBreak/>
        <w:t>parts of his victims if they proved too tall</w:t>
      </w:r>
      <w:r w:rsidR="0056063B">
        <w:t>, though nobody ever fit  the bed exactly because Procrustes secretly had two beds. Theseus therefore, following the common theme of his trials, used Procrustes’ own axe to cut off his legs and decapitate him</w:t>
      </w:r>
      <w:r w:rsidR="000E13C2">
        <w:rPr>
          <w:rStyle w:val="FootnoteReference"/>
        </w:rPr>
        <w:footnoteReference w:id="10"/>
      </w:r>
      <w:r w:rsidR="0056063B">
        <w:t xml:space="preserve">. </w:t>
      </w:r>
      <w:r w:rsidR="00E92E90">
        <w:t xml:space="preserve">Figure 5, above, clearly shows </w:t>
      </w:r>
      <w:r w:rsidR="00F91200">
        <w:t xml:space="preserve">Theseus taking Procrustes own axe in hand and seems as though he is about to use it on him. This depiction is accurate to the descriptions of labour given by both Pseudo-Apollodorus and by Plutarch. </w:t>
      </w:r>
    </w:p>
    <w:p w14:paraId="4BF2A37A" w14:textId="77777777" w:rsidR="003A5FBE" w:rsidRDefault="003A5FBE" w:rsidP="00BD0D3A"/>
    <w:p w14:paraId="136435FD" w14:textId="26FAD621" w:rsidR="001269D1" w:rsidRDefault="00F136B2">
      <w:r>
        <w:t xml:space="preserve">The </w:t>
      </w:r>
      <w:r w:rsidR="00E22194">
        <w:t>labours performed by</w:t>
      </w:r>
      <w:r>
        <w:t xml:space="preserve"> Theseus are represented in art</w:t>
      </w:r>
      <w:r w:rsidR="004D30E4">
        <w:t xml:space="preserve">work </w:t>
      </w:r>
      <w:r>
        <w:t xml:space="preserve">much less </w:t>
      </w:r>
      <w:r w:rsidR="004D30E4">
        <w:t xml:space="preserve">than his later adventures, most notably the Minotaur. </w:t>
      </w:r>
      <w:r w:rsidR="005E03D2">
        <w:t>The six labours of Theseus</w:t>
      </w:r>
      <w:r w:rsidR="00490BB6">
        <w:t>, performed on his way to Athens, are predominantly found as Attic red figure vases or kylix, unlike his labours of the Minotaur and the Centaur which have also been repre</w:t>
      </w:r>
      <w:r w:rsidR="009C6505">
        <w:t>sented</w:t>
      </w:r>
      <w:r w:rsidR="00490BB6">
        <w:t xml:space="preserve"> in statue form</w:t>
      </w:r>
      <w:r w:rsidR="009C6505">
        <w:t xml:space="preserve">. </w:t>
      </w:r>
      <w:r w:rsidR="00460C36">
        <w:t xml:space="preserve">One reason for this could be that they are much more easily recognisable as Theseus with these creatures that are hybrids, unlike those of his previous trials with foes appearing human in form. </w:t>
      </w:r>
      <w:r w:rsidR="00252837">
        <w:t xml:space="preserve">Unlike with Hercules, who is often depicted with </w:t>
      </w:r>
      <w:r w:rsidR="00961A94">
        <w:t xml:space="preserve">the </w:t>
      </w:r>
      <w:r w:rsidR="00AA5BA6">
        <w:t>peloton the Nemean lion</w:t>
      </w:r>
      <w:r w:rsidR="00A33CA5">
        <w:t xml:space="preserve">, distinguishing him from other Male figures, Theseus is markedly generic in his physical artistic portrayal. </w:t>
      </w:r>
    </w:p>
    <w:p w14:paraId="30F7BEDF" w14:textId="77777777" w:rsidR="00893303" w:rsidRDefault="00893303"/>
    <w:p w14:paraId="32810ACE" w14:textId="77777777" w:rsidR="00DB7705" w:rsidRDefault="00027D5C">
      <w:r>
        <w:t>Plutarch states in Life of Theseus that the hero slew his victims and would be attackers or killers in the same manner they would have done him in an imitation of role model and cousin</w:t>
      </w:r>
      <w:r>
        <w:rPr>
          <w:rStyle w:val="FootnoteReference"/>
        </w:rPr>
        <w:footnoteReference w:id="11"/>
      </w:r>
      <w:r>
        <w:t xml:space="preserve"> Hercules</w:t>
      </w:r>
      <w:r>
        <w:rPr>
          <w:rStyle w:val="FootnoteReference"/>
        </w:rPr>
        <w:footnoteReference w:id="12"/>
      </w:r>
      <w:r>
        <w:t xml:space="preserve">. </w:t>
      </w:r>
      <w:r w:rsidR="00894465">
        <w:t xml:space="preserve">Plutarch </w:t>
      </w:r>
      <w:r w:rsidR="00BD7A67">
        <w:t>says, “And he did this in</w:t>
      </w:r>
      <w:r w:rsidR="00134244">
        <w:t xml:space="preserve"> </w:t>
      </w:r>
      <w:r w:rsidR="00BD7A67">
        <w:t xml:space="preserve">imitation of </w:t>
      </w:r>
      <w:r w:rsidR="00C8757A">
        <w:t>Hercules.</w:t>
      </w:r>
      <w:r w:rsidR="008D2231">
        <w:t xml:space="preserve"> For that hero punished those who </w:t>
      </w:r>
      <w:r w:rsidR="00D22DB9">
        <w:t xml:space="preserve">offered him violence </w:t>
      </w:r>
      <w:r w:rsidR="00133360">
        <w:t xml:space="preserve">in the manner in which they </w:t>
      </w:r>
      <w:r w:rsidR="00957FC5">
        <w:t>had plotted to serve him,”</w:t>
      </w:r>
      <w:r w:rsidR="00E212AA">
        <w:t xml:space="preserve">. The references between Theseus and Hercules throughout Plutarch’s Life of Theseus </w:t>
      </w:r>
      <w:r w:rsidR="00C32A57">
        <w:t>show the great emphasis, not only by him but by many others in the period (shown in Fig.2 with the labours of Theseus and Hercules are depicted on Athenian Treasury at Delphi)</w:t>
      </w:r>
      <w:r w:rsidR="00CE4061">
        <w:t xml:space="preserve">, </w:t>
      </w:r>
      <w:r w:rsidR="00371CEE">
        <w:t xml:space="preserve">of the similarities of the two heroes. </w:t>
      </w:r>
    </w:p>
    <w:p w14:paraId="55065ED1" w14:textId="77777777" w:rsidR="00DB7705" w:rsidRDefault="00DB7705"/>
    <w:p w14:paraId="2D6E475C" w14:textId="13B66B60" w:rsidR="000A5B71" w:rsidRDefault="004D787B">
      <w:r>
        <w:t xml:space="preserve">Literary </w:t>
      </w:r>
      <w:r w:rsidR="006551AF">
        <w:t>representations of the trials of Theseus on his journey to Athens are predominantly consistent, with only minor differences such as the presence of the turtle in fourth trial with Sciron. However, in Plutarch’s Life of Theseus he at times writes contradictory reports in his attempt to tell the tale of Theseus while editing the mythological aspects to make it more historical. This leads to problems in certain cases, especially when he writes that some view not as a murderous villain Sciron</w:t>
      </w:r>
      <w:r w:rsidR="00ED6F81">
        <w:t xml:space="preserve">, therefore </w:t>
      </w:r>
      <w:r w:rsidR="001F377D">
        <w:t>refuting what others and he himself had previously stated. A further problem found with literary sources of Theseus labours while he journeyed to Athens when compared to artistic representations are that the pottery predates the literature by around a thousand years. This problem is especially evident when looking for artistic representations of the first labour mentioned in the Epitome and Life of Theseus, that of Periphetes. The tale of Theseus and the Club Bearer does not seem to appear on Attic pottery dating from circa 450 BC on representations of all of Theseus’ early trials, suggesting that it was not included as a labour of Theseus until after the majority of pottery that depict Theseus was produced (c. mid 5</w:t>
      </w:r>
      <w:r w:rsidR="001F377D" w:rsidRPr="001F377D">
        <w:rPr>
          <w:vertAlign w:val="superscript"/>
        </w:rPr>
        <w:t>th</w:t>
      </w:r>
      <w:r w:rsidR="001F377D">
        <w:t xml:space="preserve"> century BC) and before it was written by Pseudo-Apollodorus and Plutarch between the late 1</w:t>
      </w:r>
      <w:r w:rsidR="001F377D" w:rsidRPr="001F377D">
        <w:rPr>
          <w:vertAlign w:val="superscript"/>
        </w:rPr>
        <w:t>st</w:t>
      </w:r>
      <w:r w:rsidR="001F377D">
        <w:t xml:space="preserve"> century AD and the second century AD. </w:t>
      </w:r>
      <w:r w:rsidR="0080279A">
        <w:t>The reason and purpose of this additional labour unknown.</w:t>
      </w:r>
    </w:p>
    <w:p w14:paraId="4DBC2DE8" w14:textId="4739F3AC" w:rsidR="0080279A" w:rsidRDefault="0080279A"/>
    <w:p w14:paraId="11D2F14B" w14:textId="0D36E044" w:rsidR="00AB0ABB" w:rsidRDefault="0080279A">
      <w:r>
        <w:t xml:space="preserve">To conclude, the labours of Theseus undertaken on his journey from Crete to Athens are primarily consistent with only minor differences between </w:t>
      </w:r>
      <w:r w:rsidR="004620B5">
        <w:t>most of the literary sources. The artistic representations of Theseus are also consistent with those described in the literary sources, excepting that of the first trial which appears to be a later addition to Theseus’ list of labours</w:t>
      </w:r>
      <w:r w:rsidR="00EE39EB">
        <w:rPr>
          <w:rStyle w:val="FootnoteReference"/>
        </w:rPr>
        <w:footnoteReference w:id="13"/>
      </w:r>
      <w:r w:rsidR="004620B5">
        <w:t>, seemingly appearing on no 5</w:t>
      </w:r>
      <w:r w:rsidR="004620B5" w:rsidRPr="004620B5">
        <w:rPr>
          <w:vertAlign w:val="superscript"/>
        </w:rPr>
        <w:t>th</w:t>
      </w:r>
      <w:r w:rsidR="004620B5">
        <w:t xml:space="preserve"> century BC wares. </w:t>
      </w:r>
      <w:r w:rsidR="00261336">
        <w:t>T</w:t>
      </w:r>
      <w:r w:rsidR="0001216C">
        <w:t xml:space="preserve">his first trial </w:t>
      </w:r>
      <w:r w:rsidR="00261336">
        <w:t xml:space="preserve">does not seem to </w:t>
      </w:r>
      <w:r w:rsidR="0001216C">
        <w:t>appeared in the Athenian Treasury at Delphi (c. 470 BC)</w:t>
      </w:r>
      <w:r w:rsidR="00DF63C0">
        <w:t xml:space="preserve"> where the first eight squares are said to be Theseus’ labours, </w:t>
      </w:r>
      <w:r w:rsidR="00DF63C0">
        <w:lastRenderedPageBreak/>
        <w:t>The Centaur as the 8</w:t>
      </w:r>
      <w:r w:rsidR="00DF63C0" w:rsidRPr="00DF63C0">
        <w:rPr>
          <w:vertAlign w:val="superscript"/>
        </w:rPr>
        <w:t>th</w:t>
      </w:r>
      <w:r w:rsidR="00DF63C0">
        <w:t>, The Minotaur as 7</w:t>
      </w:r>
      <w:r w:rsidR="00DF63C0" w:rsidRPr="00DF63C0">
        <w:rPr>
          <w:vertAlign w:val="superscript"/>
        </w:rPr>
        <w:t>th</w:t>
      </w:r>
      <w:r w:rsidR="00DF63C0">
        <w:t xml:space="preserve">, the </w:t>
      </w:r>
      <w:proofErr w:type="spellStart"/>
      <w:r w:rsidR="00644066">
        <w:t>Marathonian</w:t>
      </w:r>
      <w:proofErr w:type="spellEnd"/>
      <w:r w:rsidR="00644066">
        <w:t xml:space="preserve"> Bull as the 6</w:t>
      </w:r>
      <w:r w:rsidR="00644066" w:rsidRPr="00644066">
        <w:rPr>
          <w:vertAlign w:val="superscript"/>
        </w:rPr>
        <w:t>th</w:t>
      </w:r>
      <w:r w:rsidR="00F151AD">
        <w:t xml:space="preserve">, with the first five seeming to depict labours two through six but without the labour against Periphetes. </w:t>
      </w:r>
      <w:r w:rsidR="00AB0ABB">
        <w:br w:type="page"/>
      </w:r>
    </w:p>
    <w:p w14:paraId="647F7B06" w14:textId="77777777" w:rsidR="00AB0ABB" w:rsidRDefault="00AB0ABB">
      <w:r>
        <w:lastRenderedPageBreak/>
        <w:t>Bibliography:</w:t>
      </w:r>
    </w:p>
    <w:p w14:paraId="099F788A" w14:textId="77777777" w:rsidR="00AB0ABB" w:rsidRDefault="00AB0ABB"/>
    <w:p w14:paraId="45DFF410" w14:textId="77777777" w:rsidR="00AB0ABB" w:rsidRPr="00741D88" w:rsidRDefault="008566B4">
      <w:pPr>
        <w:rPr>
          <w:sz w:val="20"/>
          <w:szCs w:val="20"/>
        </w:rPr>
      </w:pPr>
      <w:proofErr w:type="spellStart"/>
      <w:r w:rsidRPr="00741D88">
        <w:rPr>
          <w:sz w:val="20"/>
          <w:szCs w:val="20"/>
        </w:rPr>
        <w:t>Apollodorus</w:t>
      </w:r>
      <w:proofErr w:type="spellEnd"/>
      <w:r w:rsidRPr="00741D88">
        <w:rPr>
          <w:sz w:val="20"/>
          <w:szCs w:val="20"/>
        </w:rPr>
        <w:t xml:space="preserve">. </w:t>
      </w:r>
      <w:proofErr w:type="spellStart"/>
      <w:r w:rsidRPr="00741D88">
        <w:rPr>
          <w:sz w:val="20"/>
          <w:szCs w:val="20"/>
        </w:rPr>
        <w:t>Apollodorus</w:t>
      </w:r>
      <w:proofErr w:type="spellEnd"/>
      <w:r w:rsidRPr="00741D88">
        <w:rPr>
          <w:sz w:val="20"/>
          <w:szCs w:val="20"/>
        </w:rPr>
        <w:t>, The Library, with an English Translation by Sir James George Frazer, F.B.A., F.R.S. in 2 Volumes. Cambridge, MA, Harvard University Press; London, William Heinemann Ltd. 1921. Includes Frazer's notes.</w:t>
      </w:r>
    </w:p>
    <w:p w14:paraId="3BA2F0EA" w14:textId="77777777" w:rsidR="00BC38A9" w:rsidRDefault="00BC38A9"/>
    <w:p w14:paraId="75011872" w14:textId="7B20C07D" w:rsidR="00BC38A9" w:rsidRPr="00741D88" w:rsidRDefault="008C33E0">
      <w:pPr>
        <w:rPr>
          <w:sz w:val="20"/>
          <w:szCs w:val="20"/>
        </w:rPr>
      </w:pPr>
      <w:r w:rsidRPr="00741D88">
        <w:rPr>
          <w:sz w:val="20"/>
          <w:szCs w:val="20"/>
        </w:rPr>
        <w:t>Plutarch. Plutarch's Lives. with an English Translation by. Bernadotte Perrin. Cambridge, MA. Harvard University Press. London. William Heinemann Ltd. 1914. 1.</w:t>
      </w:r>
    </w:p>
    <w:p w14:paraId="32856343" w14:textId="423DD1E3" w:rsidR="0089538C" w:rsidRPr="00741D88" w:rsidRDefault="0089538C">
      <w:pPr>
        <w:rPr>
          <w:sz w:val="20"/>
          <w:szCs w:val="20"/>
        </w:rPr>
      </w:pPr>
    </w:p>
    <w:p w14:paraId="58A9D56B" w14:textId="066D4F8D" w:rsidR="0089538C" w:rsidRDefault="0089538C"/>
    <w:p w14:paraId="790E97B6" w14:textId="003392AD" w:rsidR="0089538C" w:rsidRDefault="0089538C" w:rsidP="0089538C">
      <w:pPr>
        <w:jc w:val="both"/>
        <w:rPr>
          <w:sz w:val="20"/>
          <w:szCs w:val="20"/>
        </w:rPr>
      </w:pPr>
      <w:r w:rsidRPr="00741D88">
        <w:rPr>
          <w:sz w:val="20"/>
          <w:szCs w:val="20"/>
        </w:rPr>
        <w:t>Fig.1. Attic red-figured kylix depicting the deeds of Theseus. The British Museum.</w:t>
      </w:r>
    </w:p>
    <w:p w14:paraId="558EB69C" w14:textId="1C4029E1" w:rsidR="004F0DBA" w:rsidRPr="00741D88" w:rsidRDefault="00E5364E" w:rsidP="0089538C">
      <w:pPr>
        <w:jc w:val="both"/>
        <w:rPr>
          <w:sz w:val="20"/>
          <w:szCs w:val="20"/>
        </w:rPr>
      </w:pPr>
      <w:r>
        <w:rPr>
          <w:sz w:val="20"/>
          <w:szCs w:val="20"/>
        </w:rPr>
        <w:t xml:space="preserve">Fig.2. Metopes from the Athenian Treasury at Delphi. The Classical Art Research Centre and the </w:t>
      </w:r>
      <w:proofErr w:type="spellStart"/>
      <w:r>
        <w:rPr>
          <w:sz w:val="20"/>
          <w:szCs w:val="20"/>
        </w:rPr>
        <w:t>Beazley</w:t>
      </w:r>
      <w:proofErr w:type="spellEnd"/>
      <w:r>
        <w:rPr>
          <w:sz w:val="20"/>
          <w:szCs w:val="20"/>
        </w:rPr>
        <w:t xml:space="preserve"> </w:t>
      </w:r>
      <w:r w:rsidR="00FE43F5">
        <w:rPr>
          <w:sz w:val="20"/>
          <w:szCs w:val="20"/>
        </w:rPr>
        <w:t>Archive, University of Oxford.</w:t>
      </w:r>
    </w:p>
    <w:p w14:paraId="247F64ED" w14:textId="7344B826" w:rsidR="00B0485A" w:rsidRPr="00741D88" w:rsidRDefault="00B0485A" w:rsidP="0089538C">
      <w:pPr>
        <w:jc w:val="both"/>
        <w:rPr>
          <w:sz w:val="20"/>
          <w:szCs w:val="20"/>
        </w:rPr>
      </w:pPr>
      <w:r w:rsidRPr="00741D88">
        <w:rPr>
          <w:sz w:val="20"/>
          <w:szCs w:val="20"/>
        </w:rPr>
        <w:t>Fig.</w:t>
      </w:r>
      <w:r w:rsidR="004F0DBA">
        <w:rPr>
          <w:sz w:val="20"/>
          <w:szCs w:val="20"/>
        </w:rPr>
        <w:t>3</w:t>
      </w:r>
      <w:r w:rsidRPr="00741D88">
        <w:rPr>
          <w:sz w:val="20"/>
          <w:szCs w:val="20"/>
        </w:rPr>
        <w:t>.</w:t>
      </w:r>
      <w:r w:rsidR="00CA287F" w:rsidRPr="00741D88">
        <w:rPr>
          <w:sz w:val="20"/>
          <w:szCs w:val="20"/>
        </w:rPr>
        <w:t xml:space="preserve"> Depiction of the second deed of Theseus</w:t>
      </w:r>
      <w:r w:rsidR="00F76C7C">
        <w:rPr>
          <w:sz w:val="20"/>
          <w:szCs w:val="20"/>
        </w:rPr>
        <w:t xml:space="preserve"> on a </w:t>
      </w:r>
      <w:r w:rsidR="00F76C7C" w:rsidRPr="00F76C7C">
        <w:rPr>
          <w:sz w:val="20"/>
          <w:szCs w:val="20"/>
        </w:rPr>
        <w:t>Nolan amphora with triple handles</w:t>
      </w:r>
      <w:r w:rsidR="00CA287F" w:rsidRPr="00741D88">
        <w:rPr>
          <w:sz w:val="20"/>
          <w:szCs w:val="20"/>
        </w:rPr>
        <w:t>. Photograph by Maria Daniels, courtesy of Harvard University Art Museums, 1990.</w:t>
      </w:r>
    </w:p>
    <w:p w14:paraId="38901D4C" w14:textId="3CBCB8B7" w:rsidR="00537D21" w:rsidRDefault="00671ECA" w:rsidP="0089538C">
      <w:pPr>
        <w:jc w:val="both"/>
        <w:rPr>
          <w:sz w:val="20"/>
          <w:szCs w:val="20"/>
        </w:rPr>
      </w:pPr>
      <w:r w:rsidRPr="00741D88">
        <w:rPr>
          <w:sz w:val="20"/>
          <w:szCs w:val="20"/>
        </w:rPr>
        <w:t>Fig.</w:t>
      </w:r>
      <w:r w:rsidR="004F0DBA">
        <w:rPr>
          <w:sz w:val="20"/>
          <w:szCs w:val="20"/>
        </w:rPr>
        <w:t>4</w:t>
      </w:r>
      <w:r w:rsidR="003654FB">
        <w:rPr>
          <w:sz w:val="20"/>
          <w:szCs w:val="20"/>
        </w:rPr>
        <w:t>.</w:t>
      </w:r>
      <w:r w:rsidRPr="00741D88">
        <w:rPr>
          <w:sz w:val="20"/>
          <w:szCs w:val="20"/>
        </w:rPr>
        <w:t xml:space="preserve"> Photographer: </w:t>
      </w:r>
      <w:proofErr w:type="spellStart"/>
      <w:r w:rsidRPr="00741D88">
        <w:rPr>
          <w:sz w:val="20"/>
          <w:szCs w:val="20"/>
        </w:rPr>
        <w:t>Sailko</w:t>
      </w:r>
      <w:proofErr w:type="spellEnd"/>
      <w:r w:rsidRPr="00741D88">
        <w:rPr>
          <w:sz w:val="20"/>
          <w:szCs w:val="20"/>
        </w:rPr>
        <w:t>. Ancient Greek pottery.</w:t>
      </w:r>
      <w:r w:rsidR="00480DC5" w:rsidRPr="00741D88">
        <w:rPr>
          <w:sz w:val="20"/>
          <w:szCs w:val="20"/>
        </w:rPr>
        <w:t xml:space="preserve"> The</w:t>
      </w:r>
      <w:r w:rsidRPr="00741D88">
        <w:rPr>
          <w:sz w:val="20"/>
          <w:szCs w:val="20"/>
        </w:rPr>
        <w:t xml:space="preserve"> </w:t>
      </w:r>
      <w:proofErr w:type="spellStart"/>
      <w:r w:rsidRPr="00741D88">
        <w:rPr>
          <w:sz w:val="20"/>
          <w:szCs w:val="20"/>
        </w:rPr>
        <w:t>Antikensammlung</w:t>
      </w:r>
      <w:proofErr w:type="spellEnd"/>
      <w:r w:rsidRPr="00741D88">
        <w:rPr>
          <w:sz w:val="20"/>
          <w:szCs w:val="20"/>
        </w:rPr>
        <w:t xml:space="preserve"> Berlin</w:t>
      </w:r>
      <w:r w:rsidR="00C66C40" w:rsidRPr="00741D88">
        <w:rPr>
          <w:sz w:val="20"/>
          <w:szCs w:val="20"/>
        </w:rPr>
        <w:t xml:space="preserve"> Museum</w:t>
      </w:r>
      <w:r w:rsidR="00E46529" w:rsidRPr="00741D88">
        <w:rPr>
          <w:sz w:val="20"/>
          <w:szCs w:val="20"/>
        </w:rPr>
        <w:t xml:space="preserve">. </w:t>
      </w:r>
      <w:r w:rsidRPr="00741D88">
        <w:rPr>
          <w:sz w:val="20"/>
          <w:szCs w:val="20"/>
        </w:rPr>
        <w:t>7 March 2014, 12:08:09</w:t>
      </w:r>
      <w:r w:rsidR="00E46529" w:rsidRPr="00741D88">
        <w:rPr>
          <w:sz w:val="20"/>
          <w:szCs w:val="20"/>
        </w:rPr>
        <w:t xml:space="preserve">. </w:t>
      </w:r>
    </w:p>
    <w:p w14:paraId="0EB043FF" w14:textId="3D8DB3B2" w:rsidR="003654FB" w:rsidRPr="003654FB" w:rsidRDefault="003654FB" w:rsidP="003654FB">
      <w:pPr>
        <w:rPr>
          <w:sz w:val="20"/>
          <w:szCs w:val="20"/>
        </w:rPr>
      </w:pPr>
      <w:r w:rsidRPr="003654FB">
        <w:rPr>
          <w:sz w:val="20"/>
          <w:szCs w:val="20"/>
        </w:rPr>
        <w:t>Fig.</w:t>
      </w:r>
      <w:r w:rsidR="004F0DBA">
        <w:rPr>
          <w:sz w:val="20"/>
          <w:szCs w:val="20"/>
        </w:rPr>
        <w:t>5</w:t>
      </w:r>
      <w:r w:rsidRPr="003654FB">
        <w:rPr>
          <w:sz w:val="20"/>
          <w:szCs w:val="20"/>
        </w:rPr>
        <w:t xml:space="preserve">. Attic red figure vase depicting Theseus slaying Procrustes c. 470 BC. Vienna, </w:t>
      </w:r>
      <w:proofErr w:type="spellStart"/>
      <w:r w:rsidRPr="003654FB">
        <w:rPr>
          <w:sz w:val="20"/>
          <w:szCs w:val="20"/>
        </w:rPr>
        <w:t>Kunstnistorches</w:t>
      </w:r>
      <w:proofErr w:type="spellEnd"/>
      <w:r w:rsidRPr="003654FB">
        <w:rPr>
          <w:sz w:val="20"/>
          <w:szCs w:val="20"/>
        </w:rPr>
        <w:t xml:space="preserve"> Museum.</w:t>
      </w:r>
    </w:p>
    <w:p w14:paraId="2A919A5B" w14:textId="50EC8F26" w:rsidR="0089538C" w:rsidRPr="00741D88" w:rsidRDefault="0089538C">
      <w:pPr>
        <w:rPr>
          <w:sz w:val="20"/>
          <w:szCs w:val="20"/>
        </w:rPr>
      </w:pPr>
    </w:p>
    <w:p w14:paraId="1E3C750E" w14:textId="1063622C" w:rsidR="007E4A8B" w:rsidRPr="00741D88" w:rsidRDefault="007E4A8B">
      <w:pPr>
        <w:rPr>
          <w:sz w:val="20"/>
          <w:szCs w:val="20"/>
        </w:rPr>
      </w:pPr>
    </w:p>
    <w:p w14:paraId="4FB9DB6B" w14:textId="07677D28" w:rsidR="007E4A8B" w:rsidRDefault="007E4A8B" w:rsidP="007E4A8B">
      <w:pPr>
        <w:pStyle w:val="FootnoteText"/>
      </w:pPr>
      <w:proofErr w:type="spellStart"/>
      <w:r>
        <w:t>Broadman</w:t>
      </w:r>
      <w:proofErr w:type="spellEnd"/>
      <w:r>
        <w:t>, J. (2016) ‘</w:t>
      </w:r>
      <w:r>
        <w:rPr>
          <w:i/>
          <w:iCs/>
        </w:rPr>
        <w:t xml:space="preserve">Greek Art’ </w:t>
      </w:r>
      <w:r>
        <w:t>5</w:t>
      </w:r>
      <w:r w:rsidRPr="00633B1B">
        <w:rPr>
          <w:vertAlign w:val="superscript"/>
        </w:rPr>
        <w:t>th</w:t>
      </w:r>
      <w:r>
        <w:t xml:space="preserve"> ed. London: Thames &amp; Hudson Ltd. </w:t>
      </w:r>
    </w:p>
    <w:p w14:paraId="28391337" w14:textId="30A2FAD9" w:rsidR="009C77B1" w:rsidRDefault="009C77B1" w:rsidP="007E4A8B">
      <w:pPr>
        <w:pStyle w:val="FootnoteText"/>
      </w:pPr>
    </w:p>
    <w:p w14:paraId="777E36D0" w14:textId="28FEBE7E" w:rsidR="009C77B1" w:rsidRDefault="009C77B1" w:rsidP="007E4A8B">
      <w:pPr>
        <w:pStyle w:val="FootnoteText"/>
      </w:pPr>
      <w:r w:rsidRPr="009C77B1">
        <w:t>Spivey, Nigel</w:t>
      </w:r>
      <w:r w:rsidR="009547A3">
        <w:t xml:space="preserve"> Jonathan.</w:t>
      </w:r>
      <w:r w:rsidRPr="009C77B1">
        <w:t xml:space="preserve"> (1996). Understanding Greek sculpture : ancient meanings, modern readings. New York: Thames and Hudson.</w:t>
      </w:r>
    </w:p>
    <w:p w14:paraId="2AEDCED3" w14:textId="00244DAC" w:rsidR="000A5169" w:rsidRDefault="000A5169" w:rsidP="007E4A8B">
      <w:pPr>
        <w:pStyle w:val="FootnoteText"/>
      </w:pPr>
    </w:p>
    <w:p w14:paraId="0BC46ADF" w14:textId="6A328826" w:rsidR="000A5169" w:rsidRDefault="00971728" w:rsidP="007E4A8B">
      <w:pPr>
        <w:pStyle w:val="FootnoteText"/>
      </w:pPr>
      <w:r>
        <w:t xml:space="preserve">Walker, H. (1995a) ‘The Early Development of the Theseus Myth’, </w:t>
      </w:r>
      <w:proofErr w:type="spellStart"/>
      <w:r>
        <w:t>Rheinisches</w:t>
      </w:r>
      <w:proofErr w:type="spellEnd"/>
      <w:r>
        <w:t xml:space="preserve"> Museum </w:t>
      </w:r>
      <w:proofErr w:type="spellStart"/>
      <w:r>
        <w:t>Für</w:t>
      </w:r>
      <w:proofErr w:type="spellEnd"/>
      <w:r>
        <w:t xml:space="preserve"> </w:t>
      </w:r>
      <w:proofErr w:type="spellStart"/>
      <w:r>
        <w:t>Philogie</w:t>
      </w:r>
      <w:proofErr w:type="spellEnd"/>
      <w:r>
        <w:t xml:space="preserve"> 138 (1): 1-33. </w:t>
      </w:r>
    </w:p>
    <w:p w14:paraId="2F9DFE0F" w14:textId="5B2860A3" w:rsidR="0080279A" w:rsidRDefault="0080279A" w:rsidP="007E4A8B">
      <w:pPr>
        <w:pStyle w:val="FootnoteText"/>
      </w:pPr>
    </w:p>
    <w:p w14:paraId="3710293A" w14:textId="3F117002" w:rsidR="0080279A" w:rsidRDefault="0080279A" w:rsidP="007E4A8B">
      <w:pPr>
        <w:pStyle w:val="FootnoteText"/>
      </w:pPr>
      <w:r>
        <w:t>Walker, H. (1995b) Theseus and Athens.</w:t>
      </w:r>
    </w:p>
    <w:sectPr w:rsidR="008027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A1802C" w14:textId="77777777" w:rsidR="00AC4732" w:rsidRDefault="00AC4732" w:rsidP="000E3BD4">
      <w:r>
        <w:separator/>
      </w:r>
    </w:p>
  </w:endnote>
  <w:endnote w:type="continuationSeparator" w:id="0">
    <w:p w14:paraId="2975B2AA" w14:textId="77777777" w:rsidR="00AC4732" w:rsidRDefault="00AC4732" w:rsidP="000E3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F4C173" w14:textId="77777777" w:rsidR="00AC4732" w:rsidRDefault="00AC4732" w:rsidP="000E3BD4">
      <w:r>
        <w:separator/>
      </w:r>
    </w:p>
  </w:footnote>
  <w:footnote w:type="continuationSeparator" w:id="0">
    <w:p w14:paraId="6AD3975E" w14:textId="77777777" w:rsidR="00AC4732" w:rsidRDefault="00AC4732" w:rsidP="000E3BD4">
      <w:r>
        <w:continuationSeparator/>
      </w:r>
    </w:p>
  </w:footnote>
  <w:footnote w:id="1">
    <w:p w14:paraId="557A7F97" w14:textId="7E81BBE8" w:rsidR="00BF3022" w:rsidRPr="00633B1B" w:rsidRDefault="00BF3022">
      <w:pPr>
        <w:pStyle w:val="FootnoteText"/>
      </w:pPr>
      <w:r>
        <w:rPr>
          <w:rStyle w:val="FootnoteReference"/>
        </w:rPr>
        <w:footnoteRef/>
      </w:r>
      <w:r>
        <w:t xml:space="preserve"> </w:t>
      </w:r>
      <w:proofErr w:type="spellStart"/>
      <w:r w:rsidR="00342C2A">
        <w:t>Broadman</w:t>
      </w:r>
      <w:proofErr w:type="spellEnd"/>
      <w:r w:rsidR="00342C2A">
        <w:t xml:space="preserve">, J. (2016) </w:t>
      </w:r>
      <w:r w:rsidR="00633B1B">
        <w:t>‘</w:t>
      </w:r>
      <w:r w:rsidR="00633B1B">
        <w:rPr>
          <w:i/>
          <w:iCs/>
        </w:rPr>
        <w:t xml:space="preserve">Greek Art’ </w:t>
      </w:r>
      <w:r w:rsidR="00633B1B">
        <w:t>5</w:t>
      </w:r>
      <w:r w:rsidR="00633B1B" w:rsidRPr="00633B1B">
        <w:rPr>
          <w:vertAlign w:val="superscript"/>
        </w:rPr>
        <w:t>th</w:t>
      </w:r>
      <w:r w:rsidR="00633B1B">
        <w:t xml:space="preserve"> ed. </w:t>
      </w:r>
      <w:r w:rsidR="00504095">
        <w:t xml:space="preserve">London: </w:t>
      </w:r>
      <w:r w:rsidR="007E4A8B">
        <w:t xml:space="preserve">Thames &amp; Hudson Ltd. p.99 </w:t>
      </w:r>
    </w:p>
  </w:footnote>
  <w:footnote w:id="2">
    <w:p w14:paraId="18561FFA" w14:textId="351F738B" w:rsidR="00371271" w:rsidRDefault="00371271">
      <w:pPr>
        <w:pStyle w:val="FootnoteText"/>
      </w:pPr>
      <w:r>
        <w:rPr>
          <w:rStyle w:val="FootnoteReference"/>
        </w:rPr>
        <w:footnoteRef/>
      </w:r>
      <w:r>
        <w:t xml:space="preserve"> </w:t>
      </w:r>
      <w:r w:rsidRPr="00371271">
        <w:t>Jonathan., Spivey, Nigel (1996). Understanding Greek sculpture : ancient meanings, modern readings. New York: Thames and Hudson.</w:t>
      </w:r>
    </w:p>
  </w:footnote>
  <w:footnote w:id="3">
    <w:p w14:paraId="5C3B5D8A" w14:textId="03281AB2" w:rsidR="00DB7417" w:rsidRDefault="00DB7417">
      <w:pPr>
        <w:pStyle w:val="FootnoteText"/>
      </w:pPr>
      <w:r>
        <w:rPr>
          <w:rStyle w:val="FootnoteReference"/>
        </w:rPr>
        <w:footnoteRef/>
      </w:r>
      <w:r>
        <w:t xml:space="preserve"> </w:t>
      </w:r>
      <w:r w:rsidRPr="00DB7417">
        <w:t xml:space="preserve">Plut. </w:t>
      </w:r>
      <w:proofErr w:type="spellStart"/>
      <w:r w:rsidRPr="00DB7417">
        <w:t>Thes</w:t>
      </w:r>
      <w:proofErr w:type="spellEnd"/>
      <w:r w:rsidRPr="00DB7417">
        <w:t>. 8.1</w:t>
      </w:r>
      <w:r>
        <w:t xml:space="preserve"> </w:t>
      </w:r>
    </w:p>
  </w:footnote>
  <w:footnote w:id="4">
    <w:p w14:paraId="0AAE3129" w14:textId="365A5711" w:rsidR="00A06157" w:rsidRDefault="00A06157">
      <w:pPr>
        <w:pStyle w:val="FootnoteText"/>
      </w:pPr>
      <w:r>
        <w:rPr>
          <w:rStyle w:val="FootnoteReference"/>
        </w:rPr>
        <w:footnoteRef/>
      </w:r>
      <w:r>
        <w:t xml:space="preserve"> </w:t>
      </w:r>
      <w:r w:rsidRPr="00A06157">
        <w:t xml:space="preserve">Plut. </w:t>
      </w:r>
      <w:proofErr w:type="spellStart"/>
      <w:r w:rsidRPr="00A06157">
        <w:t>Thes</w:t>
      </w:r>
      <w:proofErr w:type="spellEnd"/>
      <w:r w:rsidRPr="00A06157">
        <w:t>. 8.2</w:t>
      </w:r>
      <w:r>
        <w:t xml:space="preserve"> </w:t>
      </w:r>
    </w:p>
  </w:footnote>
  <w:footnote w:id="5">
    <w:p w14:paraId="01A179E4" w14:textId="77777777" w:rsidR="00CD29FC" w:rsidRDefault="00CD29FC">
      <w:pPr>
        <w:pStyle w:val="FootnoteText"/>
      </w:pPr>
      <w:r>
        <w:rPr>
          <w:rStyle w:val="FootnoteReference"/>
        </w:rPr>
        <w:footnoteRef/>
      </w:r>
      <w:r>
        <w:t xml:space="preserve"> </w:t>
      </w:r>
      <w:proofErr w:type="spellStart"/>
      <w:r w:rsidR="007F3D4E">
        <w:t>Apollod</w:t>
      </w:r>
      <w:proofErr w:type="spellEnd"/>
      <w:r w:rsidR="007F3D4E">
        <w:t xml:space="preserve">. </w:t>
      </w:r>
      <w:proofErr w:type="spellStart"/>
      <w:r w:rsidR="007F3D4E">
        <w:t>Epi</w:t>
      </w:r>
      <w:r w:rsidR="0083189A">
        <w:t>t</w:t>
      </w:r>
      <w:proofErr w:type="spellEnd"/>
      <w:r w:rsidR="0083189A">
        <w:t xml:space="preserve">. </w:t>
      </w:r>
      <w:r w:rsidR="00AB0ABB">
        <w:t>E.1.1</w:t>
      </w:r>
    </w:p>
  </w:footnote>
  <w:footnote w:id="6">
    <w:p w14:paraId="2ACDC392" w14:textId="6C26A898" w:rsidR="000E3BD4" w:rsidRDefault="000E3BD4">
      <w:pPr>
        <w:pStyle w:val="FootnoteText"/>
      </w:pPr>
      <w:r>
        <w:rPr>
          <w:rStyle w:val="FootnoteReference"/>
        </w:rPr>
        <w:footnoteRef/>
      </w:r>
      <w:r>
        <w:t xml:space="preserve"> </w:t>
      </w:r>
      <w:r w:rsidR="000C1F1E">
        <w:t xml:space="preserve">Plut. </w:t>
      </w:r>
      <w:proofErr w:type="spellStart"/>
      <w:r w:rsidR="001B4891">
        <w:t>Thes</w:t>
      </w:r>
      <w:proofErr w:type="spellEnd"/>
      <w:r w:rsidR="001B4891">
        <w:t>. 9</w:t>
      </w:r>
      <w:r w:rsidR="00AA02D3">
        <w:t xml:space="preserve">.1 </w:t>
      </w:r>
    </w:p>
  </w:footnote>
  <w:footnote w:id="7">
    <w:p w14:paraId="410FBE95" w14:textId="0FAEA60A" w:rsidR="00074E68" w:rsidRDefault="004E2C42">
      <w:pPr>
        <w:pStyle w:val="FootnoteText"/>
      </w:pPr>
      <w:r>
        <w:rPr>
          <w:rStyle w:val="FootnoteReference"/>
        </w:rPr>
        <w:footnoteRef/>
      </w:r>
      <w:r>
        <w:t xml:space="preserve"> </w:t>
      </w:r>
      <w:proofErr w:type="spellStart"/>
      <w:r w:rsidR="001773DD">
        <w:t>Apollod</w:t>
      </w:r>
      <w:proofErr w:type="spellEnd"/>
      <w:r w:rsidR="001773DD">
        <w:t xml:space="preserve">. </w:t>
      </w:r>
      <w:proofErr w:type="spellStart"/>
      <w:r w:rsidR="001773DD">
        <w:t>Epit</w:t>
      </w:r>
      <w:proofErr w:type="spellEnd"/>
      <w:r w:rsidR="001773DD">
        <w:t>. E.1.2</w:t>
      </w:r>
      <w:r w:rsidR="002F6A40">
        <w:t>-3</w:t>
      </w:r>
      <w:r w:rsidR="00074E68">
        <w:t xml:space="preserve">; </w:t>
      </w:r>
      <w:r w:rsidR="00074E68" w:rsidRPr="00074E68">
        <w:t xml:space="preserve">Plut. </w:t>
      </w:r>
      <w:proofErr w:type="spellStart"/>
      <w:r w:rsidR="00074E68" w:rsidRPr="00074E68">
        <w:t>Thes</w:t>
      </w:r>
      <w:proofErr w:type="spellEnd"/>
      <w:r w:rsidR="00074E68" w:rsidRPr="00074E68">
        <w:t>. 10.1</w:t>
      </w:r>
    </w:p>
  </w:footnote>
  <w:footnote w:id="8">
    <w:p w14:paraId="40DDCD55" w14:textId="19A61502" w:rsidR="007029BC" w:rsidRDefault="007029BC">
      <w:pPr>
        <w:pStyle w:val="FootnoteText"/>
      </w:pPr>
      <w:r>
        <w:rPr>
          <w:rStyle w:val="FootnoteReference"/>
        </w:rPr>
        <w:footnoteRef/>
      </w:r>
      <w:r>
        <w:t xml:space="preserve"> </w:t>
      </w:r>
      <w:r w:rsidR="00DA76FD" w:rsidRPr="00DA76FD">
        <w:t xml:space="preserve">Plut. </w:t>
      </w:r>
      <w:proofErr w:type="spellStart"/>
      <w:r w:rsidR="00DA76FD" w:rsidRPr="00DA76FD">
        <w:t>Thes</w:t>
      </w:r>
      <w:proofErr w:type="spellEnd"/>
      <w:r w:rsidR="00DA76FD" w:rsidRPr="00DA76FD">
        <w:t>. 10.2</w:t>
      </w:r>
      <w:r w:rsidR="00900C85">
        <w:t xml:space="preserve">-3 </w:t>
      </w:r>
    </w:p>
  </w:footnote>
  <w:footnote w:id="9">
    <w:p w14:paraId="62709869" w14:textId="7176E265" w:rsidR="008E5492" w:rsidRDefault="008E5492">
      <w:pPr>
        <w:pStyle w:val="FootnoteText"/>
      </w:pPr>
      <w:r>
        <w:rPr>
          <w:rStyle w:val="FootnoteReference"/>
        </w:rPr>
        <w:footnoteRef/>
      </w:r>
      <w:r>
        <w:t xml:space="preserve"> </w:t>
      </w:r>
      <w:proofErr w:type="spellStart"/>
      <w:r>
        <w:t>Apollod</w:t>
      </w:r>
      <w:proofErr w:type="spellEnd"/>
      <w:r>
        <w:t xml:space="preserve">. </w:t>
      </w:r>
      <w:proofErr w:type="spellStart"/>
      <w:r>
        <w:t>Epit</w:t>
      </w:r>
      <w:proofErr w:type="spellEnd"/>
      <w:r>
        <w:t>. E.1.3</w:t>
      </w:r>
      <w:r w:rsidR="00445FD6">
        <w:t xml:space="preserve">; </w:t>
      </w:r>
      <w:r w:rsidR="00445FD6" w:rsidRPr="00445FD6">
        <w:t xml:space="preserve">Plut. </w:t>
      </w:r>
      <w:proofErr w:type="spellStart"/>
      <w:r w:rsidR="00445FD6" w:rsidRPr="00445FD6">
        <w:t>Thes</w:t>
      </w:r>
      <w:proofErr w:type="spellEnd"/>
      <w:r w:rsidR="00445FD6" w:rsidRPr="00445FD6">
        <w:t>. 11.1</w:t>
      </w:r>
    </w:p>
  </w:footnote>
  <w:footnote w:id="10">
    <w:p w14:paraId="64EE80B0" w14:textId="4E970066" w:rsidR="000E13C2" w:rsidRDefault="000E13C2">
      <w:pPr>
        <w:pStyle w:val="FootnoteText"/>
      </w:pPr>
      <w:r>
        <w:rPr>
          <w:rStyle w:val="FootnoteReference"/>
        </w:rPr>
        <w:footnoteRef/>
      </w:r>
      <w:r>
        <w:t xml:space="preserve"> </w:t>
      </w:r>
      <w:proofErr w:type="spellStart"/>
      <w:r>
        <w:t>Apollod</w:t>
      </w:r>
      <w:proofErr w:type="spellEnd"/>
      <w:r>
        <w:t xml:space="preserve">. </w:t>
      </w:r>
      <w:proofErr w:type="spellStart"/>
      <w:r>
        <w:t>Epit</w:t>
      </w:r>
      <w:proofErr w:type="spellEnd"/>
      <w:r>
        <w:t>. E.1.4</w:t>
      </w:r>
      <w:r w:rsidR="00445FD6">
        <w:t xml:space="preserve">; </w:t>
      </w:r>
      <w:r w:rsidR="00445FD6" w:rsidRPr="00445FD6">
        <w:t xml:space="preserve">Plut. </w:t>
      </w:r>
      <w:proofErr w:type="spellStart"/>
      <w:r w:rsidR="00445FD6" w:rsidRPr="00445FD6">
        <w:t>Thes</w:t>
      </w:r>
      <w:proofErr w:type="spellEnd"/>
      <w:r w:rsidR="00445FD6" w:rsidRPr="00445FD6">
        <w:t>. 11.1</w:t>
      </w:r>
      <w:r w:rsidR="00445FD6">
        <w:t xml:space="preserve"> </w:t>
      </w:r>
    </w:p>
  </w:footnote>
  <w:footnote w:id="11">
    <w:p w14:paraId="724DED7B" w14:textId="6D6B6F98" w:rsidR="00027D5C" w:rsidRDefault="00027D5C">
      <w:pPr>
        <w:pStyle w:val="FootnoteText"/>
      </w:pPr>
      <w:r>
        <w:rPr>
          <w:rStyle w:val="FootnoteReference"/>
        </w:rPr>
        <w:footnoteRef/>
      </w:r>
      <w:r>
        <w:t xml:space="preserve"> </w:t>
      </w:r>
      <w:r w:rsidR="00460B6E" w:rsidRPr="00460B6E">
        <w:t xml:space="preserve">Plut. </w:t>
      </w:r>
      <w:proofErr w:type="spellStart"/>
      <w:r w:rsidR="00460B6E" w:rsidRPr="00460B6E">
        <w:t>Thes</w:t>
      </w:r>
      <w:proofErr w:type="spellEnd"/>
      <w:r w:rsidR="00460B6E" w:rsidRPr="00460B6E">
        <w:t>. 11.1</w:t>
      </w:r>
    </w:p>
  </w:footnote>
  <w:footnote w:id="12">
    <w:p w14:paraId="008DBCB6" w14:textId="05F977B7" w:rsidR="00027D5C" w:rsidRDefault="00027D5C">
      <w:pPr>
        <w:pStyle w:val="FootnoteText"/>
      </w:pPr>
      <w:r>
        <w:rPr>
          <w:rStyle w:val="FootnoteReference"/>
        </w:rPr>
        <w:footnoteRef/>
      </w:r>
      <w:r>
        <w:t xml:space="preserve"> </w:t>
      </w:r>
      <w:r w:rsidRPr="00027D5C">
        <w:t xml:space="preserve">Plut. </w:t>
      </w:r>
      <w:proofErr w:type="spellStart"/>
      <w:r w:rsidRPr="00027D5C">
        <w:t>Thes</w:t>
      </w:r>
      <w:proofErr w:type="spellEnd"/>
      <w:r w:rsidRPr="00027D5C">
        <w:t>. 11.1</w:t>
      </w:r>
      <w:r>
        <w:t xml:space="preserve"> </w:t>
      </w:r>
    </w:p>
  </w:footnote>
  <w:footnote w:id="13">
    <w:p w14:paraId="78BD10D5" w14:textId="61725A46" w:rsidR="00EE39EB" w:rsidRDefault="00EE39EB">
      <w:pPr>
        <w:pStyle w:val="FootnoteText"/>
      </w:pPr>
      <w:r>
        <w:rPr>
          <w:rStyle w:val="FootnoteReference"/>
        </w:rPr>
        <w:footnoteRef/>
      </w:r>
      <w:r>
        <w:t xml:space="preserve">  </w:t>
      </w:r>
      <w:r w:rsidR="00D96700">
        <w:t xml:space="preserve">Walker, H. (1995a) ‘The Early Development of the Theseus Myth’, </w:t>
      </w:r>
      <w:proofErr w:type="spellStart"/>
      <w:r w:rsidR="00D96700">
        <w:t>Rheinisches</w:t>
      </w:r>
      <w:proofErr w:type="spellEnd"/>
      <w:r w:rsidR="00D96700">
        <w:t xml:space="preserve"> Museum </w:t>
      </w:r>
      <w:proofErr w:type="spellStart"/>
      <w:r w:rsidR="00D96700">
        <w:t>Für</w:t>
      </w:r>
      <w:proofErr w:type="spellEnd"/>
      <w:r w:rsidR="00D96700">
        <w:t xml:space="preserve"> </w:t>
      </w:r>
      <w:proofErr w:type="spellStart"/>
      <w:r w:rsidR="00D96700">
        <w:t>Philogie</w:t>
      </w:r>
      <w:proofErr w:type="spellEnd"/>
      <w:r w:rsidR="00D96700">
        <w:t xml:space="preserve"> 138 (1): 1-33.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D3A"/>
    <w:rsid w:val="000047EA"/>
    <w:rsid w:val="0001216C"/>
    <w:rsid w:val="000270A5"/>
    <w:rsid w:val="00027D5C"/>
    <w:rsid w:val="0005758F"/>
    <w:rsid w:val="00060F70"/>
    <w:rsid w:val="00074E68"/>
    <w:rsid w:val="00075793"/>
    <w:rsid w:val="000876D6"/>
    <w:rsid w:val="0009019C"/>
    <w:rsid w:val="00094775"/>
    <w:rsid w:val="000A3826"/>
    <w:rsid w:val="000A5169"/>
    <w:rsid w:val="000A5B71"/>
    <w:rsid w:val="000C1F1E"/>
    <w:rsid w:val="000D3D8D"/>
    <w:rsid w:val="000E13C2"/>
    <w:rsid w:val="000E3BD4"/>
    <w:rsid w:val="000F5C36"/>
    <w:rsid w:val="001019D0"/>
    <w:rsid w:val="00104391"/>
    <w:rsid w:val="001126F3"/>
    <w:rsid w:val="001269D1"/>
    <w:rsid w:val="00133360"/>
    <w:rsid w:val="00134244"/>
    <w:rsid w:val="0016634B"/>
    <w:rsid w:val="0017333B"/>
    <w:rsid w:val="001773DD"/>
    <w:rsid w:val="00186214"/>
    <w:rsid w:val="001A1982"/>
    <w:rsid w:val="001B4891"/>
    <w:rsid w:val="001F377D"/>
    <w:rsid w:val="002244B7"/>
    <w:rsid w:val="002526D2"/>
    <w:rsid w:val="00252837"/>
    <w:rsid w:val="00261336"/>
    <w:rsid w:val="00287E11"/>
    <w:rsid w:val="00292696"/>
    <w:rsid w:val="002B4033"/>
    <w:rsid w:val="002C0FE3"/>
    <w:rsid w:val="002C7803"/>
    <w:rsid w:val="002E27F3"/>
    <w:rsid w:val="002F2449"/>
    <w:rsid w:val="002F6A40"/>
    <w:rsid w:val="003043C2"/>
    <w:rsid w:val="00311803"/>
    <w:rsid w:val="0033788D"/>
    <w:rsid w:val="00337D9B"/>
    <w:rsid w:val="00342C2A"/>
    <w:rsid w:val="003469CE"/>
    <w:rsid w:val="003473DB"/>
    <w:rsid w:val="003654FB"/>
    <w:rsid w:val="003678D2"/>
    <w:rsid w:val="00371271"/>
    <w:rsid w:val="00371CEE"/>
    <w:rsid w:val="0037521D"/>
    <w:rsid w:val="003763EA"/>
    <w:rsid w:val="003A5FBE"/>
    <w:rsid w:val="003D5589"/>
    <w:rsid w:val="003D5AC6"/>
    <w:rsid w:val="004324D3"/>
    <w:rsid w:val="00445FD6"/>
    <w:rsid w:val="00460B6E"/>
    <w:rsid w:val="00460C36"/>
    <w:rsid w:val="004620B5"/>
    <w:rsid w:val="00462E7D"/>
    <w:rsid w:val="00471953"/>
    <w:rsid w:val="00472208"/>
    <w:rsid w:val="00473762"/>
    <w:rsid w:val="00480DC5"/>
    <w:rsid w:val="00490BB6"/>
    <w:rsid w:val="004C6655"/>
    <w:rsid w:val="004D30E4"/>
    <w:rsid w:val="004D672B"/>
    <w:rsid w:val="004D787B"/>
    <w:rsid w:val="004E2C42"/>
    <w:rsid w:val="004F0DBA"/>
    <w:rsid w:val="004F573A"/>
    <w:rsid w:val="00504095"/>
    <w:rsid w:val="0051593A"/>
    <w:rsid w:val="005243AF"/>
    <w:rsid w:val="00537D21"/>
    <w:rsid w:val="0056063B"/>
    <w:rsid w:val="00560FD7"/>
    <w:rsid w:val="0058336E"/>
    <w:rsid w:val="00583B5A"/>
    <w:rsid w:val="005864C9"/>
    <w:rsid w:val="005A505E"/>
    <w:rsid w:val="005A7107"/>
    <w:rsid w:val="005D5097"/>
    <w:rsid w:val="005E03D2"/>
    <w:rsid w:val="005F2E7B"/>
    <w:rsid w:val="006002FF"/>
    <w:rsid w:val="00615ADA"/>
    <w:rsid w:val="00616126"/>
    <w:rsid w:val="00633B1B"/>
    <w:rsid w:val="00644066"/>
    <w:rsid w:val="006472FA"/>
    <w:rsid w:val="006551AF"/>
    <w:rsid w:val="00670553"/>
    <w:rsid w:val="0067198F"/>
    <w:rsid w:val="00671ECA"/>
    <w:rsid w:val="006A1D67"/>
    <w:rsid w:val="006B5B35"/>
    <w:rsid w:val="006F09A3"/>
    <w:rsid w:val="00701B1F"/>
    <w:rsid w:val="007029BC"/>
    <w:rsid w:val="00725166"/>
    <w:rsid w:val="00741D88"/>
    <w:rsid w:val="00772345"/>
    <w:rsid w:val="007908AB"/>
    <w:rsid w:val="007B1ED9"/>
    <w:rsid w:val="007D356B"/>
    <w:rsid w:val="007D4E57"/>
    <w:rsid w:val="007E13A9"/>
    <w:rsid w:val="007E3038"/>
    <w:rsid w:val="007E4A8B"/>
    <w:rsid w:val="007F3D4E"/>
    <w:rsid w:val="007F5602"/>
    <w:rsid w:val="0080279A"/>
    <w:rsid w:val="00804CA5"/>
    <w:rsid w:val="008061E0"/>
    <w:rsid w:val="0080729B"/>
    <w:rsid w:val="00821E73"/>
    <w:rsid w:val="0083189A"/>
    <w:rsid w:val="00833174"/>
    <w:rsid w:val="0084355C"/>
    <w:rsid w:val="00845390"/>
    <w:rsid w:val="00851598"/>
    <w:rsid w:val="008566B4"/>
    <w:rsid w:val="00857A8F"/>
    <w:rsid w:val="008915A7"/>
    <w:rsid w:val="00891787"/>
    <w:rsid w:val="00893303"/>
    <w:rsid w:val="00894465"/>
    <w:rsid w:val="0089538C"/>
    <w:rsid w:val="008A054C"/>
    <w:rsid w:val="008B5CF6"/>
    <w:rsid w:val="008C122B"/>
    <w:rsid w:val="008C33E0"/>
    <w:rsid w:val="008D2231"/>
    <w:rsid w:val="008E4E52"/>
    <w:rsid w:val="008E5351"/>
    <w:rsid w:val="008E5492"/>
    <w:rsid w:val="00900C85"/>
    <w:rsid w:val="00904729"/>
    <w:rsid w:val="00907104"/>
    <w:rsid w:val="00916728"/>
    <w:rsid w:val="009436A6"/>
    <w:rsid w:val="00947ADB"/>
    <w:rsid w:val="009547A3"/>
    <w:rsid w:val="00956BDB"/>
    <w:rsid w:val="00957FC5"/>
    <w:rsid w:val="00961A94"/>
    <w:rsid w:val="0096654D"/>
    <w:rsid w:val="00971728"/>
    <w:rsid w:val="00985B44"/>
    <w:rsid w:val="009B2E3A"/>
    <w:rsid w:val="009C32B6"/>
    <w:rsid w:val="009C6505"/>
    <w:rsid w:val="009C77B1"/>
    <w:rsid w:val="009E1320"/>
    <w:rsid w:val="00A0072E"/>
    <w:rsid w:val="00A00FB4"/>
    <w:rsid w:val="00A01434"/>
    <w:rsid w:val="00A06157"/>
    <w:rsid w:val="00A16058"/>
    <w:rsid w:val="00A24F14"/>
    <w:rsid w:val="00A33CA5"/>
    <w:rsid w:val="00A366A4"/>
    <w:rsid w:val="00A40B63"/>
    <w:rsid w:val="00A40DC0"/>
    <w:rsid w:val="00A564AB"/>
    <w:rsid w:val="00A565EE"/>
    <w:rsid w:val="00A56EA0"/>
    <w:rsid w:val="00AA02D3"/>
    <w:rsid w:val="00AA5BA6"/>
    <w:rsid w:val="00AB0ABB"/>
    <w:rsid w:val="00AC4732"/>
    <w:rsid w:val="00AC542D"/>
    <w:rsid w:val="00AD3FD4"/>
    <w:rsid w:val="00AE7748"/>
    <w:rsid w:val="00B0485A"/>
    <w:rsid w:val="00B07572"/>
    <w:rsid w:val="00B3639C"/>
    <w:rsid w:val="00B36E69"/>
    <w:rsid w:val="00B50792"/>
    <w:rsid w:val="00B846D7"/>
    <w:rsid w:val="00BA414A"/>
    <w:rsid w:val="00BC38A9"/>
    <w:rsid w:val="00BC4042"/>
    <w:rsid w:val="00BD0D3A"/>
    <w:rsid w:val="00BD7A67"/>
    <w:rsid w:val="00BE54E0"/>
    <w:rsid w:val="00BE7BFC"/>
    <w:rsid w:val="00BF1CBB"/>
    <w:rsid w:val="00BF3022"/>
    <w:rsid w:val="00BF4669"/>
    <w:rsid w:val="00C1036C"/>
    <w:rsid w:val="00C163EE"/>
    <w:rsid w:val="00C32A57"/>
    <w:rsid w:val="00C47C3E"/>
    <w:rsid w:val="00C55423"/>
    <w:rsid w:val="00C66C40"/>
    <w:rsid w:val="00C70394"/>
    <w:rsid w:val="00C83514"/>
    <w:rsid w:val="00C84FE1"/>
    <w:rsid w:val="00C8757A"/>
    <w:rsid w:val="00C97775"/>
    <w:rsid w:val="00CA287F"/>
    <w:rsid w:val="00CB709C"/>
    <w:rsid w:val="00CD29FC"/>
    <w:rsid w:val="00CE4061"/>
    <w:rsid w:val="00D025B6"/>
    <w:rsid w:val="00D07106"/>
    <w:rsid w:val="00D14E42"/>
    <w:rsid w:val="00D22DB9"/>
    <w:rsid w:val="00D25FFA"/>
    <w:rsid w:val="00D40B6E"/>
    <w:rsid w:val="00D438DD"/>
    <w:rsid w:val="00D60A22"/>
    <w:rsid w:val="00D61E5D"/>
    <w:rsid w:val="00D62608"/>
    <w:rsid w:val="00D76CAD"/>
    <w:rsid w:val="00D96700"/>
    <w:rsid w:val="00DA1C91"/>
    <w:rsid w:val="00DA76FD"/>
    <w:rsid w:val="00DB7417"/>
    <w:rsid w:val="00DB7705"/>
    <w:rsid w:val="00DC6290"/>
    <w:rsid w:val="00DF626C"/>
    <w:rsid w:val="00DF63C0"/>
    <w:rsid w:val="00E212AA"/>
    <w:rsid w:val="00E219E5"/>
    <w:rsid w:val="00E22194"/>
    <w:rsid w:val="00E42BB2"/>
    <w:rsid w:val="00E46529"/>
    <w:rsid w:val="00E5364E"/>
    <w:rsid w:val="00E60318"/>
    <w:rsid w:val="00E64B23"/>
    <w:rsid w:val="00E7536F"/>
    <w:rsid w:val="00E82835"/>
    <w:rsid w:val="00E8327A"/>
    <w:rsid w:val="00E86A83"/>
    <w:rsid w:val="00E92E90"/>
    <w:rsid w:val="00EB4884"/>
    <w:rsid w:val="00EC58FC"/>
    <w:rsid w:val="00ED6F81"/>
    <w:rsid w:val="00EE39EB"/>
    <w:rsid w:val="00EF094E"/>
    <w:rsid w:val="00F136B2"/>
    <w:rsid w:val="00F151AD"/>
    <w:rsid w:val="00F27986"/>
    <w:rsid w:val="00F3755D"/>
    <w:rsid w:val="00F6016C"/>
    <w:rsid w:val="00F75A60"/>
    <w:rsid w:val="00F76C7C"/>
    <w:rsid w:val="00F91200"/>
    <w:rsid w:val="00F9402D"/>
    <w:rsid w:val="00FA2010"/>
    <w:rsid w:val="00FA68A5"/>
    <w:rsid w:val="00FB59B3"/>
    <w:rsid w:val="00FB6EE0"/>
    <w:rsid w:val="00FE43F5"/>
    <w:rsid w:val="00FF18D9"/>
    <w:rsid w:val="00FF3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B0BDB2"/>
  <w15:chartTrackingRefBased/>
  <w15:docId w15:val="{5F93860C-C88E-5E4B-BD2A-673931F89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E3BD4"/>
    <w:rPr>
      <w:sz w:val="20"/>
      <w:szCs w:val="20"/>
    </w:rPr>
  </w:style>
  <w:style w:type="character" w:customStyle="1" w:styleId="FootnoteTextChar">
    <w:name w:val="Footnote Text Char"/>
    <w:basedOn w:val="DefaultParagraphFont"/>
    <w:link w:val="FootnoteText"/>
    <w:uiPriority w:val="99"/>
    <w:rsid w:val="000E3BD4"/>
    <w:rPr>
      <w:sz w:val="20"/>
      <w:szCs w:val="20"/>
    </w:rPr>
  </w:style>
  <w:style w:type="character" w:styleId="FootnoteReference">
    <w:name w:val="footnote reference"/>
    <w:basedOn w:val="DefaultParagraphFont"/>
    <w:uiPriority w:val="99"/>
    <w:semiHidden/>
    <w:unhideWhenUsed/>
    <w:rsid w:val="000E3BD4"/>
    <w:rPr>
      <w:vertAlign w:val="superscript"/>
    </w:rPr>
  </w:style>
  <w:style w:type="paragraph" w:styleId="Header">
    <w:name w:val="header"/>
    <w:basedOn w:val="Normal"/>
    <w:link w:val="HeaderChar"/>
    <w:uiPriority w:val="99"/>
    <w:unhideWhenUsed/>
    <w:rsid w:val="007E4A8B"/>
    <w:pPr>
      <w:tabs>
        <w:tab w:val="center" w:pos="4513"/>
        <w:tab w:val="right" w:pos="9026"/>
      </w:tabs>
    </w:pPr>
  </w:style>
  <w:style w:type="character" w:customStyle="1" w:styleId="HeaderChar">
    <w:name w:val="Header Char"/>
    <w:basedOn w:val="DefaultParagraphFont"/>
    <w:link w:val="Header"/>
    <w:uiPriority w:val="99"/>
    <w:rsid w:val="007E4A8B"/>
  </w:style>
  <w:style w:type="paragraph" w:styleId="Footer">
    <w:name w:val="footer"/>
    <w:basedOn w:val="Normal"/>
    <w:link w:val="FooterChar"/>
    <w:uiPriority w:val="99"/>
    <w:unhideWhenUsed/>
    <w:rsid w:val="007E4A8B"/>
    <w:pPr>
      <w:tabs>
        <w:tab w:val="center" w:pos="4513"/>
        <w:tab w:val="right" w:pos="9026"/>
      </w:tabs>
    </w:pPr>
  </w:style>
  <w:style w:type="character" w:customStyle="1" w:styleId="FooterChar">
    <w:name w:val="Footer Char"/>
    <w:basedOn w:val="DefaultParagraphFont"/>
    <w:link w:val="Footer"/>
    <w:uiPriority w:val="99"/>
    <w:rsid w:val="007E4A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2062</Words>
  <Characters>11754</Characters>
  <Application>Microsoft Office Word</Application>
  <DocSecurity>0</DocSecurity>
  <Lines>97</Lines>
  <Paragraphs>27</Paragraphs>
  <ScaleCrop>false</ScaleCrop>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(1801719)</dc:creator>
  <cp:keywords/>
  <dc:description/>
  <cp:lastModifiedBy>Rebecca Smith (1801719)</cp:lastModifiedBy>
  <cp:revision>2</cp:revision>
  <dcterms:created xsi:type="dcterms:W3CDTF">2019-06-04T22:05:00Z</dcterms:created>
  <dcterms:modified xsi:type="dcterms:W3CDTF">2019-06-04T22:05:00Z</dcterms:modified>
</cp:coreProperties>
</file>