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1A925" w14:textId="77777777" w:rsidR="00E0701D" w:rsidRPr="00A90012" w:rsidRDefault="00E0701D" w:rsidP="00E0701D">
      <w:pPr>
        <w:jc w:val="center"/>
        <w:rPr>
          <w:b/>
          <w:bCs/>
          <w:lang w:val="en-GB"/>
        </w:rPr>
      </w:pPr>
    </w:p>
    <w:p w14:paraId="4D612321" w14:textId="77777777" w:rsidR="00E0701D" w:rsidRPr="00A90012" w:rsidRDefault="00E0701D" w:rsidP="00E0701D">
      <w:pPr>
        <w:jc w:val="center"/>
        <w:rPr>
          <w:b/>
          <w:bCs/>
          <w:lang w:val="en-GB"/>
        </w:rPr>
      </w:pPr>
    </w:p>
    <w:p w14:paraId="2C2296B2" w14:textId="77777777" w:rsidR="00E0701D" w:rsidRPr="00A90012" w:rsidRDefault="00E0701D" w:rsidP="00E0701D">
      <w:pPr>
        <w:jc w:val="center"/>
        <w:rPr>
          <w:b/>
          <w:bCs/>
          <w:lang w:val="en-GB"/>
        </w:rPr>
      </w:pPr>
    </w:p>
    <w:p w14:paraId="6CCD627F" w14:textId="77777777" w:rsidR="00E0701D" w:rsidRPr="00A90012" w:rsidRDefault="00E0701D" w:rsidP="00E0701D">
      <w:pPr>
        <w:jc w:val="center"/>
        <w:rPr>
          <w:b/>
          <w:bCs/>
          <w:lang w:val="en-GB"/>
        </w:rPr>
      </w:pPr>
    </w:p>
    <w:p w14:paraId="5ED44B77" w14:textId="77777777" w:rsidR="00E0701D" w:rsidRPr="00A90012" w:rsidRDefault="00E0701D" w:rsidP="00E0701D">
      <w:pPr>
        <w:jc w:val="center"/>
        <w:rPr>
          <w:b/>
          <w:bCs/>
          <w:lang w:val="en-GB"/>
        </w:rPr>
      </w:pPr>
    </w:p>
    <w:p w14:paraId="283A1A58" w14:textId="77777777" w:rsidR="00E0701D" w:rsidRPr="00A90012" w:rsidRDefault="00E0701D" w:rsidP="00E0701D">
      <w:pPr>
        <w:jc w:val="center"/>
        <w:rPr>
          <w:b/>
          <w:bCs/>
          <w:lang w:val="en-GB"/>
        </w:rPr>
      </w:pPr>
    </w:p>
    <w:p w14:paraId="2C94A1C0" w14:textId="77777777" w:rsidR="00E0701D" w:rsidRPr="00A90012" w:rsidRDefault="00E0701D" w:rsidP="00E0701D">
      <w:pPr>
        <w:jc w:val="center"/>
        <w:rPr>
          <w:b/>
          <w:bCs/>
          <w:lang w:val="en-GB"/>
        </w:rPr>
      </w:pPr>
    </w:p>
    <w:p w14:paraId="7FD650C2" w14:textId="77777777" w:rsidR="00E0701D" w:rsidRPr="00A90012" w:rsidRDefault="00E0701D" w:rsidP="00E0701D">
      <w:pPr>
        <w:jc w:val="center"/>
        <w:rPr>
          <w:b/>
          <w:bCs/>
          <w:lang w:val="en-GB"/>
        </w:rPr>
      </w:pPr>
    </w:p>
    <w:p w14:paraId="013695F7" w14:textId="77777777" w:rsidR="00E0701D" w:rsidRPr="00A90012" w:rsidRDefault="00E0701D" w:rsidP="00E0701D">
      <w:pPr>
        <w:jc w:val="center"/>
        <w:rPr>
          <w:b/>
          <w:bCs/>
          <w:lang w:val="en-GB"/>
        </w:rPr>
      </w:pPr>
    </w:p>
    <w:p w14:paraId="45BA76FE" w14:textId="77777777" w:rsidR="00E0701D" w:rsidRPr="00A90012" w:rsidRDefault="00E0701D" w:rsidP="00E0701D">
      <w:pPr>
        <w:jc w:val="center"/>
        <w:rPr>
          <w:b/>
          <w:bCs/>
          <w:lang w:val="en-GB"/>
        </w:rPr>
      </w:pPr>
    </w:p>
    <w:p w14:paraId="320C0DA4" w14:textId="5BB93CAC" w:rsidR="00E0701D" w:rsidRPr="00A90012" w:rsidRDefault="00E0701D" w:rsidP="00E0701D">
      <w:pPr>
        <w:jc w:val="center"/>
        <w:rPr>
          <w:b/>
          <w:bCs/>
          <w:lang w:val="en-GB"/>
        </w:rPr>
      </w:pPr>
      <w:r w:rsidRPr="00A90012">
        <w:rPr>
          <w:b/>
          <w:bCs/>
          <w:lang w:val="en-GB"/>
        </w:rPr>
        <w:t>Name of the student</w:t>
      </w:r>
    </w:p>
    <w:p w14:paraId="6C8AACB8" w14:textId="163AEB64" w:rsidR="00E0701D" w:rsidRPr="00A90012" w:rsidRDefault="00E0701D" w:rsidP="00E0701D">
      <w:pPr>
        <w:spacing w:before="0" w:after="160" w:line="259" w:lineRule="auto"/>
        <w:jc w:val="center"/>
        <w:rPr>
          <w:b/>
          <w:bCs/>
          <w:lang w:val="en-GB"/>
        </w:rPr>
      </w:pPr>
      <w:r w:rsidRPr="00A90012">
        <w:rPr>
          <w:b/>
          <w:bCs/>
          <w:lang w:val="en-GB"/>
        </w:rPr>
        <w:t>Name of the Institution</w:t>
      </w:r>
    </w:p>
    <w:p w14:paraId="6D651565" w14:textId="77777777" w:rsidR="00E0701D" w:rsidRPr="00A90012" w:rsidRDefault="00E0701D">
      <w:pPr>
        <w:spacing w:before="0" w:after="160" w:line="259" w:lineRule="auto"/>
        <w:jc w:val="left"/>
        <w:rPr>
          <w:b/>
          <w:bCs/>
          <w:lang w:val="en-GB"/>
        </w:rPr>
      </w:pPr>
      <w:r w:rsidRPr="00A90012">
        <w:rPr>
          <w:b/>
          <w:bCs/>
          <w:lang w:val="en-GB"/>
        </w:rPr>
        <w:br w:type="page"/>
      </w:r>
    </w:p>
    <w:sdt>
      <w:sdtPr>
        <w:rPr>
          <w:b/>
          <w:bCs/>
          <w:lang w:val="en-GB"/>
        </w:rPr>
        <w:id w:val="1306197681"/>
        <w:docPartObj>
          <w:docPartGallery w:val="Table of Contents"/>
          <w:docPartUnique/>
        </w:docPartObj>
      </w:sdtPr>
      <w:sdtEndPr/>
      <w:sdtContent>
        <w:p w14:paraId="2A072B10" w14:textId="2AE3E18E" w:rsidR="00740F36" w:rsidRPr="00A90012" w:rsidRDefault="00740F36" w:rsidP="00740F36">
          <w:pPr>
            <w:jc w:val="center"/>
            <w:rPr>
              <w:b/>
              <w:bCs/>
              <w:lang w:val="en-GB"/>
            </w:rPr>
          </w:pPr>
          <w:r w:rsidRPr="00A90012">
            <w:rPr>
              <w:b/>
              <w:bCs/>
              <w:lang w:val="en-GB"/>
            </w:rPr>
            <w:t>Table of Contents</w:t>
          </w:r>
        </w:p>
        <w:p w14:paraId="03640202" w14:textId="7F89A786" w:rsidR="0012790C" w:rsidRDefault="00740F36">
          <w:pPr>
            <w:pStyle w:val="TOC1"/>
            <w:tabs>
              <w:tab w:val="right" w:leader="dot" w:pos="9350"/>
            </w:tabs>
            <w:rPr>
              <w:rFonts w:asciiTheme="minorHAnsi" w:eastAsiaTheme="minorEastAsia" w:hAnsiTheme="minorHAnsi"/>
              <w:noProof/>
              <w:sz w:val="24"/>
              <w:szCs w:val="24"/>
            </w:rPr>
          </w:pPr>
          <w:r w:rsidRPr="00A90012">
            <w:rPr>
              <w:lang w:val="en-GB"/>
            </w:rPr>
            <w:fldChar w:fldCharType="begin"/>
          </w:r>
          <w:r w:rsidRPr="00A90012">
            <w:rPr>
              <w:lang w:val="en-GB"/>
            </w:rPr>
            <w:instrText xml:space="preserve"> TOC \o "1-3" \h \z \u </w:instrText>
          </w:r>
          <w:r w:rsidRPr="00A90012">
            <w:rPr>
              <w:lang w:val="en-GB"/>
            </w:rPr>
            <w:fldChar w:fldCharType="separate"/>
          </w:r>
          <w:hyperlink w:anchor="_Toc214451631" w:history="1">
            <w:r w:rsidR="0012790C" w:rsidRPr="00B1649E">
              <w:rPr>
                <w:rStyle w:val="Hyperlink"/>
                <w:noProof/>
                <w:lang w:val="en-GB"/>
              </w:rPr>
              <w:t>Introduction</w:t>
            </w:r>
            <w:r w:rsidR="0012790C">
              <w:rPr>
                <w:noProof/>
                <w:webHidden/>
              </w:rPr>
              <w:tab/>
            </w:r>
            <w:r w:rsidR="0012790C">
              <w:rPr>
                <w:noProof/>
                <w:webHidden/>
              </w:rPr>
              <w:fldChar w:fldCharType="begin"/>
            </w:r>
            <w:r w:rsidR="0012790C">
              <w:rPr>
                <w:noProof/>
                <w:webHidden/>
              </w:rPr>
              <w:instrText xml:space="preserve"> PAGEREF _Toc214451631 \h </w:instrText>
            </w:r>
            <w:r w:rsidR="0012790C">
              <w:rPr>
                <w:noProof/>
                <w:webHidden/>
              </w:rPr>
            </w:r>
            <w:r w:rsidR="0012790C">
              <w:rPr>
                <w:noProof/>
                <w:webHidden/>
              </w:rPr>
              <w:fldChar w:fldCharType="separate"/>
            </w:r>
            <w:r w:rsidR="0012790C">
              <w:rPr>
                <w:noProof/>
                <w:webHidden/>
              </w:rPr>
              <w:t>3</w:t>
            </w:r>
            <w:r w:rsidR="0012790C">
              <w:rPr>
                <w:noProof/>
                <w:webHidden/>
              </w:rPr>
              <w:fldChar w:fldCharType="end"/>
            </w:r>
          </w:hyperlink>
        </w:p>
        <w:p w14:paraId="2EADCA63" w14:textId="3BA6D18E" w:rsidR="0012790C" w:rsidRDefault="0012790C">
          <w:pPr>
            <w:pStyle w:val="TOC1"/>
            <w:tabs>
              <w:tab w:val="right" w:leader="dot" w:pos="9350"/>
            </w:tabs>
            <w:rPr>
              <w:rFonts w:asciiTheme="minorHAnsi" w:eastAsiaTheme="minorEastAsia" w:hAnsiTheme="minorHAnsi"/>
              <w:noProof/>
              <w:sz w:val="24"/>
              <w:szCs w:val="24"/>
            </w:rPr>
          </w:pPr>
          <w:hyperlink w:anchor="_Toc214451632" w:history="1">
            <w:r w:rsidRPr="00B1649E">
              <w:rPr>
                <w:rStyle w:val="Hyperlink"/>
                <w:noProof/>
                <w:lang w:val="en-GB"/>
              </w:rPr>
              <w:t>Rich Picture</w:t>
            </w:r>
            <w:r>
              <w:rPr>
                <w:noProof/>
                <w:webHidden/>
              </w:rPr>
              <w:tab/>
            </w:r>
            <w:r>
              <w:rPr>
                <w:noProof/>
                <w:webHidden/>
              </w:rPr>
              <w:fldChar w:fldCharType="begin"/>
            </w:r>
            <w:r>
              <w:rPr>
                <w:noProof/>
                <w:webHidden/>
              </w:rPr>
              <w:instrText xml:space="preserve"> PAGEREF _Toc214451632 \h </w:instrText>
            </w:r>
            <w:r>
              <w:rPr>
                <w:noProof/>
                <w:webHidden/>
              </w:rPr>
            </w:r>
            <w:r>
              <w:rPr>
                <w:noProof/>
                <w:webHidden/>
              </w:rPr>
              <w:fldChar w:fldCharType="separate"/>
            </w:r>
            <w:r>
              <w:rPr>
                <w:noProof/>
                <w:webHidden/>
              </w:rPr>
              <w:t>4</w:t>
            </w:r>
            <w:r>
              <w:rPr>
                <w:noProof/>
                <w:webHidden/>
              </w:rPr>
              <w:fldChar w:fldCharType="end"/>
            </w:r>
          </w:hyperlink>
        </w:p>
        <w:p w14:paraId="5C3A12A0" w14:textId="753D16EE" w:rsidR="0012790C" w:rsidRDefault="0012790C">
          <w:pPr>
            <w:pStyle w:val="TOC2"/>
            <w:tabs>
              <w:tab w:val="right" w:leader="dot" w:pos="9350"/>
            </w:tabs>
            <w:rPr>
              <w:rFonts w:asciiTheme="minorHAnsi" w:eastAsiaTheme="minorEastAsia" w:hAnsiTheme="minorHAnsi"/>
              <w:noProof/>
              <w:sz w:val="24"/>
              <w:szCs w:val="24"/>
            </w:rPr>
          </w:pPr>
          <w:hyperlink w:anchor="_Toc214451633" w:history="1">
            <w:r w:rsidRPr="00B1649E">
              <w:rPr>
                <w:rStyle w:val="Hyperlink"/>
                <w:noProof/>
                <w:lang w:val="en-GB"/>
              </w:rPr>
              <w:t>Spain Rich Picture</w:t>
            </w:r>
            <w:r>
              <w:rPr>
                <w:noProof/>
                <w:webHidden/>
              </w:rPr>
              <w:tab/>
            </w:r>
            <w:r>
              <w:rPr>
                <w:noProof/>
                <w:webHidden/>
              </w:rPr>
              <w:fldChar w:fldCharType="begin"/>
            </w:r>
            <w:r>
              <w:rPr>
                <w:noProof/>
                <w:webHidden/>
              </w:rPr>
              <w:instrText xml:space="preserve"> PAGEREF _Toc214451633 \h </w:instrText>
            </w:r>
            <w:r>
              <w:rPr>
                <w:noProof/>
                <w:webHidden/>
              </w:rPr>
            </w:r>
            <w:r>
              <w:rPr>
                <w:noProof/>
                <w:webHidden/>
              </w:rPr>
              <w:fldChar w:fldCharType="separate"/>
            </w:r>
            <w:r>
              <w:rPr>
                <w:noProof/>
                <w:webHidden/>
              </w:rPr>
              <w:t>4</w:t>
            </w:r>
            <w:r>
              <w:rPr>
                <w:noProof/>
                <w:webHidden/>
              </w:rPr>
              <w:fldChar w:fldCharType="end"/>
            </w:r>
          </w:hyperlink>
        </w:p>
        <w:p w14:paraId="3AE97C16" w14:textId="43AF05D1" w:rsidR="0012790C" w:rsidRDefault="0012790C">
          <w:pPr>
            <w:pStyle w:val="TOC2"/>
            <w:tabs>
              <w:tab w:val="right" w:leader="dot" w:pos="9350"/>
            </w:tabs>
            <w:rPr>
              <w:rFonts w:asciiTheme="minorHAnsi" w:eastAsiaTheme="minorEastAsia" w:hAnsiTheme="minorHAnsi"/>
              <w:noProof/>
              <w:sz w:val="24"/>
              <w:szCs w:val="24"/>
            </w:rPr>
          </w:pPr>
          <w:hyperlink w:anchor="_Toc214451634" w:history="1">
            <w:r w:rsidRPr="00B1649E">
              <w:rPr>
                <w:rStyle w:val="Hyperlink"/>
                <w:noProof/>
                <w:lang w:val="en-GB"/>
              </w:rPr>
              <w:t>South Korea Rich Picture</w:t>
            </w:r>
            <w:r>
              <w:rPr>
                <w:noProof/>
                <w:webHidden/>
              </w:rPr>
              <w:tab/>
            </w:r>
            <w:r>
              <w:rPr>
                <w:noProof/>
                <w:webHidden/>
              </w:rPr>
              <w:fldChar w:fldCharType="begin"/>
            </w:r>
            <w:r>
              <w:rPr>
                <w:noProof/>
                <w:webHidden/>
              </w:rPr>
              <w:instrText xml:space="preserve"> PAGEREF _Toc214451634 \h </w:instrText>
            </w:r>
            <w:r>
              <w:rPr>
                <w:noProof/>
                <w:webHidden/>
              </w:rPr>
            </w:r>
            <w:r>
              <w:rPr>
                <w:noProof/>
                <w:webHidden/>
              </w:rPr>
              <w:fldChar w:fldCharType="separate"/>
            </w:r>
            <w:r>
              <w:rPr>
                <w:noProof/>
                <w:webHidden/>
              </w:rPr>
              <w:t>5</w:t>
            </w:r>
            <w:r>
              <w:rPr>
                <w:noProof/>
                <w:webHidden/>
              </w:rPr>
              <w:fldChar w:fldCharType="end"/>
            </w:r>
          </w:hyperlink>
        </w:p>
        <w:p w14:paraId="2A4A2A6A" w14:textId="1BD0FE1D" w:rsidR="0012790C" w:rsidRDefault="0012790C">
          <w:pPr>
            <w:pStyle w:val="TOC2"/>
            <w:tabs>
              <w:tab w:val="right" w:leader="dot" w:pos="9350"/>
            </w:tabs>
            <w:rPr>
              <w:rFonts w:asciiTheme="minorHAnsi" w:eastAsiaTheme="minorEastAsia" w:hAnsiTheme="minorHAnsi"/>
              <w:noProof/>
              <w:sz w:val="24"/>
              <w:szCs w:val="24"/>
            </w:rPr>
          </w:pPr>
          <w:hyperlink w:anchor="_Toc214451635" w:history="1">
            <w:r w:rsidRPr="00B1649E">
              <w:rPr>
                <w:rStyle w:val="Hyperlink"/>
                <w:noProof/>
                <w:lang w:val="en-GB"/>
              </w:rPr>
              <w:t>Canada Rich Picture</w:t>
            </w:r>
            <w:r>
              <w:rPr>
                <w:noProof/>
                <w:webHidden/>
              </w:rPr>
              <w:tab/>
            </w:r>
            <w:r>
              <w:rPr>
                <w:noProof/>
                <w:webHidden/>
              </w:rPr>
              <w:fldChar w:fldCharType="begin"/>
            </w:r>
            <w:r>
              <w:rPr>
                <w:noProof/>
                <w:webHidden/>
              </w:rPr>
              <w:instrText xml:space="preserve"> PAGEREF _Toc214451635 \h </w:instrText>
            </w:r>
            <w:r>
              <w:rPr>
                <w:noProof/>
                <w:webHidden/>
              </w:rPr>
            </w:r>
            <w:r>
              <w:rPr>
                <w:noProof/>
                <w:webHidden/>
              </w:rPr>
              <w:fldChar w:fldCharType="separate"/>
            </w:r>
            <w:r>
              <w:rPr>
                <w:noProof/>
                <w:webHidden/>
              </w:rPr>
              <w:t>6</w:t>
            </w:r>
            <w:r>
              <w:rPr>
                <w:noProof/>
                <w:webHidden/>
              </w:rPr>
              <w:fldChar w:fldCharType="end"/>
            </w:r>
          </w:hyperlink>
        </w:p>
        <w:p w14:paraId="7A49F6DA" w14:textId="2010C752" w:rsidR="0012790C" w:rsidRDefault="0012790C">
          <w:pPr>
            <w:pStyle w:val="TOC1"/>
            <w:tabs>
              <w:tab w:val="right" w:leader="dot" w:pos="9350"/>
            </w:tabs>
            <w:rPr>
              <w:rFonts w:asciiTheme="minorHAnsi" w:eastAsiaTheme="minorEastAsia" w:hAnsiTheme="minorHAnsi"/>
              <w:noProof/>
              <w:sz w:val="24"/>
              <w:szCs w:val="24"/>
            </w:rPr>
          </w:pPr>
          <w:hyperlink w:anchor="_Toc214451636" w:history="1">
            <w:r w:rsidRPr="00B1649E">
              <w:rPr>
                <w:rStyle w:val="Hyperlink"/>
                <w:noProof/>
                <w:lang w:val="en-GB"/>
              </w:rPr>
              <w:t>Centralised and Decentralised Health System Structures</w:t>
            </w:r>
            <w:r>
              <w:rPr>
                <w:noProof/>
                <w:webHidden/>
              </w:rPr>
              <w:tab/>
            </w:r>
            <w:r>
              <w:rPr>
                <w:noProof/>
                <w:webHidden/>
              </w:rPr>
              <w:fldChar w:fldCharType="begin"/>
            </w:r>
            <w:r>
              <w:rPr>
                <w:noProof/>
                <w:webHidden/>
              </w:rPr>
              <w:instrText xml:space="preserve"> PAGEREF _Toc214451636 \h </w:instrText>
            </w:r>
            <w:r>
              <w:rPr>
                <w:noProof/>
                <w:webHidden/>
              </w:rPr>
            </w:r>
            <w:r>
              <w:rPr>
                <w:noProof/>
                <w:webHidden/>
              </w:rPr>
              <w:fldChar w:fldCharType="separate"/>
            </w:r>
            <w:r>
              <w:rPr>
                <w:noProof/>
                <w:webHidden/>
              </w:rPr>
              <w:t>7</w:t>
            </w:r>
            <w:r>
              <w:rPr>
                <w:noProof/>
                <w:webHidden/>
              </w:rPr>
              <w:fldChar w:fldCharType="end"/>
            </w:r>
          </w:hyperlink>
        </w:p>
        <w:p w14:paraId="028FFAF1" w14:textId="331ABB81" w:rsidR="0012790C" w:rsidRDefault="0012790C">
          <w:pPr>
            <w:pStyle w:val="TOC2"/>
            <w:tabs>
              <w:tab w:val="right" w:leader="dot" w:pos="9350"/>
            </w:tabs>
            <w:rPr>
              <w:rFonts w:asciiTheme="minorHAnsi" w:eastAsiaTheme="minorEastAsia" w:hAnsiTheme="minorHAnsi"/>
              <w:noProof/>
              <w:sz w:val="24"/>
              <w:szCs w:val="24"/>
            </w:rPr>
          </w:pPr>
          <w:hyperlink w:anchor="_Toc214451637" w:history="1">
            <w:r w:rsidRPr="00B1649E">
              <w:rPr>
                <w:rStyle w:val="Hyperlink"/>
                <w:noProof/>
                <w:lang w:val="en-GB"/>
              </w:rPr>
              <w:t>Spain (Centralised vs. Decentralised Governance)</w:t>
            </w:r>
            <w:r>
              <w:rPr>
                <w:noProof/>
                <w:webHidden/>
              </w:rPr>
              <w:tab/>
            </w:r>
            <w:r>
              <w:rPr>
                <w:noProof/>
                <w:webHidden/>
              </w:rPr>
              <w:fldChar w:fldCharType="begin"/>
            </w:r>
            <w:r>
              <w:rPr>
                <w:noProof/>
                <w:webHidden/>
              </w:rPr>
              <w:instrText xml:space="preserve"> PAGEREF _Toc214451637 \h </w:instrText>
            </w:r>
            <w:r>
              <w:rPr>
                <w:noProof/>
                <w:webHidden/>
              </w:rPr>
            </w:r>
            <w:r>
              <w:rPr>
                <w:noProof/>
                <w:webHidden/>
              </w:rPr>
              <w:fldChar w:fldCharType="separate"/>
            </w:r>
            <w:r>
              <w:rPr>
                <w:noProof/>
                <w:webHidden/>
              </w:rPr>
              <w:t>8</w:t>
            </w:r>
            <w:r>
              <w:rPr>
                <w:noProof/>
                <w:webHidden/>
              </w:rPr>
              <w:fldChar w:fldCharType="end"/>
            </w:r>
          </w:hyperlink>
        </w:p>
        <w:p w14:paraId="689A98D6" w14:textId="1B9ECC40" w:rsidR="0012790C" w:rsidRDefault="0012790C">
          <w:pPr>
            <w:pStyle w:val="TOC2"/>
            <w:tabs>
              <w:tab w:val="right" w:leader="dot" w:pos="9350"/>
            </w:tabs>
            <w:rPr>
              <w:rFonts w:asciiTheme="minorHAnsi" w:eastAsiaTheme="minorEastAsia" w:hAnsiTheme="minorHAnsi"/>
              <w:noProof/>
              <w:sz w:val="24"/>
              <w:szCs w:val="24"/>
            </w:rPr>
          </w:pPr>
          <w:hyperlink w:anchor="_Toc214451638" w:history="1">
            <w:r w:rsidRPr="00B1649E">
              <w:rPr>
                <w:rStyle w:val="Hyperlink"/>
                <w:noProof/>
                <w:lang w:val="en-GB"/>
              </w:rPr>
              <w:t>South Korea (Centralised vs. Decentralised Governance)</w:t>
            </w:r>
            <w:r>
              <w:rPr>
                <w:noProof/>
                <w:webHidden/>
              </w:rPr>
              <w:tab/>
            </w:r>
            <w:r>
              <w:rPr>
                <w:noProof/>
                <w:webHidden/>
              </w:rPr>
              <w:fldChar w:fldCharType="begin"/>
            </w:r>
            <w:r>
              <w:rPr>
                <w:noProof/>
                <w:webHidden/>
              </w:rPr>
              <w:instrText xml:space="preserve"> PAGEREF _Toc214451638 \h </w:instrText>
            </w:r>
            <w:r>
              <w:rPr>
                <w:noProof/>
                <w:webHidden/>
              </w:rPr>
            </w:r>
            <w:r>
              <w:rPr>
                <w:noProof/>
                <w:webHidden/>
              </w:rPr>
              <w:fldChar w:fldCharType="separate"/>
            </w:r>
            <w:r>
              <w:rPr>
                <w:noProof/>
                <w:webHidden/>
              </w:rPr>
              <w:t>9</w:t>
            </w:r>
            <w:r>
              <w:rPr>
                <w:noProof/>
                <w:webHidden/>
              </w:rPr>
              <w:fldChar w:fldCharType="end"/>
            </w:r>
          </w:hyperlink>
        </w:p>
        <w:p w14:paraId="0DE626CF" w14:textId="61F7DA32" w:rsidR="0012790C" w:rsidRDefault="0012790C">
          <w:pPr>
            <w:pStyle w:val="TOC2"/>
            <w:tabs>
              <w:tab w:val="right" w:leader="dot" w:pos="9350"/>
            </w:tabs>
            <w:rPr>
              <w:rFonts w:asciiTheme="minorHAnsi" w:eastAsiaTheme="minorEastAsia" w:hAnsiTheme="minorHAnsi"/>
              <w:noProof/>
              <w:sz w:val="24"/>
              <w:szCs w:val="24"/>
            </w:rPr>
          </w:pPr>
          <w:hyperlink w:anchor="_Toc214451639" w:history="1">
            <w:r w:rsidRPr="00B1649E">
              <w:rPr>
                <w:rStyle w:val="Hyperlink"/>
                <w:noProof/>
                <w:lang w:val="en-GB"/>
              </w:rPr>
              <w:t>Canada (Centralised vs. Decentralised Governance)</w:t>
            </w:r>
            <w:r>
              <w:rPr>
                <w:noProof/>
                <w:webHidden/>
              </w:rPr>
              <w:tab/>
            </w:r>
            <w:r>
              <w:rPr>
                <w:noProof/>
                <w:webHidden/>
              </w:rPr>
              <w:fldChar w:fldCharType="begin"/>
            </w:r>
            <w:r>
              <w:rPr>
                <w:noProof/>
                <w:webHidden/>
              </w:rPr>
              <w:instrText xml:space="preserve"> PAGEREF _Toc214451639 \h </w:instrText>
            </w:r>
            <w:r>
              <w:rPr>
                <w:noProof/>
                <w:webHidden/>
              </w:rPr>
            </w:r>
            <w:r>
              <w:rPr>
                <w:noProof/>
                <w:webHidden/>
              </w:rPr>
              <w:fldChar w:fldCharType="separate"/>
            </w:r>
            <w:r>
              <w:rPr>
                <w:noProof/>
                <w:webHidden/>
              </w:rPr>
              <w:t>11</w:t>
            </w:r>
            <w:r>
              <w:rPr>
                <w:noProof/>
                <w:webHidden/>
              </w:rPr>
              <w:fldChar w:fldCharType="end"/>
            </w:r>
          </w:hyperlink>
        </w:p>
        <w:p w14:paraId="516B8E3E" w14:textId="08A4C525" w:rsidR="0012790C" w:rsidRDefault="0012790C">
          <w:pPr>
            <w:pStyle w:val="TOC1"/>
            <w:tabs>
              <w:tab w:val="right" w:leader="dot" w:pos="9350"/>
            </w:tabs>
            <w:rPr>
              <w:rFonts w:asciiTheme="minorHAnsi" w:eastAsiaTheme="minorEastAsia" w:hAnsiTheme="minorHAnsi"/>
              <w:noProof/>
              <w:sz w:val="24"/>
              <w:szCs w:val="24"/>
            </w:rPr>
          </w:pPr>
          <w:hyperlink w:anchor="_Toc214451640" w:history="1">
            <w:r w:rsidRPr="00B1649E">
              <w:rPr>
                <w:rStyle w:val="Hyperlink"/>
                <w:noProof/>
                <w:lang w:val="en-GB"/>
              </w:rPr>
              <w:t>Leadership Styles</w:t>
            </w:r>
            <w:r>
              <w:rPr>
                <w:noProof/>
                <w:webHidden/>
              </w:rPr>
              <w:tab/>
            </w:r>
            <w:r>
              <w:rPr>
                <w:noProof/>
                <w:webHidden/>
              </w:rPr>
              <w:fldChar w:fldCharType="begin"/>
            </w:r>
            <w:r>
              <w:rPr>
                <w:noProof/>
                <w:webHidden/>
              </w:rPr>
              <w:instrText xml:space="preserve"> PAGEREF _Toc214451640 \h </w:instrText>
            </w:r>
            <w:r>
              <w:rPr>
                <w:noProof/>
                <w:webHidden/>
              </w:rPr>
            </w:r>
            <w:r>
              <w:rPr>
                <w:noProof/>
                <w:webHidden/>
              </w:rPr>
              <w:fldChar w:fldCharType="separate"/>
            </w:r>
            <w:r>
              <w:rPr>
                <w:noProof/>
                <w:webHidden/>
              </w:rPr>
              <w:t>12</w:t>
            </w:r>
            <w:r>
              <w:rPr>
                <w:noProof/>
                <w:webHidden/>
              </w:rPr>
              <w:fldChar w:fldCharType="end"/>
            </w:r>
          </w:hyperlink>
        </w:p>
        <w:p w14:paraId="263CBF76" w14:textId="1024B86D" w:rsidR="0012790C" w:rsidRDefault="0012790C">
          <w:pPr>
            <w:pStyle w:val="TOC2"/>
            <w:tabs>
              <w:tab w:val="right" w:leader="dot" w:pos="9350"/>
            </w:tabs>
            <w:rPr>
              <w:rFonts w:asciiTheme="minorHAnsi" w:eastAsiaTheme="minorEastAsia" w:hAnsiTheme="minorHAnsi"/>
              <w:noProof/>
              <w:sz w:val="24"/>
              <w:szCs w:val="24"/>
            </w:rPr>
          </w:pPr>
          <w:hyperlink w:anchor="_Toc214451641" w:history="1">
            <w:r w:rsidRPr="00B1649E">
              <w:rPr>
                <w:rStyle w:val="Hyperlink"/>
                <w:noProof/>
                <w:lang w:val="en-GB"/>
              </w:rPr>
              <w:t>Leadership Styles in Spain</w:t>
            </w:r>
            <w:r>
              <w:rPr>
                <w:noProof/>
                <w:webHidden/>
              </w:rPr>
              <w:tab/>
            </w:r>
            <w:r>
              <w:rPr>
                <w:noProof/>
                <w:webHidden/>
              </w:rPr>
              <w:fldChar w:fldCharType="begin"/>
            </w:r>
            <w:r>
              <w:rPr>
                <w:noProof/>
                <w:webHidden/>
              </w:rPr>
              <w:instrText xml:space="preserve"> PAGEREF _Toc214451641 \h </w:instrText>
            </w:r>
            <w:r>
              <w:rPr>
                <w:noProof/>
                <w:webHidden/>
              </w:rPr>
            </w:r>
            <w:r>
              <w:rPr>
                <w:noProof/>
                <w:webHidden/>
              </w:rPr>
              <w:fldChar w:fldCharType="separate"/>
            </w:r>
            <w:r>
              <w:rPr>
                <w:noProof/>
                <w:webHidden/>
              </w:rPr>
              <w:t>13</w:t>
            </w:r>
            <w:r>
              <w:rPr>
                <w:noProof/>
                <w:webHidden/>
              </w:rPr>
              <w:fldChar w:fldCharType="end"/>
            </w:r>
          </w:hyperlink>
        </w:p>
        <w:p w14:paraId="0389CAAB" w14:textId="5481A8DE" w:rsidR="0012790C" w:rsidRDefault="0012790C">
          <w:pPr>
            <w:pStyle w:val="TOC2"/>
            <w:tabs>
              <w:tab w:val="right" w:leader="dot" w:pos="9350"/>
            </w:tabs>
            <w:rPr>
              <w:rFonts w:asciiTheme="minorHAnsi" w:eastAsiaTheme="minorEastAsia" w:hAnsiTheme="minorHAnsi"/>
              <w:noProof/>
              <w:sz w:val="24"/>
              <w:szCs w:val="24"/>
            </w:rPr>
          </w:pPr>
          <w:hyperlink w:anchor="_Toc214451642" w:history="1">
            <w:r w:rsidRPr="00B1649E">
              <w:rPr>
                <w:rStyle w:val="Hyperlink"/>
                <w:noProof/>
                <w:lang w:val="en-GB"/>
              </w:rPr>
              <w:t>Leadership Styles in South Korea</w:t>
            </w:r>
            <w:r>
              <w:rPr>
                <w:noProof/>
                <w:webHidden/>
              </w:rPr>
              <w:tab/>
            </w:r>
            <w:r>
              <w:rPr>
                <w:noProof/>
                <w:webHidden/>
              </w:rPr>
              <w:fldChar w:fldCharType="begin"/>
            </w:r>
            <w:r>
              <w:rPr>
                <w:noProof/>
                <w:webHidden/>
              </w:rPr>
              <w:instrText xml:space="preserve"> PAGEREF _Toc214451642 \h </w:instrText>
            </w:r>
            <w:r>
              <w:rPr>
                <w:noProof/>
                <w:webHidden/>
              </w:rPr>
            </w:r>
            <w:r>
              <w:rPr>
                <w:noProof/>
                <w:webHidden/>
              </w:rPr>
              <w:fldChar w:fldCharType="separate"/>
            </w:r>
            <w:r>
              <w:rPr>
                <w:noProof/>
                <w:webHidden/>
              </w:rPr>
              <w:t>14</w:t>
            </w:r>
            <w:r>
              <w:rPr>
                <w:noProof/>
                <w:webHidden/>
              </w:rPr>
              <w:fldChar w:fldCharType="end"/>
            </w:r>
          </w:hyperlink>
        </w:p>
        <w:p w14:paraId="5830A975" w14:textId="3E8556F2" w:rsidR="0012790C" w:rsidRDefault="0012790C">
          <w:pPr>
            <w:pStyle w:val="TOC2"/>
            <w:tabs>
              <w:tab w:val="right" w:leader="dot" w:pos="9350"/>
            </w:tabs>
            <w:rPr>
              <w:rFonts w:asciiTheme="minorHAnsi" w:eastAsiaTheme="minorEastAsia" w:hAnsiTheme="minorHAnsi"/>
              <w:noProof/>
              <w:sz w:val="24"/>
              <w:szCs w:val="24"/>
            </w:rPr>
          </w:pPr>
          <w:hyperlink w:anchor="_Toc214451643" w:history="1">
            <w:r w:rsidRPr="00B1649E">
              <w:rPr>
                <w:rStyle w:val="Hyperlink"/>
                <w:noProof/>
                <w:lang w:val="en-GB"/>
              </w:rPr>
              <w:t>Leadership Styles in Canada</w:t>
            </w:r>
            <w:r>
              <w:rPr>
                <w:noProof/>
                <w:webHidden/>
              </w:rPr>
              <w:tab/>
            </w:r>
            <w:r>
              <w:rPr>
                <w:noProof/>
                <w:webHidden/>
              </w:rPr>
              <w:fldChar w:fldCharType="begin"/>
            </w:r>
            <w:r>
              <w:rPr>
                <w:noProof/>
                <w:webHidden/>
              </w:rPr>
              <w:instrText xml:space="preserve"> PAGEREF _Toc214451643 \h </w:instrText>
            </w:r>
            <w:r>
              <w:rPr>
                <w:noProof/>
                <w:webHidden/>
              </w:rPr>
            </w:r>
            <w:r>
              <w:rPr>
                <w:noProof/>
                <w:webHidden/>
              </w:rPr>
              <w:fldChar w:fldCharType="separate"/>
            </w:r>
            <w:r>
              <w:rPr>
                <w:noProof/>
                <w:webHidden/>
              </w:rPr>
              <w:t>15</w:t>
            </w:r>
            <w:r>
              <w:rPr>
                <w:noProof/>
                <w:webHidden/>
              </w:rPr>
              <w:fldChar w:fldCharType="end"/>
            </w:r>
          </w:hyperlink>
        </w:p>
        <w:p w14:paraId="5DE1D534" w14:textId="74E8AA87" w:rsidR="0012790C" w:rsidRDefault="0012790C">
          <w:pPr>
            <w:pStyle w:val="TOC1"/>
            <w:tabs>
              <w:tab w:val="right" w:leader="dot" w:pos="9350"/>
            </w:tabs>
            <w:rPr>
              <w:rFonts w:asciiTheme="minorHAnsi" w:eastAsiaTheme="minorEastAsia" w:hAnsiTheme="minorHAnsi"/>
              <w:noProof/>
              <w:sz w:val="24"/>
              <w:szCs w:val="24"/>
            </w:rPr>
          </w:pPr>
          <w:hyperlink w:anchor="_Toc214451644" w:history="1">
            <w:r w:rsidRPr="00B1649E">
              <w:rPr>
                <w:rStyle w:val="Hyperlink"/>
                <w:noProof/>
                <w:lang w:val="en-GB"/>
              </w:rPr>
              <w:t>Conclusion</w:t>
            </w:r>
            <w:r>
              <w:rPr>
                <w:noProof/>
                <w:webHidden/>
              </w:rPr>
              <w:tab/>
            </w:r>
            <w:r>
              <w:rPr>
                <w:noProof/>
                <w:webHidden/>
              </w:rPr>
              <w:fldChar w:fldCharType="begin"/>
            </w:r>
            <w:r>
              <w:rPr>
                <w:noProof/>
                <w:webHidden/>
              </w:rPr>
              <w:instrText xml:space="preserve"> PAGEREF _Toc214451644 \h </w:instrText>
            </w:r>
            <w:r>
              <w:rPr>
                <w:noProof/>
                <w:webHidden/>
              </w:rPr>
            </w:r>
            <w:r>
              <w:rPr>
                <w:noProof/>
                <w:webHidden/>
              </w:rPr>
              <w:fldChar w:fldCharType="separate"/>
            </w:r>
            <w:r>
              <w:rPr>
                <w:noProof/>
                <w:webHidden/>
              </w:rPr>
              <w:t>16</w:t>
            </w:r>
            <w:r>
              <w:rPr>
                <w:noProof/>
                <w:webHidden/>
              </w:rPr>
              <w:fldChar w:fldCharType="end"/>
            </w:r>
          </w:hyperlink>
        </w:p>
        <w:p w14:paraId="3BBD14B7" w14:textId="4959BFCF" w:rsidR="0012790C" w:rsidRDefault="0012790C">
          <w:pPr>
            <w:pStyle w:val="TOC1"/>
            <w:tabs>
              <w:tab w:val="right" w:leader="dot" w:pos="9350"/>
            </w:tabs>
            <w:rPr>
              <w:rFonts w:asciiTheme="minorHAnsi" w:eastAsiaTheme="minorEastAsia" w:hAnsiTheme="minorHAnsi"/>
              <w:noProof/>
              <w:sz w:val="24"/>
              <w:szCs w:val="24"/>
            </w:rPr>
          </w:pPr>
          <w:hyperlink w:anchor="_Toc214451645" w:history="1">
            <w:r w:rsidRPr="00B1649E">
              <w:rPr>
                <w:rStyle w:val="Hyperlink"/>
                <w:noProof/>
                <w:lang w:val="en-GB"/>
              </w:rPr>
              <w:t>References</w:t>
            </w:r>
            <w:r>
              <w:rPr>
                <w:noProof/>
                <w:webHidden/>
              </w:rPr>
              <w:tab/>
            </w:r>
            <w:r>
              <w:rPr>
                <w:noProof/>
                <w:webHidden/>
              </w:rPr>
              <w:fldChar w:fldCharType="begin"/>
            </w:r>
            <w:r>
              <w:rPr>
                <w:noProof/>
                <w:webHidden/>
              </w:rPr>
              <w:instrText xml:space="preserve"> PAGEREF _Toc214451645 \h </w:instrText>
            </w:r>
            <w:r>
              <w:rPr>
                <w:noProof/>
                <w:webHidden/>
              </w:rPr>
            </w:r>
            <w:r>
              <w:rPr>
                <w:noProof/>
                <w:webHidden/>
              </w:rPr>
              <w:fldChar w:fldCharType="separate"/>
            </w:r>
            <w:r>
              <w:rPr>
                <w:noProof/>
                <w:webHidden/>
              </w:rPr>
              <w:t>18</w:t>
            </w:r>
            <w:r>
              <w:rPr>
                <w:noProof/>
                <w:webHidden/>
              </w:rPr>
              <w:fldChar w:fldCharType="end"/>
            </w:r>
          </w:hyperlink>
        </w:p>
        <w:p w14:paraId="700BDA4E" w14:textId="5FD08EBD" w:rsidR="00740F36" w:rsidRPr="00A90012" w:rsidRDefault="00740F36">
          <w:pPr>
            <w:rPr>
              <w:lang w:val="en-GB"/>
            </w:rPr>
          </w:pPr>
          <w:r w:rsidRPr="00A90012">
            <w:rPr>
              <w:b/>
              <w:bCs/>
              <w:lang w:val="en-GB"/>
            </w:rPr>
            <w:fldChar w:fldCharType="end"/>
          </w:r>
        </w:p>
      </w:sdtContent>
    </w:sdt>
    <w:p w14:paraId="73E3F1E9" w14:textId="77777777" w:rsidR="00740F36" w:rsidRPr="00A90012" w:rsidRDefault="00740F36">
      <w:pPr>
        <w:spacing w:before="0" w:after="160" w:line="259" w:lineRule="auto"/>
        <w:jc w:val="left"/>
        <w:rPr>
          <w:b/>
          <w:bCs/>
          <w:lang w:val="en-GB"/>
        </w:rPr>
      </w:pPr>
      <w:r w:rsidRPr="00A90012">
        <w:rPr>
          <w:lang w:val="en-GB"/>
        </w:rPr>
        <w:br w:type="page"/>
      </w:r>
    </w:p>
    <w:p w14:paraId="1CFC98FB" w14:textId="3CAA7F57" w:rsidR="005270E2" w:rsidRPr="00A90012" w:rsidRDefault="005270E2" w:rsidP="005E672A">
      <w:pPr>
        <w:pStyle w:val="Heading1"/>
        <w:rPr>
          <w:lang w:val="en-GB"/>
        </w:rPr>
      </w:pPr>
      <w:bookmarkStart w:id="0" w:name="_Toc214451631"/>
      <w:r w:rsidRPr="00A90012">
        <w:rPr>
          <w:lang w:val="en-GB"/>
        </w:rPr>
        <w:lastRenderedPageBreak/>
        <w:t>Introduction</w:t>
      </w:r>
      <w:bookmarkEnd w:id="0"/>
    </w:p>
    <w:p w14:paraId="55D91863" w14:textId="77777777" w:rsidR="003F385C" w:rsidRPr="00A90012" w:rsidRDefault="00DE45DC" w:rsidP="003F385C">
      <w:pPr>
        <w:rPr>
          <w:lang w:val="en-GB"/>
        </w:rPr>
      </w:pPr>
      <w:r w:rsidRPr="00A90012">
        <w:rPr>
          <w:lang w:val="en-GB"/>
        </w:rPr>
        <w:t xml:space="preserve">The COVID-19 epidemic led to a global challenge to healthcare systems. It has been evident since the start of the outbreak that not only the supply of medical resources but also the health system governance framework and the way political leaders assembled power would play a decisive role in determining how any particular country would respond to it (Filip et al., 2022). </w:t>
      </w:r>
    </w:p>
    <w:p w14:paraId="1BA4A3E3" w14:textId="4D8C11A3" w:rsidR="005270E2" w:rsidRPr="00A90012" w:rsidRDefault="00DE45DC" w:rsidP="003F385C">
      <w:pPr>
        <w:rPr>
          <w:lang w:val="en-GB"/>
        </w:rPr>
      </w:pPr>
      <w:r w:rsidRPr="00A90012">
        <w:rPr>
          <w:lang w:val="en-GB"/>
        </w:rPr>
        <w:t xml:space="preserve">The centralisation-decentralisation range is a measure of distribution of power, responsibilities and resources within a health system. A centralised system puts the power in the hands of the nation and therefore enables quick, standardised decision making, distribution of resources, and communication between regions. During a crisis, such centralisation may offer accurate command-and-control tools and decrease the disparities in regions (Greer et al., 2021). Conversely, a decentralised system gives a lot of authority to subnational or regional governments who can apply their local knowledge, innovation and flexibility to the responses to the needs of a community (Lopez-Valcarcel &amp; Lopez-Casasnovas,2025). </w:t>
      </w:r>
      <w:r w:rsidR="00563382">
        <w:rPr>
          <w:lang w:val="en-GB"/>
        </w:rPr>
        <w:t xml:space="preserve"> However</w:t>
      </w:r>
      <w:r w:rsidRPr="00A90012">
        <w:rPr>
          <w:lang w:val="en-GB"/>
        </w:rPr>
        <w:t>, decentralisation also comes with its own risks, including poor coordination, disparities in resources capacity, and the possibility of inefficiency in the economic sense because of the weaker economies of scale (OECD, 2020).</w:t>
      </w:r>
    </w:p>
    <w:p w14:paraId="162FFCCE" w14:textId="6689BA53" w:rsidR="005270E2" w:rsidRPr="00A90012" w:rsidRDefault="003F385C" w:rsidP="003F385C">
      <w:pPr>
        <w:rPr>
          <w:lang w:val="en-GB"/>
        </w:rPr>
      </w:pPr>
      <w:r w:rsidRPr="00A90012">
        <w:rPr>
          <w:lang w:val="en-GB"/>
        </w:rPr>
        <w:t>The level of centralisation of many governments changed dynamically during COVID-19. As an illustration, when political actors felt that they can receive credit by making decisive interventions at the national level, they tend to centralise it to receive credit, and subsequently decentralise the power to avoid blame when forcing unpopular restrictions (WHO Team, 2021). This struggle of power among the levels of government highlights the fact that centralisation and decentralisation are not rigid characteristics but dynamic processes especially in management of crisis.</w:t>
      </w:r>
    </w:p>
    <w:p w14:paraId="2E2FD9AF" w14:textId="27146CB1" w:rsidR="003F385C" w:rsidRPr="00A90012" w:rsidRDefault="003F385C" w:rsidP="003F385C">
      <w:pPr>
        <w:rPr>
          <w:lang w:val="en-GB"/>
        </w:rPr>
      </w:pPr>
      <w:r w:rsidRPr="00A90012">
        <w:rPr>
          <w:lang w:val="en-GB"/>
        </w:rPr>
        <w:t>The leadership role is also important. The Leadership Theory is a perspective through which one can view the development of meaning by decision-makers, coordination, and coping with uncertainty. All the mentioned leadership styles have been witnessed throughout the pandemic, and the various leaders have relied on various leadership styles to mobilise trust, compliance, and innovation (Sazzad et al., 2021). The communication methods of political leaders, such as empathetic, science-based, or authoritative, were also critical in influencing the reaction of the public, legitimising policy, and social cohesion (M</w:t>
      </w:r>
      <w:r w:rsidR="00204B6D">
        <w:rPr>
          <w:lang w:val="en-GB"/>
        </w:rPr>
        <w:t>DPI</w:t>
      </w:r>
      <w:r w:rsidRPr="00A90012">
        <w:rPr>
          <w:lang w:val="en-GB"/>
        </w:rPr>
        <w:t xml:space="preserve">, 2024). </w:t>
      </w:r>
    </w:p>
    <w:p w14:paraId="146F4E61" w14:textId="04578FAF" w:rsidR="005270E2" w:rsidRPr="00A90012" w:rsidRDefault="003F385C" w:rsidP="003F385C">
      <w:pPr>
        <w:rPr>
          <w:lang w:val="en-GB"/>
        </w:rPr>
      </w:pPr>
      <w:r w:rsidRPr="00A90012">
        <w:rPr>
          <w:lang w:val="en-GB"/>
        </w:rPr>
        <w:t xml:space="preserve">This report will conduct a comparative study of Spain, South Korea, and Canada, with a key issue to identify how the structure of their health systems addressing the COVID-19, being either centralised or decentralised, contributed to the response, and how the roles played by key leaders influenced, shaped, and legitimised this response through their own leadership styles. The </w:t>
      </w:r>
      <w:r w:rsidRPr="00A90012">
        <w:rPr>
          <w:lang w:val="en-GB"/>
        </w:rPr>
        <w:lastRenderedPageBreak/>
        <w:t>comparison between these cases helps the analysis to pinpoint the interaction between the structure of governance and the leadership approaches, which contribute to the determination of the outcome of the public health, the speed of decision making, equity, and resiliency in crisis periods.</w:t>
      </w:r>
    </w:p>
    <w:p w14:paraId="0D1E9B8F" w14:textId="77777777" w:rsidR="005270E2" w:rsidRPr="00A90012" w:rsidRDefault="005270E2" w:rsidP="005E672A">
      <w:pPr>
        <w:pStyle w:val="Heading1"/>
        <w:rPr>
          <w:lang w:val="en-GB"/>
        </w:rPr>
      </w:pPr>
      <w:bookmarkStart w:id="1" w:name="_Toc214451632"/>
      <w:r w:rsidRPr="00204B6D">
        <w:rPr>
          <w:lang w:val="en-GB"/>
        </w:rPr>
        <w:t>Rich Picture</w:t>
      </w:r>
      <w:bookmarkEnd w:id="1"/>
    </w:p>
    <w:p w14:paraId="6A4278E4" w14:textId="0AD1B9BC" w:rsidR="005270E2" w:rsidRPr="00A90012" w:rsidRDefault="00383F06" w:rsidP="00383F06">
      <w:pPr>
        <w:rPr>
          <w:lang w:val="en-GB"/>
        </w:rPr>
      </w:pPr>
      <w:r w:rsidRPr="00A90012">
        <w:rPr>
          <w:lang w:val="en-GB"/>
        </w:rPr>
        <w:t xml:space="preserve">A Rich Picture is a graphical tool employed in the Soft Systems Methodology (SSM) in order to depict multidimensional, dynamic and tricky circumstances. Rich Picture approach is presented as the way of mapping the situation of the COVID-19 response in Spain, South Korea, and Canada. Rich pictures give an easy-to-understand, holistic view of a situation through the integration of symbols, sketches and brief textual components to represent relationships, stakeholders, tensions and flows of influence in a system (Checkland </w:t>
      </w:r>
      <w:r w:rsidR="00204B6D">
        <w:rPr>
          <w:lang w:val="en-GB"/>
        </w:rPr>
        <w:t>&amp;</w:t>
      </w:r>
      <w:r w:rsidRPr="00A90012">
        <w:rPr>
          <w:lang w:val="en-GB"/>
        </w:rPr>
        <w:t xml:space="preserve"> Scholes, 1999). In contrast to linear descriptions, Rich Pictures permit the simultaneous display of multiple perspectives, which makes them especially appropriate in terms of comprehending the interconnected public health, political, and social determinants that conditioned the ways of responding to the pandemic.</w:t>
      </w:r>
    </w:p>
    <w:p w14:paraId="4AB086DA" w14:textId="77777777" w:rsidR="00383F06" w:rsidRPr="00A90012" w:rsidRDefault="00383F06" w:rsidP="00383F06">
      <w:pPr>
        <w:rPr>
          <w:lang w:val="en-GB"/>
        </w:rPr>
      </w:pPr>
      <w:r w:rsidRPr="00A90012">
        <w:rPr>
          <w:lang w:val="en-GB"/>
        </w:rPr>
        <w:t xml:space="preserve">The importance of using Rich Pictures in this assignment is that it reveals the complexity that exists when dealing with the agenda of public health crises. COVID-19 consisted not only of the lack of epidemiological certainty but also of the need to make decisions quickly, different leadership activities, limitations of the healthcare system, and changes in the expectations of the masses. The rich pictures assist in integrating these interconnected components and represent them in one and unified diagram. According to Bell and Morse (2013), it is important to note that Rich Pictures enable a debate and the development of an all-encompassing and holistic view of complex real-world problems because they help analysts look at the big picture and not at individual parts of the system. </w:t>
      </w:r>
    </w:p>
    <w:p w14:paraId="0067091B" w14:textId="713225D8" w:rsidR="005270E2" w:rsidRPr="00A90012" w:rsidRDefault="00383F06" w:rsidP="00383F06">
      <w:pPr>
        <w:rPr>
          <w:lang w:val="en-GB"/>
        </w:rPr>
      </w:pPr>
      <w:r w:rsidRPr="00A90012">
        <w:rPr>
          <w:lang w:val="en-GB"/>
        </w:rPr>
        <w:t>Rich Pictures assist in illuminating the key contextual issues including the level of centralisation or decentralisation of health governance, players in the policy process, the capacities of its people in maintaining good health, and the leadership styles that shaped the national response. These illustrations allow Rich Pictures to be used in a more precise comprehension of how exact structures and leadership behaviours influenced the result in the first underperforming and later effective vaccination strategy in Spain, the highly coordinated and transparent one in South Korea, and the decentralised and regionally diverse response in Canada.</w:t>
      </w:r>
    </w:p>
    <w:p w14:paraId="60D9A16E" w14:textId="50732279" w:rsidR="00D24719" w:rsidRPr="00A90012" w:rsidRDefault="000D09B6" w:rsidP="005E672A">
      <w:pPr>
        <w:pStyle w:val="Heading2"/>
        <w:rPr>
          <w:lang w:val="en-GB"/>
        </w:rPr>
      </w:pPr>
      <w:bookmarkStart w:id="2" w:name="_Toc214451633"/>
      <w:r w:rsidRPr="00A90012">
        <w:rPr>
          <w:lang w:val="en-GB"/>
        </w:rPr>
        <w:t>Spain</w:t>
      </w:r>
      <w:r w:rsidR="005E672A" w:rsidRPr="00A90012">
        <w:rPr>
          <w:lang w:val="en-GB"/>
        </w:rPr>
        <w:t xml:space="preserve"> Rich Picture</w:t>
      </w:r>
      <w:bookmarkEnd w:id="2"/>
    </w:p>
    <w:p w14:paraId="77E66A62" w14:textId="3AE86AB8" w:rsidR="000D09B6" w:rsidRPr="00A90012" w:rsidRDefault="000D09B6" w:rsidP="005E672A">
      <w:pPr>
        <w:rPr>
          <w:lang w:val="en-GB"/>
        </w:rPr>
      </w:pPr>
      <w:r w:rsidRPr="00A90012">
        <w:rPr>
          <w:noProof/>
          <w:lang w:val="en-GB"/>
        </w:rPr>
        <w:lastRenderedPageBreak/>
        <w:drawing>
          <wp:inline distT="0" distB="0" distL="0" distR="0" wp14:anchorId="0152F68E" wp14:editId="7CBD1813">
            <wp:extent cx="2555730" cy="1724025"/>
            <wp:effectExtent l="0" t="0" r="0" b="0"/>
            <wp:docPr id="1808805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05731" name=""/>
                    <pic:cNvPicPr/>
                  </pic:nvPicPr>
                  <pic:blipFill>
                    <a:blip r:embed="rId8"/>
                    <a:stretch>
                      <a:fillRect/>
                    </a:stretch>
                  </pic:blipFill>
                  <pic:spPr>
                    <a:xfrm>
                      <a:off x="0" y="0"/>
                      <a:ext cx="2564183" cy="1729727"/>
                    </a:xfrm>
                    <a:prstGeom prst="rect">
                      <a:avLst/>
                    </a:prstGeom>
                  </pic:spPr>
                </pic:pic>
              </a:graphicData>
            </a:graphic>
          </wp:inline>
        </w:drawing>
      </w:r>
    </w:p>
    <w:p w14:paraId="5E6FC98B" w14:textId="5D67B74E" w:rsidR="005E672A" w:rsidRPr="00A90012" w:rsidRDefault="005553B4" w:rsidP="005553B4">
      <w:pPr>
        <w:rPr>
          <w:lang w:val="en-GB"/>
        </w:rPr>
      </w:pPr>
      <w:r w:rsidRPr="00A90012">
        <w:rPr>
          <w:lang w:val="en-GB"/>
        </w:rPr>
        <w:t xml:space="preserve">The COVID-19 response of Spain in the form of a visual Rich Picture summarizes the main factors which affected the initial experience of the COVID-19 in Spain, such as the rapid transmission of the virus, governmental lag, and the stress on the health care system. Spain is one of the countries that had one of the most rapid initial outbreaks in Europe as the number of infections has spiked in February and March 2020, overwhelming hospitals and compelling the country to lock down the entire country (Aucejo et al., 2020). As pointed out in the diagram, government communications and the belief that early interventions were too minimal too late interacted with the strains in the health care system and the public alarm. The inclusion of such elements within one visual format is consistent with the intention of Rich Pictures, which are intended to represent intertwined, complex issues in a holistic and easily understandable manner (Checkland </w:t>
      </w:r>
      <w:r w:rsidR="00204B6D">
        <w:rPr>
          <w:lang w:val="en-GB"/>
        </w:rPr>
        <w:t>&amp;</w:t>
      </w:r>
      <w:r w:rsidRPr="00A90012">
        <w:rPr>
          <w:lang w:val="en-GB"/>
        </w:rPr>
        <w:t xml:space="preserve"> Scholes, 1999). The approach enables the reader to understand the special issues and policy reaction that are peculiar to Spain within a short amount of time, which can be used to compare with other nations by describing the linkages among the stakeholders, timeframes, and system limits (Bell </w:t>
      </w:r>
      <w:r w:rsidR="00204B6D">
        <w:rPr>
          <w:lang w:val="en-GB"/>
        </w:rPr>
        <w:t>&amp;</w:t>
      </w:r>
      <w:r w:rsidRPr="00A90012">
        <w:rPr>
          <w:lang w:val="en-GB"/>
        </w:rPr>
        <w:t xml:space="preserve"> Morse, 2013).</w:t>
      </w:r>
    </w:p>
    <w:p w14:paraId="5C5B8012" w14:textId="03408D0C" w:rsidR="000D09B6" w:rsidRPr="00A90012" w:rsidRDefault="000D09B6" w:rsidP="005E672A">
      <w:pPr>
        <w:pStyle w:val="Heading2"/>
        <w:rPr>
          <w:lang w:val="en-GB"/>
        </w:rPr>
      </w:pPr>
      <w:bookmarkStart w:id="3" w:name="_Toc214451634"/>
      <w:r w:rsidRPr="00A90012">
        <w:rPr>
          <w:lang w:val="en-GB"/>
        </w:rPr>
        <w:t>South Korea</w:t>
      </w:r>
      <w:r w:rsidR="005E672A" w:rsidRPr="00A90012">
        <w:rPr>
          <w:lang w:val="en-GB"/>
        </w:rPr>
        <w:t xml:space="preserve"> Rich Picture</w:t>
      </w:r>
      <w:bookmarkEnd w:id="3"/>
    </w:p>
    <w:p w14:paraId="626283BE" w14:textId="4D57312A" w:rsidR="000D09B6" w:rsidRPr="00A90012" w:rsidRDefault="000D09B6" w:rsidP="005E672A">
      <w:pPr>
        <w:rPr>
          <w:lang w:val="en-GB"/>
        </w:rPr>
      </w:pPr>
      <w:r w:rsidRPr="00A90012">
        <w:rPr>
          <w:noProof/>
          <w:lang w:val="en-GB"/>
        </w:rPr>
        <w:drawing>
          <wp:inline distT="0" distB="0" distL="0" distR="0" wp14:anchorId="2505EDE7" wp14:editId="0F6BF85B">
            <wp:extent cx="2959894" cy="2152650"/>
            <wp:effectExtent l="0" t="0" r="0" b="0"/>
            <wp:docPr id="1031360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60331" name=""/>
                    <pic:cNvPicPr/>
                  </pic:nvPicPr>
                  <pic:blipFill>
                    <a:blip r:embed="rId9"/>
                    <a:stretch>
                      <a:fillRect/>
                    </a:stretch>
                  </pic:blipFill>
                  <pic:spPr>
                    <a:xfrm>
                      <a:off x="0" y="0"/>
                      <a:ext cx="2959894" cy="2152650"/>
                    </a:xfrm>
                    <a:prstGeom prst="rect">
                      <a:avLst/>
                    </a:prstGeom>
                  </pic:spPr>
                </pic:pic>
              </a:graphicData>
            </a:graphic>
          </wp:inline>
        </w:drawing>
      </w:r>
    </w:p>
    <w:p w14:paraId="3257D1C8" w14:textId="77777777" w:rsidR="005553B4" w:rsidRPr="00A90012" w:rsidRDefault="005553B4" w:rsidP="005553B4">
      <w:pPr>
        <w:rPr>
          <w:lang w:val="en-GB"/>
        </w:rPr>
      </w:pPr>
      <w:r w:rsidRPr="00A90012">
        <w:rPr>
          <w:lang w:val="en-GB"/>
        </w:rPr>
        <w:lastRenderedPageBreak/>
        <w:t xml:space="preserve">The Rich Picture that depicted the response to COVID-19 in South Korea is a visual summary of the main factors that led to one of the most successful early pandemic tactics in the world. The diagram identifies how South Korea has integrated both institutional capacity and cultural factors to manage the spread of the virus by mapping such features as rapid containment measures, widespread testing and contact tracing, early adoption of masks, and high levels of public cooperation. Korea Disease Control and Prevention Agency (KDCA) and robust central government coordination facilitated the rapid implementation of aggressive testing, tracing and isolation protocols in South Korea within weeks of the first cases being detected (Lee and Lee, 2020). These containment first line measures avoided the exponential growth and allowed to keep down the mortality levels as compared to other nations in the OECD. </w:t>
      </w:r>
    </w:p>
    <w:p w14:paraId="1C02FF85" w14:textId="53B32F0F" w:rsidR="005E672A" w:rsidRPr="00A90012" w:rsidRDefault="005553B4" w:rsidP="005553B4">
      <w:pPr>
        <w:rPr>
          <w:lang w:val="en-GB"/>
        </w:rPr>
      </w:pPr>
      <w:r w:rsidRPr="00A90012">
        <w:rPr>
          <w:lang w:val="en-GB"/>
        </w:rPr>
        <w:t xml:space="preserve">One of the critical aspects that were illustrated in the Rich Picture is the early and widespread use of face masks, which had a major impact on the transmission control. The collectivist social standards of South Korea helped the society to accept such social practices of public health, such as the use of masks, contact tracing through the internet, and adherence to quarantine policies, quickly. This cultural responsiveness greatly contrasted with the success of South Korea as opposed to more individualistic societies, which opposed mask mandates. The help of the population was also enhanced by the presence of open communication among the governmental authorities, which highlighted transparency, information sharing, and messaging about health (Park et al., 2021). The benefits of visualising these interrelated dynamics with the help of a Rich Picture are that it can depict the whole system interactions of governance, culture, people behaviour, and system capacity in order to generate a sufficient response (Checkland </w:t>
      </w:r>
      <w:r w:rsidR="00204B6D">
        <w:rPr>
          <w:lang w:val="en-GB"/>
        </w:rPr>
        <w:t>&amp;</w:t>
      </w:r>
      <w:r w:rsidRPr="00A90012">
        <w:rPr>
          <w:lang w:val="en-GB"/>
        </w:rPr>
        <w:t xml:space="preserve"> Scholes, 1999).</w:t>
      </w:r>
    </w:p>
    <w:p w14:paraId="0F6FB9C9" w14:textId="3ADBD097" w:rsidR="000D09B6" w:rsidRPr="00A90012" w:rsidRDefault="000D09B6" w:rsidP="005E672A">
      <w:pPr>
        <w:pStyle w:val="Heading2"/>
        <w:rPr>
          <w:lang w:val="en-GB"/>
        </w:rPr>
      </w:pPr>
      <w:bookmarkStart w:id="4" w:name="_Toc214451635"/>
      <w:r w:rsidRPr="00A90012">
        <w:rPr>
          <w:lang w:val="en-GB"/>
        </w:rPr>
        <w:t>Canada</w:t>
      </w:r>
      <w:r w:rsidR="005E672A" w:rsidRPr="00A90012">
        <w:rPr>
          <w:lang w:val="en-GB"/>
        </w:rPr>
        <w:t xml:space="preserve"> Rich Picture</w:t>
      </w:r>
      <w:bookmarkEnd w:id="4"/>
    </w:p>
    <w:p w14:paraId="5792F3D5" w14:textId="2EF2B282" w:rsidR="000D09B6" w:rsidRPr="00A90012" w:rsidRDefault="000D09B6" w:rsidP="005E672A">
      <w:pPr>
        <w:rPr>
          <w:lang w:val="en-GB"/>
        </w:rPr>
      </w:pPr>
      <w:r w:rsidRPr="00A90012">
        <w:rPr>
          <w:noProof/>
          <w:lang w:val="en-GB"/>
        </w:rPr>
        <w:drawing>
          <wp:inline distT="0" distB="0" distL="0" distR="0" wp14:anchorId="2FB6E43E" wp14:editId="69AD2C91">
            <wp:extent cx="2200275" cy="2161417"/>
            <wp:effectExtent l="0" t="0" r="0" b="0"/>
            <wp:docPr id="2058210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210365" name=""/>
                    <pic:cNvPicPr/>
                  </pic:nvPicPr>
                  <pic:blipFill>
                    <a:blip r:embed="rId10"/>
                    <a:stretch>
                      <a:fillRect/>
                    </a:stretch>
                  </pic:blipFill>
                  <pic:spPr>
                    <a:xfrm>
                      <a:off x="0" y="0"/>
                      <a:ext cx="2204622" cy="2165687"/>
                    </a:xfrm>
                    <a:prstGeom prst="rect">
                      <a:avLst/>
                    </a:prstGeom>
                  </pic:spPr>
                </pic:pic>
              </a:graphicData>
            </a:graphic>
          </wp:inline>
        </w:drawing>
      </w:r>
    </w:p>
    <w:p w14:paraId="3AB4A979" w14:textId="56B74040" w:rsidR="00235C08" w:rsidRPr="00A90012" w:rsidRDefault="005553B4" w:rsidP="005553B4">
      <w:pPr>
        <w:rPr>
          <w:lang w:val="en-GB"/>
        </w:rPr>
      </w:pPr>
      <w:r w:rsidRPr="00A90012">
        <w:rPr>
          <w:lang w:val="en-GB"/>
        </w:rPr>
        <w:t xml:space="preserve">The above rich picture gives a visualisation of the response to COVID-19 in Canada by the country, as it encompasses the key elements of the national response, such as the measures taken by the populace to address the virus and the resulting effects on the economy; and the strains on the healthcare system. The decentralised character of the Canadian health system has seen the implementation of public health measures including lockdowns, the use of masks, and physical distancing across provinces with provincial governments having high levels of autonomy to respond to the local conditions (Cotton et al., 2025). There are also economic impacts identified in the diagram, as these were federal and provincial interventions in the form of wage subsidies and emergency financial support programs like the Canada Emergency Response Benefit (CERB), which helped to alleviate the impact of lockdowns on both individuals and businesses. The healthcare system component depicts the persistent forces, such as the hospital capacity issues, ICU overload, staffing, and logistical problems with distributing resources, which were exacerbated by the challenges of coordinating between the federal and provincial governments (Government of Canada, 2024). </w:t>
      </w:r>
      <w:r w:rsidR="00235C08" w:rsidRPr="00A90012">
        <w:rPr>
          <w:lang w:val="en-GB"/>
        </w:rPr>
        <w:t xml:space="preserve"> </w:t>
      </w:r>
    </w:p>
    <w:p w14:paraId="577ADFAC" w14:textId="5DA9A28B" w:rsidR="00EA4280" w:rsidRPr="00A90012" w:rsidRDefault="00EA4280" w:rsidP="005E672A">
      <w:pPr>
        <w:pStyle w:val="Heading1"/>
        <w:rPr>
          <w:lang w:val="en-GB"/>
        </w:rPr>
      </w:pPr>
      <w:bookmarkStart w:id="5" w:name="_Toc214451636"/>
      <w:r w:rsidRPr="00A90012">
        <w:rPr>
          <w:lang w:val="en-GB"/>
        </w:rPr>
        <w:t>Centralised and Decentralised Health System Structures</w:t>
      </w:r>
      <w:bookmarkEnd w:id="5"/>
    </w:p>
    <w:p w14:paraId="1532DF67" w14:textId="77777777" w:rsidR="00F74986" w:rsidRPr="00A90012" w:rsidRDefault="00F74986" w:rsidP="00F74986">
      <w:pPr>
        <w:rPr>
          <w:lang w:val="en-GB"/>
        </w:rPr>
      </w:pPr>
      <w:r w:rsidRPr="00A90012">
        <w:rPr>
          <w:lang w:val="en-GB"/>
        </w:rPr>
        <w:t xml:space="preserve">Centralisation and decentralisation are two concepts used in the governance of the health system, which are used to refer to the distribution of authority, decision making power and control of resources among various levels of governments. A centralised health system gives the central government control over the key decisions on policies, resources distribution and emergencies hence a uniform set of decisions. Conversely, a decentralised health system gives extensive powers to regional, provincial or local governments so that they can implement health policies and interventions that are responsive to local conditions (Saltman, 2006). </w:t>
      </w:r>
    </w:p>
    <w:p w14:paraId="7A42A13A" w14:textId="11987377" w:rsidR="00EA4280" w:rsidRPr="00A90012" w:rsidRDefault="00F74986" w:rsidP="00F74986">
      <w:pPr>
        <w:rPr>
          <w:lang w:val="en-GB"/>
        </w:rPr>
      </w:pPr>
      <w:r w:rsidRPr="00A90012">
        <w:rPr>
          <w:lang w:val="en-GB"/>
        </w:rPr>
        <w:t xml:space="preserve">Coordination of decision-making in centralised systems is usually facilitated by national ministries of health or other similar organisations. This institution allows fast, unified response in emergency situations since such policies as lockdowns, testing measures, and vaccine distribution can be adopted in all locations consistently. Greer et al. (2021) assert that centralisation simplifies the process by enabling uniformity and ease of communication as well as mobilisation of resources during public health emergencies. These systems enjoy the economies of scale, power of procurement at a national level and less policy fragmentation. </w:t>
      </w:r>
      <w:r w:rsidR="00563382">
        <w:rPr>
          <w:lang w:val="en-GB"/>
        </w:rPr>
        <w:t xml:space="preserve"> However</w:t>
      </w:r>
      <w:r w:rsidRPr="00A90012">
        <w:rPr>
          <w:lang w:val="en-GB"/>
        </w:rPr>
        <w:t>, centralisation may also cause issues, including the decreased responsiveness to the local epidemiological variations and the slowness of the innovation at the local level because of the top-down rigidity (Greer et al., 2016).</w:t>
      </w:r>
    </w:p>
    <w:p w14:paraId="69302D26" w14:textId="2764CBCD" w:rsidR="00EA4280" w:rsidRPr="00A90012" w:rsidRDefault="00F74986" w:rsidP="00F74986">
      <w:pPr>
        <w:rPr>
          <w:lang w:val="en-GB"/>
        </w:rPr>
      </w:pPr>
      <w:r w:rsidRPr="00A90012">
        <w:rPr>
          <w:lang w:val="en-GB"/>
        </w:rPr>
        <w:t xml:space="preserve">Decentralised systems, on the contrary, share power with the subnational levels, including provinces, autonomous communities, or states, which have a great role in approving healthcare delivery, surveillance of the state of health, and managing a crisis (OECD, 2020). This will enable sensitivity to local demands and can promote policy design innovation, since regional governments will be able to implement both measures that are specific to epidemiological patterns in their area. Decentralisation would empower legitimacy and compliance because it incorporates local actors that are familiar with community realities (Faguet, 2014). </w:t>
      </w:r>
      <w:r w:rsidR="00563382">
        <w:rPr>
          <w:lang w:val="en-GB"/>
        </w:rPr>
        <w:t xml:space="preserve"> However</w:t>
      </w:r>
      <w:r w:rsidRPr="00A90012">
        <w:rPr>
          <w:lang w:val="en-GB"/>
        </w:rPr>
        <w:t>, there are also disadvantages to the decentralised governance, such as the uneven policy approaches, the unequal resource ability of different regions, and the inability to coordinate the response to the crisis on a jurisdictional level (Greer et al., 2021). According to the OECD (2020), there can be serious problems in coordination in the form of decentralised systems, especially in case of a crisis that moves at the speed of light and is to be fought with the same standards.</w:t>
      </w:r>
    </w:p>
    <w:p w14:paraId="7840E70A" w14:textId="3DCD7497" w:rsidR="00EA4280" w:rsidRPr="00A90012" w:rsidRDefault="00F74986" w:rsidP="00F74986">
      <w:pPr>
        <w:rPr>
          <w:lang w:val="en-GB"/>
        </w:rPr>
      </w:pPr>
      <w:r w:rsidRPr="00A90012">
        <w:rPr>
          <w:lang w:val="en-GB"/>
        </w:rPr>
        <w:t>The debate on the centralised and decentralised systems was particularly acute during the COVID-19 pandemic. It was through governance structure that the response speed of countries, the degree of policy transmission and communication effectiveness of health systems could respond to a rise in demand in hospitals. Since, as Greer et al. (2021) posit, it is impossible to discuss the ability of a nation to effectively respond to a crisis like COVID-19 without understanding the degree of centralisation within a health system, since the power of political actors is strategically transferred, centralising to take credit in the action or decentralising to spread blame on unpopular restrictions.</w:t>
      </w:r>
    </w:p>
    <w:p w14:paraId="5B3F738D" w14:textId="77777777" w:rsidR="00EA4280" w:rsidRPr="00A90012" w:rsidRDefault="00EA4280" w:rsidP="005E672A">
      <w:pPr>
        <w:pStyle w:val="Heading2"/>
        <w:rPr>
          <w:lang w:val="en-GB"/>
        </w:rPr>
      </w:pPr>
      <w:bookmarkStart w:id="6" w:name="_Toc214451637"/>
      <w:r w:rsidRPr="00A90012">
        <w:rPr>
          <w:lang w:val="en-GB"/>
        </w:rPr>
        <w:t>Spain (Centralised vs. Decentralised Governance)</w:t>
      </w:r>
      <w:bookmarkEnd w:id="6"/>
    </w:p>
    <w:p w14:paraId="2C40D5FE" w14:textId="1DE8FCB1" w:rsidR="00EA4280" w:rsidRPr="00A90012" w:rsidRDefault="000663D3" w:rsidP="000663D3">
      <w:pPr>
        <w:rPr>
          <w:lang w:val="en-GB"/>
        </w:rPr>
      </w:pPr>
      <w:r w:rsidRPr="00A90012">
        <w:rPr>
          <w:lang w:val="en-GB"/>
        </w:rPr>
        <w:t>The COVID-19 response in Spain was significantly influenced by the highly decentralised health government system, where the Autonomous Communities (ACs) occupy significant powers in the areas of healthcare delivery, planning of the work of the public health, and managing resources. The 17 ACs in Spain have been engaged in the majority of operational tasks in their health systems such as staffing, hospital administration, epidemiological surveillance, and crisis preparedness since the 1986 General Health Law and the subsequent devolution reforms, with the central government having limited coordinating and regulatory functions (Costa-Font &amp; Greer, 2016). Such a distribution indicates the Spanish political interest in the autonomy of regions and, at the same time, stipulates organizational complexity, particularly when quick public health crises take place.</w:t>
      </w:r>
    </w:p>
    <w:p w14:paraId="4E5E4F15" w14:textId="0378B58A" w:rsidR="00EA4280" w:rsidRPr="00A90012" w:rsidRDefault="000663D3" w:rsidP="000663D3">
      <w:pPr>
        <w:rPr>
          <w:lang w:val="en-GB"/>
        </w:rPr>
      </w:pPr>
      <w:r w:rsidRPr="00A90012">
        <w:rPr>
          <w:lang w:val="en-GB"/>
        </w:rPr>
        <w:t>In the case of the COVID-19 outbreak in early 2020, the decentralisation of the Spanish system had a strong effect on the pace, consistency, and efficiency of the response. First, there was no national command to coordinate decisions and uneven regional responses to the crisis since the infections were quickly spreading to different communities. The epidemiological surveillance capacity, the ICU capacity, the stocks of essential items like PPE made regions unequally vulnerable across the country (Aucejo et al., 2020). In March 2020, the government of Spain used a declaration of a state of alarm to temporarily re-centralise power, allowing the country to have consistent lockdown policies. Although the move enhanced coordination, the sudden change also revealed weakness of the previous system of decentralisation, such as insufficiently financed regional health systems and the national systems of emergency oversight (Greer et al., 2021).</w:t>
      </w:r>
    </w:p>
    <w:p w14:paraId="390E5558" w14:textId="77777777" w:rsidR="000663D3" w:rsidRPr="00A90012" w:rsidRDefault="000663D3" w:rsidP="000663D3">
      <w:pPr>
        <w:rPr>
          <w:lang w:val="en-GB"/>
        </w:rPr>
      </w:pPr>
      <w:r w:rsidRPr="00A90012">
        <w:rPr>
          <w:lang w:val="en-GB"/>
        </w:rPr>
        <w:t xml:space="preserve">The weakness of the system in the cross-regional coordination capacity was among the main issues that the pandemic disclosed. According to research, the model of decentralisation in Spain did not have powerful tools to share data, harmonise epidemiological criterion, or uniformly conduct containment strategies (Arrazola et al., 2025). The geographical disparity in testing procedures, contact-tracing activities, and containment measures also added to the delays in outbreak detection and the decrease in collective action. Furthermore, historical underinvestment in certain areas intensified disparities in hospital capacity and workforce supply, and it proved that fiscal decentralisation in the absence of central guardianship causes resilience to be undermined (OECD, 2020). </w:t>
      </w:r>
    </w:p>
    <w:p w14:paraId="6B88DBD9" w14:textId="38A1FA5B" w:rsidR="00EA4280" w:rsidRPr="00A90012" w:rsidRDefault="000663D3" w:rsidP="000663D3">
      <w:pPr>
        <w:rPr>
          <w:lang w:val="en-GB"/>
        </w:rPr>
      </w:pPr>
      <w:r w:rsidRPr="00A90012">
        <w:rPr>
          <w:lang w:val="en-GB"/>
        </w:rPr>
        <w:t>Although they might have drawn these difficulties, this also provided some benefits of decentralisation in later phases of the pandemic. With the end of the national lockdown, ACs restored their powers and designed interventions according to their needs, like the restriction of mobility, the use of masks or the organization of vaccinations. In other areas, they adopted new digital tracing or targeted containment strategies, which shows how decentralised governance may be adaptive with proper technical capacity (Fernandez-Bermejo, 2021).</w:t>
      </w:r>
    </w:p>
    <w:p w14:paraId="73C0F83F" w14:textId="77777777" w:rsidR="00776988" w:rsidRPr="00A90012" w:rsidRDefault="00776988" w:rsidP="005E672A">
      <w:pPr>
        <w:pStyle w:val="Heading2"/>
        <w:rPr>
          <w:lang w:val="en-GB"/>
        </w:rPr>
      </w:pPr>
      <w:bookmarkStart w:id="7" w:name="_Toc214451638"/>
      <w:r w:rsidRPr="00A90012">
        <w:rPr>
          <w:lang w:val="en-GB"/>
        </w:rPr>
        <w:t>South Korea (Centralised vs. Decentralised Governance)</w:t>
      </w:r>
      <w:bookmarkEnd w:id="7"/>
    </w:p>
    <w:p w14:paraId="4D008199" w14:textId="1308650E" w:rsidR="00776988" w:rsidRPr="00A90012" w:rsidRDefault="000663D3" w:rsidP="000663D3">
      <w:pPr>
        <w:rPr>
          <w:lang w:val="en-GB"/>
        </w:rPr>
      </w:pPr>
      <w:r w:rsidRPr="00A90012">
        <w:rPr>
          <w:lang w:val="en-GB"/>
        </w:rPr>
        <w:t>The response of South Korea to COVID-19 was conditioned by one of the most centralised and well-coordinated governance systems that facilitated a rapid, homogenous, and professionally informed decision-making. South Korea has a centralised approach to health governance unlike the decentralised model where power is decentralised, the power of health governance in South Korea is concentrated in three main institutions of the national institutions such as the Korea Disease Control and Prevention Agency (KDCA), the Ministry of Health and Welfare (MoHW), and the Office of the Prime Minister. They are the institutions that assume leading roles in the management of infectious diseases, and the KDCA received augmented powers after the 2015 MERS outbreak, an incident that led to the substantial changes to be made to enhance central coordination, data sharing, and emergency response capabilities (Kim, 2024).</w:t>
      </w:r>
    </w:p>
    <w:p w14:paraId="27789609" w14:textId="33F87BC7" w:rsidR="00776988" w:rsidRPr="00A90012" w:rsidRDefault="000663D3" w:rsidP="000663D3">
      <w:pPr>
        <w:rPr>
          <w:lang w:val="en-GB"/>
        </w:rPr>
      </w:pPr>
      <w:r w:rsidRPr="00A90012">
        <w:rPr>
          <w:lang w:val="en-GB"/>
        </w:rPr>
        <w:t>This centralised system was used to enable what scholars refer to as a whole-of-government response during the COVID-19 pandemic to integrate public health agencies, digital infrastructure, local governments and private laboratories into a coordinated national strategy (Park et al., 2021). The central government has put in place clear command-and-control structures way earlier in the outbreak, which facilitated quick policy implementation, mobilisation of resources and communication to people. One of the strengths of this model was that it was able to scale testing and tracing capacity in a matter of weeks. South Korea was the first to launch drive through testing centres, mobile and financial data-based digital contact tracing, nationally required isolation, and all of this was organized centrally and executed uniformly across jurisdictions (Lee &amp; Lee, 2020).</w:t>
      </w:r>
    </w:p>
    <w:p w14:paraId="5820ADBC" w14:textId="64985ABF" w:rsidR="00776988" w:rsidRPr="00A90012" w:rsidRDefault="000663D3" w:rsidP="000663D3">
      <w:pPr>
        <w:rPr>
          <w:lang w:val="en-GB"/>
        </w:rPr>
      </w:pPr>
      <w:r w:rsidRPr="00A90012">
        <w:rPr>
          <w:lang w:val="en-GB"/>
        </w:rPr>
        <w:t>The legal structure (the Infectious Disease Control and Prevention Act) already in place in the country provided the country with substantial access to mobility and transaction information to facilitate contact tracing without necessitating protracted political discussions, an example of how centralisation minimized bureaucratic delays (Shaw et al., 2020). Local governments were also involved in implementation but they worked within the guidelines that were established nationally thus making it consistent across borders. This avoided the fragmentation and imbalanced capability of more decentralised systems.</w:t>
      </w:r>
    </w:p>
    <w:p w14:paraId="78B5F6A9" w14:textId="7BC8B583" w:rsidR="00776988" w:rsidRPr="00A90012" w:rsidRDefault="004C42F1" w:rsidP="004C42F1">
      <w:pPr>
        <w:rPr>
          <w:lang w:val="en-GB"/>
        </w:rPr>
      </w:pPr>
      <w:r w:rsidRPr="00A90012">
        <w:rPr>
          <w:lang w:val="en-GB"/>
        </w:rPr>
        <w:t>The centralisation was also important in the area of communicating with people. South Korea applied what analysts refer to as strategy of transparent centralised messaging, as daily briefing sessions by the KDCA represented an update on cases, scientific rationale and behavioural advice. This strategy created a lot of trust among the citizens, which consequently enhanced adherence to preventive strategies, including mask-wearing, quarantine restrictions, and digital surveillance. The South Korea managed to stay consistent in its national orders and local action, which prevented the confusion of messages that impeded cooperation among the population of other nations.</w:t>
      </w:r>
    </w:p>
    <w:p w14:paraId="77C4AAC6" w14:textId="5B10610D" w:rsidR="00776988" w:rsidRPr="00A90012" w:rsidRDefault="004C42F1" w:rsidP="004C42F1">
      <w:pPr>
        <w:rPr>
          <w:lang w:val="en-GB"/>
        </w:rPr>
      </w:pPr>
      <w:r w:rsidRPr="00A90012">
        <w:rPr>
          <w:lang w:val="en-GB"/>
        </w:rPr>
        <w:t>The centralised governance has been well established in South Korea. Some of these studies refer to the country as a perfect model to be emulated in the fight against the pandemic since its early and coordinated measures have been effective in flattening the infection curves without imposing extensive lockdowns and economic stagnation (Lee et al., 2020). South Korea also kept relatively low mortality rates among the OECD nations in the year 2020 and the early months of 2021, which highlights the resilience of the centralised response model (OECD, 2021).</w:t>
      </w:r>
    </w:p>
    <w:p w14:paraId="67603E7C" w14:textId="77777777" w:rsidR="00776988" w:rsidRPr="00A90012" w:rsidRDefault="00776988" w:rsidP="005E672A">
      <w:pPr>
        <w:pStyle w:val="Heading2"/>
        <w:rPr>
          <w:lang w:val="en-GB"/>
        </w:rPr>
      </w:pPr>
      <w:bookmarkStart w:id="8" w:name="_Toc214451639"/>
      <w:r w:rsidRPr="00A90012">
        <w:rPr>
          <w:lang w:val="en-GB"/>
        </w:rPr>
        <w:t>Canada (Centralised vs. Decentralised Governance)</w:t>
      </w:r>
      <w:bookmarkEnd w:id="8"/>
    </w:p>
    <w:p w14:paraId="724A066B" w14:textId="397F5694" w:rsidR="00776988" w:rsidRPr="00A90012" w:rsidRDefault="004C42F1" w:rsidP="004C42F1">
      <w:pPr>
        <w:rPr>
          <w:lang w:val="en-GB"/>
        </w:rPr>
      </w:pPr>
      <w:r w:rsidRPr="00A90012">
        <w:rPr>
          <w:lang w:val="en-GB"/>
        </w:rPr>
        <w:t xml:space="preserve">The health system in Canada is decentralised in nature, and functions within a federal system where the provinces and territories have the key responsibility of providing public health and health care. The report by the Chief Public Health Officer (2021) states that this decentralised governance provides an opportunity to shape the public health actions based on the regional and local context and requirements. </w:t>
      </w:r>
      <w:r w:rsidR="00563382">
        <w:rPr>
          <w:lang w:val="en-GB"/>
        </w:rPr>
        <w:t xml:space="preserve"> However</w:t>
      </w:r>
      <w:r w:rsidRPr="00A90012">
        <w:rPr>
          <w:lang w:val="en-GB"/>
        </w:rPr>
        <w:t>, it also brings about coordination issues, as the multi-jurisdictional framework will have federal, provincial, territorial, and Indigenous partners (PHAC, 2021). This tiered structure implies that even though Ottawa is a crucial element in leadership, policy direction, and mobilisation of resources, much of the work in the pandemic response falls on provincial governments.</w:t>
      </w:r>
    </w:p>
    <w:p w14:paraId="1CE51BE0" w14:textId="162C6EF1" w:rsidR="00776988" w:rsidRPr="00A90012" w:rsidRDefault="004C42F1" w:rsidP="004C42F1">
      <w:pPr>
        <w:rPr>
          <w:lang w:val="en-GB"/>
        </w:rPr>
      </w:pPr>
      <w:r w:rsidRPr="00A90012">
        <w:rPr>
          <w:lang w:val="en-GB"/>
        </w:rPr>
        <w:t>This division of power had both merits and demerits during the COVID-19 pandemic. On the one hand, the provinces and territories could customize their own interventions on public health according to local epidemiological circumstances and capabilities. As an example, the leaders of the Ontario public health system, one of the most decentralised systems in the country, confirmed that the independence of local public health units enabled them to respond more swiftly to local demands, in particular, in cases where provincial decision-making was sluggish (Smith et al., 2023). This local freedom was supplemented with new or reinforced advisory organs, like science tables and expert councils that influenced the decisions of regional policies (Susan et al., 2025).</w:t>
      </w:r>
    </w:p>
    <w:p w14:paraId="1C6B3486" w14:textId="64A79097" w:rsidR="00776988" w:rsidRPr="00A90012" w:rsidRDefault="004C42F1" w:rsidP="004C42F1">
      <w:pPr>
        <w:rPr>
          <w:lang w:val="en-GB"/>
        </w:rPr>
      </w:pPr>
      <w:r w:rsidRPr="00A90012">
        <w:rPr>
          <w:lang w:val="en-GB"/>
        </w:rPr>
        <w:t>Conversely, the decentralised model made it difficult to coordinate the national response to the pandemic. The qualitative analysis of four Canadian provinces discovered that, regardless of different governance systems, all of them had to use extensive resources of healthcare to introduce testing and tracing controls. It was seen that that centralisation of the management of public health was a facilitator to scaling these operations (Susan et al., 2025). Additionally, the leaders of public health in more centralised or integrated systems (like Alberta or Quebec) thought that single provincial systems could allow faster and more co-ordinated responses compared to more fragmented systems (Smith et al., 2023).</w:t>
      </w:r>
    </w:p>
    <w:p w14:paraId="57CAAB7B" w14:textId="60154F4A" w:rsidR="00776988" w:rsidRPr="00A90012" w:rsidRDefault="004C42F1" w:rsidP="004C42F1">
      <w:pPr>
        <w:rPr>
          <w:lang w:val="en-GB"/>
        </w:rPr>
      </w:pPr>
      <w:r w:rsidRPr="00A90012">
        <w:rPr>
          <w:lang w:val="en-GB"/>
        </w:rPr>
        <w:t>There was a necessity but not smooth sailing between federal and provincial collaboration. The post-pandemic Lessons Learned evaluation by the PHAC found that ensuring clarity of roles across the jurisdictions was essential and that regardless of establishing the several tables of governance during the COVID-19, they were not created evenly and occasionally overlapped with each other. The report has suggested a more logical, pre-meditated governance framework, which would not create gray areas in case of future emergencies (PHAC, 2020).</w:t>
      </w:r>
    </w:p>
    <w:p w14:paraId="15216D5F" w14:textId="711DE58A" w:rsidR="00776988" w:rsidRPr="00A90012" w:rsidRDefault="004C42F1" w:rsidP="004C42F1">
      <w:pPr>
        <w:rPr>
          <w:lang w:val="en-GB"/>
        </w:rPr>
      </w:pPr>
      <w:r w:rsidRPr="00A90012">
        <w:rPr>
          <w:lang w:val="en-GB"/>
        </w:rPr>
        <w:t>Decentralised system increased problems on data sharing and integration of public health. The jurisdictional interference of legal and ethical obligations will cause regulatory confusion in data stewardship, hindering the rapid flow of information (Bernier and Knoppers, 2020). These problems were particularly sharp in remote or Indigenous communities. As an example, in Northwest Territories, the policymakers singled out ambiguous roles, ineffective infrastructure, and disjointed communication networks as major obstacles to the adoption of public health measures (Zakkar et al., 2025).</w:t>
      </w:r>
    </w:p>
    <w:p w14:paraId="778A6986" w14:textId="77777777" w:rsidR="00A74C53" w:rsidRPr="00A90012" w:rsidRDefault="00A74C53" w:rsidP="005E672A">
      <w:pPr>
        <w:pStyle w:val="Heading1"/>
        <w:rPr>
          <w:lang w:val="en-GB"/>
        </w:rPr>
      </w:pPr>
      <w:bookmarkStart w:id="9" w:name="_Toc214451640"/>
      <w:r w:rsidRPr="00A90012">
        <w:rPr>
          <w:lang w:val="en-GB"/>
        </w:rPr>
        <w:t>Leadership Styles</w:t>
      </w:r>
      <w:bookmarkEnd w:id="9"/>
    </w:p>
    <w:p w14:paraId="13FF30D2" w14:textId="7F2BB311" w:rsidR="00A74C53" w:rsidRPr="00A90012" w:rsidRDefault="004C42F1" w:rsidP="004C42F1">
      <w:pPr>
        <w:rPr>
          <w:lang w:val="en-GB"/>
        </w:rPr>
      </w:pPr>
      <w:r w:rsidRPr="00A90012">
        <w:rPr>
          <w:lang w:val="en-GB"/>
        </w:rPr>
        <w:t>The process of influencing others to accomplish objectives, organise activities and react to issues in an organisation or a society can broadly define leadership (Northouse, 2025). The leadership style is of paramount importance when considering how Spain, South Korea, and Canada reacted to COVID-19, as the style of the leaders influenced the choice of policies, communication ideas, people's adherence, and the overall management of the crises. The Leadership Theory classifies styles on various dimensions</w:t>
      </w:r>
      <w:r w:rsidR="00204B6D">
        <w:rPr>
          <w:lang w:val="en-GB"/>
        </w:rPr>
        <w:t>, each of which has its implications on the decision-making process, the communication of information,</w:t>
      </w:r>
      <w:r w:rsidRPr="00A90012">
        <w:rPr>
          <w:lang w:val="en-GB"/>
        </w:rPr>
        <w:t xml:space="preserve"> as well as the building of trust under uncertain circumstances.</w:t>
      </w:r>
    </w:p>
    <w:p w14:paraId="40009492" w14:textId="0E95694E" w:rsidR="00A74C53" w:rsidRPr="00A90012" w:rsidRDefault="004C42F1" w:rsidP="004C42F1">
      <w:pPr>
        <w:rPr>
          <w:lang w:val="en-GB"/>
        </w:rPr>
      </w:pPr>
      <w:r w:rsidRPr="00A90012">
        <w:rPr>
          <w:lang w:val="en-GB"/>
        </w:rPr>
        <w:t>In autocratic leadership, the involvement of centralised decision-making among the leaders characterises such leadership whereby leaders intoxicate high authority, decisions are unilateral and the subordinates are expected to comply with such decisions (Lewin, Lippitt and White, 1939). The autocratic leadership style can facilitate quick decision-making and implement severe measures, which is beneficial in case of an urgent situation. It can however decrease the level of public contribution or preference in case they view it as too coercive (Goleman, 2000).</w:t>
      </w:r>
    </w:p>
    <w:p w14:paraId="71508C4A" w14:textId="02613996" w:rsidR="00A74C53" w:rsidRPr="00A90012" w:rsidRDefault="004C42F1" w:rsidP="004C42F1">
      <w:pPr>
        <w:rPr>
          <w:lang w:val="en-GB"/>
        </w:rPr>
      </w:pPr>
      <w:r w:rsidRPr="00A90012">
        <w:rPr>
          <w:lang w:val="en-GB"/>
        </w:rPr>
        <w:t>Democratic or participative leadership includes consultation with stakeholders and active input and cooperation, and spreads the power of decision-making to a certain degree (Lewin et al., 1939). Democratic leaders aspire to reach a consensus and to create engagement and, thus, increase the levels of trust of the people, social cohesion, and adherence to complicated health measures. Nevertheless, such a style can cause slow decision-making during emergencies with rapid processes since the consensus-building processes will postpone interventions required (Northouse, 2025).</w:t>
      </w:r>
    </w:p>
    <w:p w14:paraId="3A22D843" w14:textId="3F6778B5" w:rsidR="00A74C53" w:rsidRPr="00A90012" w:rsidRDefault="004C42F1" w:rsidP="004C42F1">
      <w:pPr>
        <w:rPr>
          <w:lang w:val="en-GB"/>
        </w:rPr>
      </w:pPr>
      <w:r w:rsidRPr="00A90012">
        <w:rPr>
          <w:lang w:val="en-GB"/>
        </w:rPr>
        <w:t>Laissez-faire leadership is defined by a laissez-faire style, which puts little or no direction or guidance to subordinates or institutions to make their own decisions (Lewin et al., 1939). Although such a strategy is capable of empowering good teams and promoting innovation, it usually runs the risk of fragmentation, lack of co-ordination and inconsistent implementation when faced with a crisis situation which demands a centralised response (Goleman, 2000).</w:t>
      </w:r>
    </w:p>
    <w:p w14:paraId="65CF5309" w14:textId="1DDD6809" w:rsidR="00A74C53" w:rsidRPr="00A90012" w:rsidRDefault="004C42F1" w:rsidP="004C42F1">
      <w:pPr>
        <w:rPr>
          <w:lang w:val="en-GB"/>
        </w:rPr>
      </w:pPr>
      <w:r w:rsidRPr="00A90012">
        <w:rPr>
          <w:lang w:val="en-GB"/>
        </w:rPr>
        <w:t xml:space="preserve">Besides these classical typologies, the contemporary theories of leadership also offer more specific approaches to crisis situations. Transformational leadership is concerned with inspiring the followers with vision, motivation and role modelling and as a result stimulating collective action, innovation and compliance with the measures to combat the spread of the pandemic (Bass and Riggio, 2006). Adaptive leadership places an emphasis on flexibility, learning and iterative problem solving in unpredictable and fast-changing environments, thus it is especially applicable during unparalleled times of collective illness like COVID-19 (Heifetz et al., 2009). According to situational leadership, leaders should change their style and competence and commitment levels of the followers, and as a result, give a balance between the directive and supportive behaviours (Hersey </w:t>
      </w:r>
      <w:r w:rsidR="00204B6D">
        <w:rPr>
          <w:lang w:val="en-GB"/>
        </w:rPr>
        <w:t>&amp;</w:t>
      </w:r>
      <w:r w:rsidRPr="00A90012">
        <w:rPr>
          <w:lang w:val="en-GB"/>
        </w:rPr>
        <w:t xml:space="preserve"> Blanchard, 1969). Lastly, distributed leadership focuses on collective responsibility of two or more actors, and it highlights the role of teams, agencies, and institutions in making collective decisions (Jones, 2014).</w:t>
      </w:r>
    </w:p>
    <w:p w14:paraId="05ED0048" w14:textId="77777777" w:rsidR="00A74C53" w:rsidRPr="00A90012" w:rsidRDefault="00A74C53" w:rsidP="005E672A">
      <w:pPr>
        <w:pStyle w:val="Heading2"/>
        <w:rPr>
          <w:lang w:val="en-GB"/>
        </w:rPr>
      </w:pPr>
      <w:bookmarkStart w:id="10" w:name="_Toc214451641"/>
      <w:r w:rsidRPr="00A90012">
        <w:rPr>
          <w:lang w:val="en-GB"/>
        </w:rPr>
        <w:t>Leadership Styles in Spain</w:t>
      </w:r>
      <w:bookmarkEnd w:id="10"/>
    </w:p>
    <w:p w14:paraId="70308113" w14:textId="4C6EBAF7" w:rsidR="00A74C53" w:rsidRPr="00A90012" w:rsidRDefault="004C42F1" w:rsidP="004C42F1">
      <w:pPr>
        <w:rPr>
          <w:lang w:val="en-GB"/>
        </w:rPr>
      </w:pPr>
      <w:r w:rsidRPr="00A90012">
        <w:rPr>
          <w:lang w:val="en-GB"/>
        </w:rPr>
        <w:t>The leadership of Prime Minister Pedro Sanchez played a large role in the response toward COVID-19 in Spain as he adopted both laissez-faire approach and the adoption of autocratic decision-making periodically. The early pandemic months put Sanchez in a situation of having to deal with both a health crisis that was gaining momentum and a highly decentralised health system, in which autonomous communities had significant control in healthcare affairs (Greer et al., 2021). The decentralised form meant that the regions had to be co-ordinated, however, it also made quick and consistent responses more difficult, which added to the timely delays in putting in place nationwide containment measures.</w:t>
      </w:r>
    </w:p>
    <w:p w14:paraId="0FD4BB94" w14:textId="7DC840A7" w:rsidR="00A74C53" w:rsidRPr="00A90012" w:rsidRDefault="00E17725" w:rsidP="00E17725">
      <w:pPr>
        <w:rPr>
          <w:lang w:val="en-GB"/>
        </w:rPr>
      </w:pPr>
      <w:r w:rsidRPr="00A90012">
        <w:rPr>
          <w:lang w:val="en-GB"/>
        </w:rPr>
        <w:t>The leadership of Sanchez was laissez-faire in nature, and it had a hands-off approach to regional authorities. This gave the self-governing communities the opportunity to take control of local healthcare response on their own, with Spain being constitutionally dedicated to regional autonomy (Costa-Font &amp; Greer, 2016). Although decentralisation is a potential way to enable customised local responses, in the example of Spain, it led to fragmented strategies, delayed testing and contact tracing, and inconsistent communication, factors that played a role in the accelerated spread of COVID-19 during the month of February and March 2020 (Aucejo et al., 2020). It has been pointed out that Sanchez was initially hesitant to seek to issue powerful central orders due to the political judgment and also to the fact that the power of such a leader is to respect regional governance institutions, which are also typical of the hands-off leadership style.</w:t>
      </w:r>
    </w:p>
    <w:p w14:paraId="6F2CD209" w14:textId="524BFC6E" w:rsidR="00A74C53" w:rsidRPr="00A90012" w:rsidRDefault="00E17725" w:rsidP="00E17725">
      <w:pPr>
        <w:rPr>
          <w:lang w:val="en-GB"/>
        </w:rPr>
      </w:pPr>
      <w:r w:rsidRPr="00A90012">
        <w:rPr>
          <w:lang w:val="en-GB"/>
        </w:rPr>
        <w:t>When the crisis unfolded and the hospital systems became on the verge of collapse, Sanchez implemented an autocratic decision-making style, referencing a state of alarm in March 2020, which centralised the right to decide about health policy in all regions (Greer et al., 2021). This change enabled the government to impose nationwide lockdowns and impose obedience to the measures of public health. The shift explains why the leaders of decentralised regimes can also strategically mix laissez-faire and autocratic styles, having initially left the local government to its own devices but subsequently centralizing power within a response to pressing systemic demands (Arrazola et al., 2025).</w:t>
      </w:r>
    </w:p>
    <w:p w14:paraId="2582A918" w14:textId="27280EF2" w:rsidR="00A74C53" w:rsidRPr="00A90012" w:rsidRDefault="00E17725" w:rsidP="00E17725">
      <w:pPr>
        <w:rPr>
          <w:lang w:val="en-GB"/>
        </w:rPr>
      </w:pPr>
      <w:r w:rsidRPr="00A90012">
        <w:rPr>
          <w:lang w:val="en-GB"/>
        </w:rPr>
        <w:t>The interaction between the leadership styles was both positive and negative. The former laissez-faire position led to delays and inconsistency which exacerbated the early outbreaks but later the autocratic actions allowed quick and coordinated national work. The case under consideration reflects the complicated nature of the interaction between leadership style and the structure of governance. In very decentralised systems, crisis leadership can be a matter of trade off between local autonomy and centralisation of power where necessary (Greer et al., 2021).</w:t>
      </w:r>
    </w:p>
    <w:p w14:paraId="73DDD3E4" w14:textId="77777777" w:rsidR="00FD04E7" w:rsidRPr="00A90012" w:rsidRDefault="00FD04E7" w:rsidP="005E672A">
      <w:pPr>
        <w:pStyle w:val="Heading2"/>
        <w:rPr>
          <w:lang w:val="en-GB"/>
        </w:rPr>
      </w:pPr>
      <w:bookmarkStart w:id="11" w:name="_Toc214451642"/>
      <w:r w:rsidRPr="00A90012">
        <w:rPr>
          <w:lang w:val="en-GB"/>
        </w:rPr>
        <w:t>Leadership Styles in South Korea</w:t>
      </w:r>
      <w:bookmarkEnd w:id="11"/>
    </w:p>
    <w:p w14:paraId="2016C31F" w14:textId="4B9C1E65" w:rsidR="00FD04E7" w:rsidRPr="00A90012" w:rsidRDefault="00E17725" w:rsidP="00E17725">
      <w:pPr>
        <w:rPr>
          <w:lang w:val="en-GB"/>
        </w:rPr>
      </w:pPr>
      <w:r w:rsidRPr="00A90012">
        <w:rPr>
          <w:lang w:val="en-GB"/>
        </w:rPr>
        <w:t xml:space="preserve">The effective response that South Korea has had in dealing with COVID-19 has been strictly attributed to the leadership style of its President, Moon Jae-in, who merged proactive, team-based planning with centralised, authoritative implementation. Based on the experience of the 2015 MERS outbreak, Moon noted the necessity of preparedness, co-ordination, and making a quick decision. This style is parallel to what leadership experts refer to as a combination of transformational and autocratic leadership as the vision and motivation are combined with decisive activities to make sure that the policies are carried out (Lee </w:t>
      </w:r>
      <w:r w:rsidR="00204B6D">
        <w:rPr>
          <w:lang w:val="en-GB"/>
        </w:rPr>
        <w:t>&amp;</w:t>
      </w:r>
      <w:r w:rsidRPr="00A90012">
        <w:rPr>
          <w:lang w:val="en-GB"/>
        </w:rPr>
        <w:t xml:space="preserve"> Lee, 2020).</w:t>
      </w:r>
    </w:p>
    <w:p w14:paraId="24484851" w14:textId="43EF76BC" w:rsidR="00FD04E7" w:rsidRPr="00A90012" w:rsidRDefault="00E17725" w:rsidP="00E17725">
      <w:pPr>
        <w:rPr>
          <w:lang w:val="en-GB"/>
        </w:rPr>
      </w:pPr>
      <w:r w:rsidRPr="00A90012">
        <w:rPr>
          <w:lang w:val="en-GB"/>
        </w:rPr>
        <w:t>Since the beginning of the pandemic, the administration of Moon has shown its proactive leadership where the national public health resources were mobilized within hours, emergency response protocols were activated, and the focus was drawn on early testing and contact tracing (Park et al., 2021). He instituted a whole-of-government strategy, which involved uniting ministries, Korea Disease Control and Prevention Agency (KDCA), local governments, and other partners in the private sector. The team-based approach allowed forming a very structured response system that encouraged teamwork without ambiguous authority lines (Oh, and Lee, 2020).</w:t>
      </w:r>
    </w:p>
    <w:p w14:paraId="040B0CEB" w14:textId="04C6A598" w:rsidR="00FD04E7" w:rsidRPr="00A90012" w:rsidRDefault="00E17725" w:rsidP="00E17725">
      <w:pPr>
        <w:rPr>
          <w:lang w:val="en-GB"/>
        </w:rPr>
      </w:pPr>
      <w:r w:rsidRPr="00A90012">
        <w:rPr>
          <w:lang w:val="en-GB"/>
        </w:rPr>
        <w:t>Although the collaborative model, making decisions in South Korea was essentially autocratic in nature with the national agencies being authorised to implement policies in the same manner, across regions. As an example, the KDCA centrally dotted contact tracing, quarantine measures, and mask requirements, which made them consistent and quick to comply. The result of this top-down implementation was that it minimised delays that might arise in the case of decentralised systems and ensured that South Korea could control the rate of infection spread without the need to implement complete lockdown.</w:t>
      </w:r>
    </w:p>
    <w:p w14:paraId="36FB3D68" w14:textId="3D38F392" w:rsidR="00FD04E7" w:rsidRPr="00A90012" w:rsidRDefault="00E17725" w:rsidP="00E17725">
      <w:pPr>
        <w:rPr>
          <w:lang w:val="en-GB"/>
        </w:rPr>
      </w:pPr>
      <w:r w:rsidRPr="00A90012">
        <w:rPr>
          <w:lang w:val="en-GB"/>
        </w:rPr>
        <w:t>The other variables that Moon exploited in h</w:t>
      </w:r>
      <w:r w:rsidR="00AB1A43">
        <w:rPr>
          <w:lang w:val="en-GB"/>
        </w:rPr>
        <w:t>is</w:t>
      </w:r>
      <w:r w:rsidRPr="00A90012">
        <w:rPr>
          <w:lang w:val="en-GB"/>
        </w:rPr>
        <w:t xml:space="preserve"> leadership were cultural and societal. The effectiveness of centralised directions was enhanced by the presence of the collectivist norms in South Korea and high levels of trust in the government institutions (Park et al., 2021). Frequent and open communication strengthened social compliance and trust which are crucial elements of transformational leadership during times of public health emergency (Lee et al., 2020). The proactive, team-based approach coupled with centralised implementation enabled the leadership of Moon to make sure that technical expertise, social cooperation and rapid implementation of policies were aligned.</w:t>
      </w:r>
    </w:p>
    <w:p w14:paraId="6A717349" w14:textId="77777777" w:rsidR="00FD04E7" w:rsidRPr="00A90012" w:rsidRDefault="00FD04E7" w:rsidP="005E672A">
      <w:pPr>
        <w:pStyle w:val="Heading2"/>
        <w:rPr>
          <w:lang w:val="en-GB"/>
        </w:rPr>
      </w:pPr>
      <w:bookmarkStart w:id="12" w:name="_Toc214451643"/>
      <w:r w:rsidRPr="00A90012">
        <w:rPr>
          <w:lang w:val="en-GB"/>
        </w:rPr>
        <w:t>Leadership Styles in Canada</w:t>
      </w:r>
      <w:bookmarkEnd w:id="12"/>
    </w:p>
    <w:p w14:paraId="1D6097F4" w14:textId="5A2719F3" w:rsidR="00FD04E7" w:rsidRPr="00A90012" w:rsidRDefault="00E17725" w:rsidP="00E17725">
      <w:pPr>
        <w:rPr>
          <w:lang w:val="en-GB"/>
        </w:rPr>
      </w:pPr>
      <w:r w:rsidRPr="00A90012">
        <w:rPr>
          <w:lang w:val="en-GB"/>
        </w:rPr>
        <w:t>The leadership of Prime Minister Justin Trudeau was a key factor in the COVID-19 response in Canada as his leadership approach was based on democratic, collaborative, and consultative principles and focused on stakeholder involvement, openness, and evidence-based decision-making. Trudeau always strove to create a balance between federal and provincial control, and Canada is a decentralised health system, where provinces and territories serve as the primary providers of health services (Smith et al., 2023). His leadership is a participative model whereby the contributions of the scientific advisors, provincial leaders as well as the committees of experts inform the policy with the federal direction and support.</w:t>
      </w:r>
    </w:p>
    <w:p w14:paraId="1DB23CB7" w14:textId="3A3CEE10" w:rsidR="00FD04E7" w:rsidRPr="00A90012" w:rsidRDefault="00E17725" w:rsidP="00E17725">
      <w:pPr>
        <w:rPr>
          <w:lang w:val="en-GB"/>
        </w:rPr>
      </w:pPr>
      <w:r w:rsidRPr="00A90012">
        <w:rPr>
          <w:lang w:val="en-GB"/>
        </w:rPr>
        <w:t>The style of Trudeau focused on cooperation and interaction. Daily briefings, transparent communication to people, and involvement in communication with the public health authorities contributed to gaining trust and creating compliance with the public health system, including mask requirements, physical distancing, and, subsequently, immunization (Susan et al., 2025). Through the expert advice by the Public Health Agency of Canada (PHAC) and provincial health authorities, Trudeau made sure that the decisions made are based on science, which is a characteristic of democratic leadership (Northouse, 2025). Even economic policy was consultative, with programs such as the Canada Emergency Response Benefit (CERB) including the integration of multiple levels of government to save both citizens and businesses, which also indicates a lack of inclusiveness in health policy but inclusive in economic policy (Allin, 2022).</w:t>
      </w:r>
    </w:p>
    <w:p w14:paraId="59D0007C" w14:textId="7A99C5E7" w:rsidR="00FD04E7" w:rsidRPr="00A90012" w:rsidRDefault="00E17725" w:rsidP="00E17725">
      <w:pPr>
        <w:rPr>
          <w:lang w:val="en-GB"/>
        </w:rPr>
      </w:pPr>
      <w:r w:rsidRPr="00A90012">
        <w:rPr>
          <w:lang w:val="en-GB"/>
        </w:rPr>
        <w:t xml:space="preserve">In spite of its advantages, the democratic and consultative style of Trudeau sometimes slowed down the quick decision-making process, especially at the very beginning of the pandemic, when the provincial actions were extremely different. According to scholars, a decentralised system may slow the process of implementing national strategies due to achieving consensus, which significantly limits the application of participative leadership during crisis situations with high speed (Smith et al., 2023). </w:t>
      </w:r>
      <w:r w:rsidR="00563382">
        <w:rPr>
          <w:lang w:val="en-GB"/>
        </w:rPr>
        <w:t xml:space="preserve"> However</w:t>
      </w:r>
      <w:r w:rsidRPr="00A90012">
        <w:rPr>
          <w:lang w:val="en-GB"/>
        </w:rPr>
        <w:t>, the inclusive style also improved legitimacy, compliance of the public and intergovernmental cooperation which softened some of the risks that come with the decentralised governance.</w:t>
      </w:r>
    </w:p>
    <w:p w14:paraId="0EA4CF15" w14:textId="77777777" w:rsidR="00226349" w:rsidRPr="00A90012" w:rsidRDefault="00226349" w:rsidP="005E672A">
      <w:pPr>
        <w:pStyle w:val="Heading1"/>
        <w:rPr>
          <w:lang w:val="en-GB"/>
        </w:rPr>
      </w:pPr>
      <w:bookmarkStart w:id="13" w:name="_Toc214451644"/>
      <w:r w:rsidRPr="00A90012">
        <w:rPr>
          <w:lang w:val="en-GB"/>
        </w:rPr>
        <w:t>Conclusion</w:t>
      </w:r>
      <w:bookmarkEnd w:id="13"/>
    </w:p>
    <w:p w14:paraId="63A91219" w14:textId="462FC902" w:rsidR="00226349" w:rsidRPr="00A90012" w:rsidRDefault="00805566" w:rsidP="00805566">
      <w:pPr>
        <w:rPr>
          <w:lang w:val="en-GB"/>
        </w:rPr>
      </w:pPr>
      <w:r w:rsidRPr="00A90012">
        <w:rPr>
          <w:lang w:val="en-GB"/>
        </w:rPr>
        <w:t>The comparative study of Spain, South Korea, and Canada shows how the organization of health systems governance and leadership styles intersect so significantly to influence how nations responded to the COVID-19 pandemic. The highly decentralised system in Spain, though providing autonomy in the form of an autonomous community to respond to the needs on the ground, demonstrated a lot of difficulties in terms of coordination, allocation of resources and quick decision-making during the initial wave of infections. The first laissez-faire nature of Prime Minister Pedro Sanchez also complicated the response, highlighting the effect of decentralised governance and laissez-faire leadership in terms of slowing down decisive action during a crisis. However, with the temporary application of central authority, Spain could introduce a national-level action that should be considered an example of adaptive leadership that will partially overcome the shortcomings of decentralisation.</w:t>
      </w:r>
    </w:p>
    <w:p w14:paraId="68282F22" w14:textId="14A4FF00" w:rsidR="00226349" w:rsidRPr="00A90012" w:rsidRDefault="00805566" w:rsidP="00805566">
      <w:pPr>
        <w:rPr>
          <w:lang w:val="en-GB"/>
        </w:rPr>
      </w:pPr>
      <w:r w:rsidRPr="00A90012">
        <w:rPr>
          <w:lang w:val="en-GB"/>
        </w:rPr>
        <w:t>By comparison, the centralised form of governance in South Korea as well as the robust executive power of President Moon Jae-in facilitated quick, consistent and technically motivated interventions. It was aided by the whole-of-government approach, proactive and collaborative planning, and decisive and autocratic execution, which helped in efficient testing, contact tracing, and public communication. The success of South Korea highlights the benefits of centralisation during an emergency, especially when it is combined with open communication and cultural aspects which leads to stronger compliance with the population.</w:t>
      </w:r>
    </w:p>
    <w:p w14:paraId="68A51453" w14:textId="65121F22" w:rsidR="00226349" w:rsidRPr="00A90012" w:rsidRDefault="00805566" w:rsidP="00805566">
      <w:pPr>
        <w:rPr>
          <w:lang w:val="en-GB"/>
        </w:rPr>
      </w:pPr>
      <w:r w:rsidRPr="00A90012">
        <w:rPr>
          <w:lang w:val="en-GB"/>
        </w:rPr>
        <w:t>Canada has had an intermediate experience where the decentralised health governance was supplemented by the democratic and consultative leadership of Justin Trudeau, the Prime Minister. Although the decentralisation enabled the provinces to implement interventions based on the local epidemiological factors, it also demanded a lot of intergovernmental coordination, which was at times slowing the decision-making process at the national level. The participative style of leadership used by Trudeau with its focus on transparency, evidence-based policy, and engagement of stakeholders contributed to the development of trust and compliance, proving that an inclusive style of leadership helps to mitigate some of the risks of the decentralisation but causes trade-offs in the pace of crisis response.</w:t>
      </w:r>
    </w:p>
    <w:p w14:paraId="344F202E" w14:textId="352CEEC4" w:rsidR="00805566" w:rsidRPr="00A90012" w:rsidRDefault="00805566" w:rsidP="00805566">
      <w:pPr>
        <w:rPr>
          <w:lang w:val="en-GB"/>
        </w:rPr>
      </w:pPr>
      <w:r w:rsidRPr="00A90012">
        <w:rPr>
          <w:lang w:val="en-GB"/>
        </w:rPr>
        <w:t xml:space="preserve">The study shows that centralisation and decentralisation are not the only aspects that will ensure that the management of the pandemic will be successful. Rather, results are accorded by the congruency between the governance systems and leadership strategies. Centralised systems have the ability to facilitate fast coordinated response. Nevertheless, they might need adaptive leadership to stay within their legitimacy whereas decentralised systems are more advantageous as the local responsiveness but necessitate collaborative leadership to ensure the relationship is effective in organising efforts. The leadership style combines with the governance context to affect the level of compliance by the people, equal distribution of resources, and crisis resilience. </w:t>
      </w:r>
    </w:p>
    <w:p w14:paraId="2C595B43" w14:textId="63790203" w:rsidR="00226349" w:rsidRPr="00A90012" w:rsidRDefault="00805566" w:rsidP="00805566">
      <w:pPr>
        <w:rPr>
          <w:lang w:val="en-GB"/>
        </w:rPr>
      </w:pPr>
      <w:r w:rsidRPr="00A90012">
        <w:rPr>
          <w:lang w:val="en-GB"/>
        </w:rPr>
        <w:t>The cases of Spain, South Korea, and Canada teach a lot to the future crises and crises in the field of the prevention of health: the balance between the government and local government should be taken into account in detail, the style that should be chosen by the leaders should be concomitant to the system, creating trust, transparency, and quick but informed decisions. Combining governance awareness with the contextually relevant leadership is a critical factor of the resilience of a nation to pandemics.</w:t>
      </w:r>
    </w:p>
    <w:p w14:paraId="32396431" w14:textId="0E730B90" w:rsidR="00873221" w:rsidRPr="00A90012" w:rsidRDefault="00873221" w:rsidP="005E672A">
      <w:pPr>
        <w:rPr>
          <w:lang w:val="en-GB"/>
        </w:rPr>
      </w:pPr>
      <w:r w:rsidRPr="00A90012">
        <w:rPr>
          <w:lang w:val="en-GB"/>
        </w:rPr>
        <w:br/>
      </w:r>
    </w:p>
    <w:p w14:paraId="6E8F442A" w14:textId="77777777" w:rsidR="00873221" w:rsidRPr="00A90012" w:rsidRDefault="00873221" w:rsidP="005E672A">
      <w:pPr>
        <w:rPr>
          <w:lang w:val="en-GB"/>
        </w:rPr>
      </w:pPr>
      <w:r w:rsidRPr="00A90012">
        <w:rPr>
          <w:lang w:val="en-GB"/>
        </w:rPr>
        <w:br w:type="page"/>
      </w:r>
    </w:p>
    <w:p w14:paraId="2E91122D" w14:textId="2057FCAE" w:rsidR="00226349" w:rsidRPr="00A90012" w:rsidRDefault="00873221" w:rsidP="005E672A">
      <w:pPr>
        <w:pStyle w:val="Heading1"/>
        <w:rPr>
          <w:lang w:val="en-GB"/>
        </w:rPr>
      </w:pPr>
      <w:bookmarkStart w:id="14" w:name="_Toc214451645"/>
      <w:r w:rsidRPr="00A90012">
        <w:rPr>
          <w:lang w:val="en-GB"/>
        </w:rPr>
        <w:t>References</w:t>
      </w:r>
      <w:bookmarkEnd w:id="14"/>
    </w:p>
    <w:p w14:paraId="61AC484D" w14:textId="100007C7" w:rsidR="00AE536A" w:rsidRPr="00A90012" w:rsidRDefault="00AE536A" w:rsidP="00DD137E">
      <w:pPr>
        <w:ind w:left="720" w:hanging="720"/>
        <w:jc w:val="left"/>
        <w:rPr>
          <w:lang w:val="en-GB"/>
        </w:rPr>
      </w:pPr>
      <w:r w:rsidRPr="00A90012">
        <w:rPr>
          <w:lang w:val="en-GB"/>
        </w:rPr>
        <w:t>Allin, S., Fitzpatrick, T., Marchildon, G. P., &amp; Quesnel-Vallée, A. (2022). The federal government and Canada's COVID-19 responses: from ‘</w:t>
      </w:r>
      <w:r w:rsidR="00F36762" w:rsidRPr="00A90012">
        <w:rPr>
          <w:lang w:val="en-GB"/>
        </w:rPr>
        <w:t>eeeeee</w:t>
      </w:r>
      <w:r w:rsidRPr="00A90012">
        <w:rPr>
          <w:lang w:val="en-GB"/>
        </w:rPr>
        <w:t xml:space="preserve"> ready, </w:t>
      </w:r>
      <w:r w:rsidR="00F36762" w:rsidRPr="00A90012">
        <w:rPr>
          <w:lang w:val="en-GB"/>
        </w:rPr>
        <w:t>we are</w:t>
      </w:r>
      <w:r w:rsidRPr="00A90012">
        <w:rPr>
          <w:lang w:val="en-GB"/>
        </w:rPr>
        <w:t xml:space="preserve"> </w:t>
      </w:r>
      <w:r w:rsidR="00977E2A" w:rsidRPr="00A90012">
        <w:rPr>
          <w:lang w:val="en-GB"/>
        </w:rPr>
        <w:t xml:space="preserve">prepared ' to </w:t>
      </w:r>
      <w:r w:rsidRPr="00A90012">
        <w:rPr>
          <w:lang w:val="en-GB"/>
        </w:rPr>
        <w:t>‘fires are burning’. </w:t>
      </w:r>
      <w:r w:rsidRPr="00A90012">
        <w:rPr>
          <w:i/>
          <w:iCs/>
          <w:lang w:val="en-GB"/>
        </w:rPr>
        <w:t>Health Economics, Policy and Law</w:t>
      </w:r>
      <w:r w:rsidRPr="00A90012">
        <w:rPr>
          <w:lang w:val="en-GB"/>
        </w:rPr>
        <w:t>, </w:t>
      </w:r>
      <w:r w:rsidRPr="00A90012">
        <w:rPr>
          <w:i/>
          <w:iCs/>
          <w:lang w:val="en-GB"/>
        </w:rPr>
        <w:t>17</w:t>
      </w:r>
      <w:r w:rsidRPr="00A90012">
        <w:rPr>
          <w:lang w:val="en-GB"/>
        </w:rPr>
        <w:t>(1), 76-94.</w:t>
      </w:r>
    </w:p>
    <w:p w14:paraId="295E9C5F" w14:textId="17742847" w:rsidR="00AE536A" w:rsidRPr="00A90012" w:rsidRDefault="00AE536A" w:rsidP="00DD137E">
      <w:pPr>
        <w:ind w:left="720" w:hanging="720"/>
        <w:jc w:val="left"/>
        <w:rPr>
          <w:lang w:val="en-GB"/>
        </w:rPr>
      </w:pPr>
      <w:r w:rsidRPr="00A90012">
        <w:rPr>
          <w:lang w:val="en-GB"/>
        </w:rPr>
        <w:t>Arrazola, P., Prada, M. F., Gil, Á., Rial, J. G., Hernán, C., Menéndez, R., ... &amp; de Lejarazu, R. O. (2025). New COVID-19 vaccination recommendations in Spain: Optimizing for next seasons. </w:t>
      </w:r>
      <w:r w:rsidRPr="00A90012">
        <w:rPr>
          <w:i/>
          <w:iCs/>
          <w:lang w:val="en-GB"/>
        </w:rPr>
        <w:t xml:space="preserve">Enfermedades Infecciosas Y </w:t>
      </w:r>
      <w:r w:rsidR="00977E2A" w:rsidRPr="00A90012">
        <w:rPr>
          <w:i/>
          <w:iCs/>
          <w:lang w:val="en-GB"/>
        </w:rPr>
        <w:t>Microbiología Clínica</w:t>
      </w:r>
      <w:r w:rsidRPr="00A90012">
        <w:rPr>
          <w:lang w:val="en-GB"/>
        </w:rPr>
        <w:t>, </w:t>
      </w:r>
      <w:r w:rsidRPr="00A90012">
        <w:rPr>
          <w:i/>
          <w:iCs/>
          <w:lang w:val="en-GB"/>
        </w:rPr>
        <w:t>43</w:t>
      </w:r>
      <w:r w:rsidRPr="00A90012">
        <w:rPr>
          <w:lang w:val="en-GB"/>
        </w:rPr>
        <w:t>(1), 36-46.</w:t>
      </w:r>
    </w:p>
    <w:p w14:paraId="2DA1BFA8" w14:textId="77777777" w:rsidR="00AE536A" w:rsidRPr="00A90012" w:rsidRDefault="00AE536A" w:rsidP="00DD137E">
      <w:pPr>
        <w:ind w:left="720" w:hanging="720"/>
        <w:jc w:val="left"/>
        <w:rPr>
          <w:lang w:val="en-GB"/>
        </w:rPr>
      </w:pPr>
      <w:r w:rsidRPr="00A90012">
        <w:rPr>
          <w:lang w:val="en-GB"/>
        </w:rPr>
        <w:t>Aucejo, E. M., French, J., Araya, M. P. U., &amp; Zafar, B. (2020). The impact of COVID-19 on student experiences and expectations: Evidence from a survey. </w:t>
      </w:r>
      <w:r w:rsidRPr="00A90012">
        <w:rPr>
          <w:i/>
          <w:iCs/>
          <w:lang w:val="en-GB"/>
        </w:rPr>
        <w:t>Journal of public economics</w:t>
      </w:r>
      <w:r w:rsidRPr="00A90012">
        <w:rPr>
          <w:lang w:val="en-GB"/>
        </w:rPr>
        <w:t>, </w:t>
      </w:r>
      <w:r w:rsidRPr="00A90012">
        <w:rPr>
          <w:i/>
          <w:iCs/>
          <w:lang w:val="en-GB"/>
        </w:rPr>
        <w:t>191</w:t>
      </w:r>
      <w:r w:rsidRPr="00A90012">
        <w:rPr>
          <w:lang w:val="en-GB"/>
        </w:rPr>
        <w:t>, 104271.</w:t>
      </w:r>
    </w:p>
    <w:p w14:paraId="31424D06" w14:textId="77777777" w:rsidR="00AE536A" w:rsidRPr="00A90012" w:rsidRDefault="00AE536A" w:rsidP="00DD137E">
      <w:pPr>
        <w:ind w:left="720" w:hanging="720"/>
        <w:jc w:val="left"/>
        <w:rPr>
          <w:lang w:val="en-GB"/>
        </w:rPr>
      </w:pPr>
      <w:r w:rsidRPr="00A90012">
        <w:rPr>
          <w:lang w:val="en-GB"/>
        </w:rPr>
        <w:t>Bass, B. M., &amp; Riggio, R. E. (2006). </w:t>
      </w:r>
      <w:r w:rsidRPr="00A90012">
        <w:rPr>
          <w:i/>
          <w:iCs/>
          <w:lang w:val="en-GB"/>
        </w:rPr>
        <w:t>Transformational leadership</w:t>
      </w:r>
      <w:r w:rsidRPr="00A90012">
        <w:rPr>
          <w:lang w:val="en-GB"/>
        </w:rPr>
        <w:t>. Psychology press.</w:t>
      </w:r>
    </w:p>
    <w:p w14:paraId="5791B379" w14:textId="77777777" w:rsidR="00AE536A" w:rsidRPr="00A90012" w:rsidRDefault="00AE536A" w:rsidP="00DD137E">
      <w:pPr>
        <w:ind w:left="720" w:hanging="720"/>
        <w:jc w:val="left"/>
        <w:rPr>
          <w:lang w:val="en-GB"/>
        </w:rPr>
      </w:pPr>
      <w:r w:rsidRPr="00A90012">
        <w:rPr>
          <w:lang w:val="en-GB"/>
        </w:rPr>
        <w:t>Bell, S., &amp; Morse, S. (2013). How people use rich pictures to help them think and act. </w:t>
      </w:r>
      <w:r w:rsidRPr="00A90012">
        <w:rPr>
          <w:i/>
          <w:iCs/>
          <w:lang w:val="en-GB"/>
        </w:rPr>
        <w:t>Systemic Practice and Action Research</w:t>
      </w:r>
      <w:r w:rsidRPr="00A90012">
        <w:rPr>
          <w:lang w:val="en-GB"/>
        </w:rPr>
        <w:t>, </w:t>
      </w:r>
      <w:r w:rsidRPr="00A90012">
        <w:rPr>
          <w:i/>
          <w:iCs/>
          <w:lang w:val="en-GB"/>
        </w:rPr>
        <w:t>26</w:t>
      </w:r>
      <w:r w:rsidRPr="00A90012">
        <w:rPr>
          <w:lang w:val="en-GB"/>
        </w:rPr>
        <w:t>(4), 331-348.</w:t>
      </w:r>
    </w:p>
    <w:p w14:paraId="0B9F1010" w14:textId="77777777" w:rsidR="00AE536A" w:rsidRPr="00A90012" w:rsidRDefault="00AE536A" w:rsidP="00DD137E">
      <w:pPr>
        <w:ind w:left="720" w:hanging="720"/>
        <w:jc w:val="left"/>
        <w:rPr>
          <w:lang w:val="en-GB"/>
        </w:rPr>
      </w:pPr>
      <w:r w:rsidRPr="00A90012">
        <w:rPr>
          <w:lang w:val="en-GB"/>
        </w:rPr>
        <w:t>Bernier, A., &amp; Knoppers, B. M. (2020). Pandemics, privacy, and public health research. </w:t>
      </w:r>
      <w:r w:rsidRPr="00A90012">
        <w:rPr>
          <w:i/>
          <w:iCs/>
          <w:lang w:val="en-GB"/>
        </w:rPr>
        <w:t>Canadian Journal of Public Health</w:t>
      </w:r>
      <w:r w:rsidRPr="00A90012">
        <w:rPr>
          <w:lang w:val="en-GB"/>
        </w:rPr>
        <w:t>, </w:t>
      </w:r>
      <w:r w:rsidRPr="00A90012">
        <w:rPr>
          <w:i/>
          <w:iCs/>
          <w:lang w:val="en-GB"/>
        </w:rPr>
        <w:t>111</w:t>
      </w:r>
      <w:r w:rsidRPr="00A90012">
        <w:rPr>
          <w:lang w:val="en-GB"/>
        </w:rPr>
        <w:t>(4), 454-457.</w:t>
      </w:r>
    </w:p>
    <w:p w14:paraId="7037E6E3" w14:textId="77777777" w:rsidR="00AE536A" w:rsidRPr="00A90012" w:rsidRDefault="00AE536A" w:rsidP="00DD137E">
      <w:pPr>
        <w:ind w:left="720" w:hanging="720"/>
        <w:jc w:val="left"/>
        <w:rPr>
          <w:lang w:val="en-GB"/>
        </w:rPr>
      </w:pPr>
      <w:r w:rsidRPr="00A90012">
        <w:rPr>
          <w:lang w:val="en-GB"/>
        </w:rPr>
        <w:t>Checkland, P., &amp; Scholes, J. (1999). </w:t>
      </w:r>
      <w:r w:rsidRPr="00A90012">
        <w:rPr>
          <w:i/>
          <w:iCs/>
          <w:lang w:val="en-GB"/>
        </w:rPr>
        <w:t>Soft systems methodology in action</w:t>
      </w:r>
      <w:r w:rsidRPr="00A90012">
        <w:rPr>
          <w:lang w:val="en-GB"/>
        </w:rPr>
        <w:t>. John Wiley &amp; Sons.</w:t>
      </w:r>
    </w:p>
    <w:p w14:paraId="2BA191B2" w14:textId="77777777" w:rsidR="00AE536A" w:rsidRPr="00A90012" w:rsidRDefault="00AE536A" w:rsidP="00DD137E">
      <w:pPr>
        <w:ind w:left="720" w:hanging="720"/>
        <w:jc w:val="left"/>
        <w:rPr>
          <w:lang w:val="en-GB"/>
        </w:rPr>
      </w:pPr>
      <w:r w:rsidRPr="00A90012">
        <w:rPr>
          <w:lang w:val="en-GB"/>
        </w:rPr>
        <w:t>Costa-Font, J., &amp; Greer, S. (Eds.). (2016). </w:t>
      </w:r>
      <w:r w:rsidRPr="00A90012">
        <w:rPr>
          <w:i/>
          <w:iCs/>
          <w:lang w:val="en-GB"/>
        </w:rPr>
        <w:t>Federalism and decentralization in European health and social care</w:t>
      </w:r>
      <w:r w:rsidRPr="00A90012">
        <w:rPr>
          <w:lang w:val="en-GB"/>
        </w:rPr>
        <w:t>. Springer.</w:t>
      </w:r>
    </w:p>
    <w:p w14:paraId="705F1D9F" w14:textId="77777777" w:rsidR="00AE536A" w:rsidRPr="00A90012" w:rsidRDefault="00AE536A" w:rsidP="00DD137E">
      <w:pPr>
        <w:ind w:left="720" w:hanging="720"/>
        <w:jc w:val="left"/>
        <w:rPr>
          <w:lang w:val="en-GB"/>
        </w:rPr>
      </w:pPr>
      <w:r w:rsidRPr="00A90012">
        <w:rPr>
          <w:lang w:val="en-GB"/>
        </w:rPr>
        <w:t>Cotton, C., LaBarge, M., &amp; Nordstrom, A. (2025). Canadian Public Health Experiences with Evidence during COVID-19 and a New Framework for Assessing Evidence in Emergencies. Frontiers in Public Health, 13, 1620514.</w:t>
      </w:r>
    </w:p>
    <w:p w14:paraId="4341E0DC" w14:textId="0C311C55" w:rsidR="006660B5" w:rsidRPr="00A90012" w:rsidRDefault="006660B5" w:rsidP="006660B5">
      <w:pPr>
        <w:ind w:left="720" w:hanging="720"/>
        <w:jc w:val="left"/>
        <w:rPr>
          <w:lang w:val="en-GB"/>
        </w:rPr>
      </w:pPr>
      <w:r w:rsidRPr="00A90012">
        <w:rPr>
          <w:lang w:val="en-GB"/>
        </w:rPr>
        <w:t>Filip, R., Gheorghita Puscaselu, R., Anchidin-Norocel, L., Dimian, M., &amp; Savage, W. K. (2022). Global challenges to public health care systems during the COVID-19 pandemic: a review of pandemic measures and problems. </w:t>
      </w:r>
      <w:r w:rsidRPr="00A90012">
        <w:rPr>
          <w:i/>
          <w:iCs/>
          <w:lang w:val="en-GB"/>
        </w:rPr>
        <w:t>Journal of personalized medicine</w:t>
      </w:r>
      <w:r w:rsidRPr="00A90012">
        <w:rPr>
          <w:lang w:val="en-GB"/>
        </w:rPr>
        <w:t>, </w:t>
      </w:r>
      <w:r w:rsidRPr="00A90012">
        <w:rPr>
          <w:i/>
          <w:iCs/>
          <w:lang w:val="en-GB"/>
        </w:rPr>
        <w:t>12</w:t>
      </w:r>
      <w:r w:rsidRPr="00A90012">
        <w:rPr>
          <w:lang w:val="en-GB"/>
        </w:rPr>
        <w:t>(8), 1295.</w:t>
      </w:r>
    </w:p>
    <w:p w14:paraId="0C00534D" w14:textId="77777777" w:rsidR="00AE536A" w:rsidRPr="00A90012" w:rsidRDefault="00AE536A" w:rsidP="00DD137E">
      <w:pPr>
        <w:ind w:left="720" w:hanging="720"/>
        <w:jc w:val="left"/>
        <w:rPr>
          <w:lang w:val="en-GB"/>
        </w:rPr>
      </w:pPr>
      <w:r w:rsidRPr="00A90012">
        <w:rPr>
          <w:lang w:val="en-GB"/>
        </w:rPr>
        <w:t>Faguet, J. P. (2014). Decentralization and governance. </w:t>
      </w:r>
      <w:r w:rsidRPr="00A90012">
        <w:rPr>
          <w:i/>
          <w:iCs/>
          <w:lang w:val="en-GB"/>
        </w:rPr>
        <w:t>World Development</w:t>
      </w:r>
      <w:r w:rsidRPr="00A90012">
        <w:rPr>
          <w:lang w:val="en-GB"/>
        </w:rPr>
        <w:t>, </w:t>
      </w:r>
      <w:r w:rsidRPr="00A90012">
        <w:rPr>
          <w:i/>
          <w:iCs/>
          <w:lang w:val="en-GB"/>
        </w:rPr>
        <w:t>53</w:t>
      </w:r>
      <w:r w:rsidRPr="00A90012">
        <w:rPr>
          <w:lang w:val="en-GB"/>
        </w:rPr>
        <w:t>, 2-13.</w:t>
      </w:r>
    </w:p>
    <w:p w14:paraId="0388723D" w14:textId="77777777" w:rsidR="00AE536A" w:rsidRPr="00A90012" w:rsidRDefault="00AE536A" w:rsidP="00DD137E">
      <w:pPr>
        <w:ind w:left="720" w:hanging="720"/>
        <w:jc w:val="left"/>
        <w:rPr>
          <w:lang w:val="en-GB"/>
        </w:rPr>
      </w:pPr>
      <w:r w:rsidRPr="00A90012">
        <w:rPr>
          <w:lang w:val="en-GB"/>
        </w:rPr>
        <w:t xml:space="preserve">Fernandez-Bermejo, D.U. (2021) ‘Soft law governance in times of coronavirus in Spain’, </w:t>
      </w:r>
      <w:r w:rsidRPr="00A90012">
        <w:rPr>
          <w:i/>
          <w:iCs/>
          <w:lang w:val="en-GB"/>
        </w:rPr>
        <w:t>European Journal of Risk Regulation</w:t>
      </w:r>
      <w:r w:rsidRPr="00A90012">
        <w:rPr>
          <w:lang w:val="en-GB"/>
        </w:rPr>
        <w:t>, 12(1), pp. 111–126.</w:t>
      </w:r>
    </w:p>
    <w:p w14:paraId="249349A8" w14:textId="77777777" w:rsidR="00AE536A" w:rsidRPr="00A90012" w:rsidRDefault="00AE536A" w:rsidP="00DD137E">
      <w:pPr>
        <w:ind w:left="720" w:hanging="720"/>
        <w:jc w:val="left"/>
        <w:rPr>
          <w:lang w:val="en-GB"/>
        </w:rPr>
      </w:pPr>
      <w:r w:rsidRPr="00A90012">
        <w:rPr>
          <w:lang w:val="en-GB"/>
        </w:rPr>
        <w:t>Goleman, D. (2017). Leadership that gets results. In </w:t>
      </w:r>
      <w:r w:rsidRPr="00A90012">
        <w:rPr>
          <w:i/>
          <w:iCs/>
          <w:lang w:val="en-GB"/>
        </w:rPr>
        <w:t>Leadership perspectives</w:t>
      </w:r>
      <w:r w:rsidRPr="00A90012">
        <w:rPr>
          <w:lang w:val="en-GB"/>
        </w:rPr>
        <w:t> (pp. 85-96). Routledge.</w:t>
      </w:r>
    </w:p>
    <w:p w14:paraId="417D6E0D" w14:textId="77777777" w:rsidR="00AE536A" w:rsidRPr="00A90012" w:rsidRDefault="00AE536A" w:rsidP="00DD137E">
      <w:pPr>
        <w:ind w:left="720" w:hanging="720"/>
        <w:jc w:val="left"/>
        <w:rPr>
          <w:lang w:val="en-GB"/>
        </w:rPr>
      </w:pPr>
      <w:r w:rsidRPr="00A90012">
        <w:rPr>
          <w:lang w:val="en-GB"/>
        </w:rPr>
        <w:t xml:space="preserve">Government of Canada (2024) </w:t>
      </w:r>
      <w:r w:rsidRPr="00A90012">
        <w:rPr>
          <w:i/>
          <w:iCs/>
          <w:lang w:val="en-GB"/>
        </w:rPr>
        <w:t>Public Health Agency of Canada’s COVID-19 Response: Lessons Learned</w:t>
      </w:r>
      <w:r w:rsidRPr="00A90012">
        <w:rPr>
          <w:lang w:val="en-GB"/>
        </w:rPr>
        <w:t xml:space="preserve">. Available at: </w:t>
      </w:r>
      <w:hyperlink r:id="rId11" w:history="1">
        <w:r w:rsidRPr="00A90012">
          <w:rPr>
            <w:rStyle w:val="Hyperlink"/>
            <w:lang w:val="en-GB"/>
          </w:rPr>
          <w:t>https://www.canada.ca/en/public-health/corporate/transparency/corporate-management-reporting/evaluation/covid-19-response-lessons-learned-summary.html</w:t>
        </w:r>
      </w:hyperlink>
      <w:r w:rsidRPr="00A90012">
        <w:rPr>
          <w:lang w:val="en-GB"/>
        </w:rPr>
        <w:t xml:space="preserve"> (Accessed: 15 November 2025).</w:t>
      </w:r>
    </w:p>
    <w:p w14:paraId="03F3AF29" w14:textId="77777777" w:rsidR="00AE536A" w:rsidRPr="00A90012" w:rsidRDefault="00AE536A" w:rsidP="00DD137E">
      <w:pPr>
        <w:ind w:left="720" w:hanging="720"/>
        <w:jc w:val="left"/>
        <w:rPr>
          <w:lang w:val="en-GB"/>
        </w:rPr>
      </w:pPr>
      <w:r w:rsidRPr="00A90012">
        <w:rPr>
          <w:lang w:val="en-GB"/>
        </w:rPr>
        <w:t>Greer, S. L., Falkenbach, M., Jarman, H., Löblová, O., Rozenblum, S., Williams, N., &amp; Wismar, M. (2021). Centralisation and decentralisation in a crisis: how credit and blame shape governance. </w:t>
      </w:r>
      <w:r w:rsidRPr="00A90012">
        <w:rPr>
          <w:i/>
          <w:iCs/>
          <w:lang w:val="en-GB"/>
        </w:rPr>
        <w:t>Eurohealth</w:t>
      </w:r>
      <w:r w:rsidRPr="00A90012">
        <w:rPr>
          <w:lang w:val="en-GB"/>
        </w:rPr>
        <w:t>, </w:t>
      </w:r>
      <w:r w:rsidRPr="00A90012">
        <w:rPr>
          <w:i/>
          <w:iCs/>
          <w:lang w:val="en-GB"/>
        </w:rPr>
        <w:t>27</w:t>
      </w:r>
      <w:r w:rsidRPr="00A90012">
        <w:rPr>
          <w:lang w:val="en-GB"/>
        </w:rPr>
        <w:t>(1), 36-40.</w:t>
      </w:r>
    </w:p>
    <w:p w14:paraId="3693617B" w14:textId="77777777" w:rsidR="00AE536A" w:rsidRPr="00A90012" w:rsidRDefault="00AE536A" w:rsidP="00DD137E">
      <w:pPr>
        <w:ind w:left="720" w:hanging="720"/>
        <w:jc w:val="left"/>
        <w:rPr>
          <w:lang w:val="en-GB"/>
        </w:rPr>
      </w:pPr>
      <w:r w:rsidRPr="00A90012">
        <w:rPr>
          <w:lang w:val="en-GB"/>
        </w:rPr>
        <w:t>Greer, S. L., Wismar, M., Figueras, J., &amp; McKee, C. (2016). Governance: a framework. </w:t>
      </w:r>
      <w:r w:rsidRPr="00A90012">
        <w:rPr>
          <w:i/>
          <w:iCs/>
          <w:lang w:val="en-GB"/>
        </w:rPr>
        <w:t>Strengthening health system governance</w:t>
      </w:r>
      <w:r w:rsidRPr="00A90012">
        <w:rPr>
          <w:lang w:val="en-GB"/>
        </w:rPr>
        <w:t>, </w:t>
      </w:r>
      <w:r w:rsidRPr="00A90012">
        <w:rPr>
          <w:i/>
          <w:iCs/>
          <w:lang w:val="en-GB"/>
        </w:rPr>
        <w:t>22</w:t>
      </w:r>
      <w:r w:rsidRPr="00A90012">
        <w:rPr>
          <w:lang w:val="en-GB"/>
        </w:rPr>
        <w:t>, 27-56.</w:t>
      </w:r>
    </w:p>
    <w:p w14:paraId="4F0F7E41" w14:textId="77777777" w:rsidR="00AE536A" w:rsidRPr="00A90012" w:rsidRDefault="00AE536A" w:rsidP="00DD137E">
      <w:pPr>
        <w:ind w:left="720" w:hanging="720"/>
        <w:jc w:val="left"/>
        <w:rPr>
          <w:lang w:val="en-GB"/>
        </w:rPr>
      </w:pPr>
      <w:r w:rsidRPr="00A90012">
        <w:rPr>
          <w:lang w:val="en-GB"/>
        </w:rPr>
        <w:t>Heifetz, R. A., Grashow, A., &amp; Linsky, M. (2009). </w:t>
      </w:r>
      <w:r w:rsidRPr="00A90012">
        <w:rPr>
          <w:i/>
          <w:iCs/>
          <w:lang w:val="en-GB"/>
        </w:rPr>
        <w:t>The practice of adaptive leadership: Tools and tactics for changing your organization and the world</w:t>
      </w:r>
      <w:r w:rsidRPr="00A90012">
        <w:rPr>
          <w:lang w:val="en-GB"/>
        </w:rPr>
        <w:t>. Harvard business press.</w:t>
      </w:r>
    </w:p>
    <w:p w14:paraId="206B63E6" w14:textId="77777777" w:rsidR="00AE536A" w:rsidRPr="00A90012" w:rsidRDefault="00AE536A" w:rsidP="00DD137E">
      <w:pPr>
        <w:ind w:left="720" w:hanging="720"/>
        <w:jc w:val="left"/>
        <w:rPr>
          <w:lang w:val="en-GB"/>
        </w:rPr>
      </w:pPr>
      <w:r w:rsidRPr="00A90012">
        <w:rPr>
          <w:lang w:val="en-GB"/>
        </w:rPr>
        <w:t>Hersey, P., &amp; Blanchard, K. H. (1969). Life cycle theory of leadership. </w:t>
      </w:r>
      <w:r w:rsidRPr="00A90012">
        <w:rPr>
          <w:i/>
          <w:iCs/>
          <w:lang w:val="en-GB"/>
        </w:rPr>
        <w:t>Training &amp; development journal</w:t>
      </w:r>
      <w:r w:rsidRPr="00A90012">
        <w:rPr>
          <w:lang w:val="en-GB"/>
        </w:rPr>
        <w:t>.</w:t>
      </w:r>
    </w:p>
    <w:p w14:paraId="52E431B1" w14:textId="77777777" w:rsidR="00AE536A" w:rsidRPr="00A90012" w:rsidRDefault="00AE536A" w:rsidP="00DD137E">
      <w:pPr>
        <w:ind w:left="720" w:hanging="720"/>
        <w:jc w:val="left"/>
        <w:rPr>
          <w:lang w:val="en-GB"/>
        </w:rPr>
      </w:pPr>
      <w:r w:rsidRPr="00A90012">
        <w:rPr>
          <w:lang w:val="en-GB"/>
        </w:rPr>
        <w:t>Jones, S. (2014). Distributed leadership: A critical analysis. </w:t>
      </w:r>
      <w:r w:rsidRPr="00A90012">
        <w:rPr>
          <w:i/>
          <w:iCs/>
          <w:lang w:val="en-GB"/>
        </w:rPr>
        <w:t>Leadership</w:t>
      </w:r>
      <w:r w:rsidRPr="00A90012">
        <w:rPr>
          <w:lang w:val="en-GB"/>
        </w:rPr>
        <w:t>, </w:t>
      </w:r>
      <w:r w:rsidRPr="00A90012">
        <w:rPr>
          <w:i/>
          <w:iCs/>
          <w:lang w:val="en-GB"/>
        </w:rPr>
        <w:t>10</w:t>
      </w:r>
      <w:r w:rsidRPr="00A90012">
        <w:rPr>
          <w:lang w:val="en-GB"/>
        </w:rPr>
        <w:t>(2), 129-141.</w:t>
      </w:r>
    </w:p>
    <w:p w14:paraId="1753238D" w14:textId="77777777" w:rsidR="00AE536A" w:rsidRPr="00A90012" w:rsidRDefault="00AE536A" w:rsidP="00DD137E">
      <w:pPr>
        <w:ind w:left="720" w:hanging="720"/>
        <w:jc w:val="left"/>
        <w:rPr>
          <w:lang w:val="en-GB"/>
        </w:rPr>
      </w:pPr>
      <w:r w:rsidRPr="00A90012">
        <w:rPr>
          <w:lang w:val="en-GB"/>
        </w:rPr>
        <w:t>Kim, J., Jo, S., &amp; Cho, S. I. (2024). New framework to assess tracing and testing based on South Korea’s response to COVID-19. </w:t>
      </w:r>
      <w:r w:rsidRPr="00A90012">
        <w:rPr>
          <w:i/>
          <w:iCs/>
          <w:lang w:val="en-GB"/>
        </w:rPr>
        <w:t>BMC Infectious Diseases</w:t>
      </w:r>
      <w:r w:rsidRPr="00A90012">
        <w:rPr>
          <w:lang w:val="en-GB"/>
        </w:rPr>
        <w:t>, </w:t>
      </w:r>
      <w:r w:rsidRPr="00A90012">
        <w:rPr>
          <w:i/>
          <w:iCs/>
          <w:lang w:val="en-GB"/>
        </w:rPr>
        <w:t>24</w:t>
      </w:r>
      <w:r w:rsidRPr="00A90012">
        <w:rPr>
          <w:lang w:val="en-GB"/>
        </w:rPr>
        <w:t>(1), 469.</w:t>
      </w:r>
    </w:p>
    <w:p w14:paraId="6B87A04D" w14:textId="77777777" w:rsidR="00AE536A" w:rsidRPr="00A90012" w:rsidRDefault="00AE536A" w:rsidP="00DD137E">
      <w:pPr>
        <w:ind w:left="720" w:hanging="720"/>
        <w:jc w:val="left"/>
        <w:rPr>
          <w:lang w:val="en-GB"/>
        </w:rPr>
      </w:pPr>
      <w:r w:rsidRPr="00A90012">
        <w:rPr>
          <w:lang w:val="en-GB"/>
        </w:rPr>
        <w:t>Lee, D., &amp; Lee, J. (2020). Testing on the move: South Korea's rapid response to the COVID-19 pandemic. </w:t>
      </w:r>
      <w:r w:rsidRPr="00A90012">
        <w:rPr>
          <w:i/>
          <w:iCs/>
          <w:lang w:val="en-GB"/>
        </w:rPr>
        <w:t>Transportation Research Interdisciplinary Perspectives</w:t>
      </w:r>
      <w:r w:rsidRPr="00A90012">
        <w:rPr>
          <w:lang w:val="en-GB"/>
        </w:rPr>
        <w:t>, </w:t>
      </w:r>
      <w:r w:rsidRPr="00A90012">
        <w:rPr>
          <w:i/>
          <w:iCs/>
          <w:lang w:val="en-GB"/>
        </w:rPr>
        <w:t>5</w:t>
      </w:r>
      <w:r w:rsidRPr="00A90012">
        <w:rPr>
          <w:lang w:val="en-GB"/>
        </w:rPr>
        <w:t>, 100111.</w:t>
      </w:r>
    </w:p>
    <w:p w14:paraId="4D1DA022" w14:textId="77777777" w:rsidR="00AE536A" w:rsidRPr="00A90012" w:rsidRDefault="00AE536A" w:rsidP="00DD137E">
      <w:pPr>
        <w:ind w:left="720" w:hanging="720"/>
        <w:jc w:val="left"/>
        <w:rPr>
          <w:lang w:val="en-GB"/>
        </w:rPr>
      </w:pPr>
      <w:r w:rsidRPr="00A90012">
        <w:rPr>
          <w:lang w:val="en-GB"/>
        </w:rPr>
        <w:t>Lee, K. B., Han, S., &amp; Jeong, Y. (2020). COVID-19, flattening the curve, and Benford’s law. </w:t>
      </w:r>
      <w:r w:rsidRPr="00A90012">
        <w:rPr>
          <w:i/>
          <w:iCs/>
          <w:lang w:val="en-GB"/>
        </w:rPr>
        <w:t>Physica A: Statistical Mechanics and its Applications</w:t>
      </w:r>
      <w:r w:rsidRPr="00A90012">
        <w:rPr>
          <w:lang w:val="en-GB"/>
        </w:rPr>
        <w:t>, </w:t>
      </w:r>
      <w:r w:rsidRPr="00A90012">
        <w:rPr>
          <w:i/>
          <w:iCs/>
          <w:lang w:val="en-GB"/>
        </w:rPr>
        <w:t>559</w:t>
      </w:r>
      <w:r w:rsidRPr="00A90012">
        <w:rPr>
          <w:lang w:val="en-GB"/>
        </w:rPr>
        <w:t>, 125090.</w:t>
      </w:r>
    </w:p>
    <w:p w14:paraId="0495236E" w14:textId="77777777" w:rsidR="00AE536A" w:rsidRPr="00A90012" w:rsidRDefault="00AE536A" w:rsidP="00DD137E">
      <w:pPr>
        <w:ind w:left="720" w:hanging="720"/>
        <w:jc w:val="left"/>
        <w:rPr>
          <w:lang w:val="en-GB"/>
        </w:rPr>
      </w:pPr>
      <w:r w:rsidRPr="00A90012">
        <w:rPr>
          <w:lang w:val="en-GB"/>
        </w:rPr>
        <w:t>Lewin, K., Lippitt, R., &amp; White, R. K. (1939). Patterns of aggressive behavior in experimentally created “social climates”. </w:t>
      </w:r>
      <w:r w:rsidRPr="00A90012">
        <w:rPr>
          <w:i/>
          <w:iCs/>
          <w:lang w:val="en-GB"/>
        </w:rPr>
        <w:t>The Journal of social psychology</w:t>
      </w:r>
      <w:r w:rsidRPr="00A90012">
        <w:rPr>
          <w:lang w:val="en-GB"/>
        </w:rPr>
        <w:t>, </w:t>
      </w:r>
      <w:r w:rsidRPr="00A90012">
        <w:rPr>
          <w:i/>
          <w:iCs/>
          <w:lang w:val="en-GB"/>
        </w:rPr>
        <w:t>10</w:t>
      </w:r>
      <w:r w:rsidRPr="00A90012">
        <w:rPr>
          <w:lang w:val="en-GB"/>
        </w:rPr>
        <w:t>(2), 269-299.</w:t>
      </w:r>
    </w:p>
    <w:p w14:paraId="687CD5BA" w14:textId="77777777" w:rsidR="00AE536A" w:rsidRPr="00A90012" w:rsidRDefault="00AE536A" w:rsidP="00DD137E">
      <w:pPr>
        <w:ind w:left="720" w:hanging="720"/>
        <w:jc w:val="left"/>
        <w:rPr>
          <w:lang w:val="en-GB"/>
        </w:rPr>
      </w:pPr>
      <w:r w:rsidRPr="00A90012">
        <w:rPr>
          <w:lang w:val="en-GB"/>
        </w:rPr>
        <w:t>López-Valcárcel, B. G., &amp; Lopez-Casasnovas, G. (2025). Has regional decentralisation saved lives during the COVID-19 pandemic?. </w:t>
      </w:r>
      <w:r w:rsidRPr="00A90012">
        <w:rPr>
          <w:i/>
          <w:iCs/>
          <w:lang w:val="en-GB"/>
        </w:rPr>
        <w:t>Health Economics, Policy and Law</w:t>
      </w:r>
      <w:r w:rsidRPr="00A90012">
        <w:rPr>
          <w:lang w:val="en-GB"/>
        </w:rPr>
        <w:t>, 1-16.</w:t>
      </w:r>
    </w:p>
    <w:p w14:paraId="18202534" w14:textId="77777777" w:rsidR="00AE536A" w:rsidRPr="00A90012" w:rsidRDefault="00AE536A" w:rsidP="00DD137E">
      <w:pPr>
        <w:ind w:left="720" w:hanging="720"/>
        <w:jc w:val="left"/>
        <w:rPr>
          <w:lang w:val="en-GB"/>
        </w:rPr>
      </w:pPr>
      <w:r w:rsidRPr="00A90012">
        <w:rPr>
          <w:lang w:val="en-GB"/>
        </w:rPr>
        <w:t>MDPI. (2024). Political leaders’ communication strategies during COVID-19 in highly infected countries: A scoping review. In </w:t>
      </w:r>
      <w:r w:rsidRPr="00A90012">
        <w:rPr>
          <w:i/>
          <w:iCs/>
          <w:lang w:val="en-GB"/>
        </w:rPr>
        <w:t>Healthcare</w:t>
      </w:r>
      <w:r w:rsidRPr="00A90012">
        <w:rPr>
          <w:lang w:val="en-GB"/>
        </w:rPr>
        <w:t> (Vol. 12, No. 6, p. 607). MDPI.</w:t>
      </w:r>
    </w:p>
    <w:p w14:paraId="243FED32" w14:textId="77777777" w:rsidR="00AE536A" w:rsidRPr="00A90012" w:rsidRDefault="00AE536A" w:rsidP="00DD137E">
      <w:pPr>
        <w:ind w:left="720" w:hanging="720"/>
        <w:jc w:val="left"/>
        <w:rPr>
          <w:lang w:val="en-GB"/>
        </w:rPr>
      </w:pPr>
      <w:r w:rsidRPr="00A90012">
        <w:rPr>
          <w:lang w:val="en-GB"/>
        </w:rPr>
        <w:t>Northouse, P. G. (2025). </w:t>
      </w:r>
      <w:r w:rsidRPr="00A90012">
        <w:rPr>
          <w:i/>
          <w:iCs/>
          <w:lang w:val="en-GB"/>
        </w:rPr>
        <w:t>Leadership: Theory and practice</w:t>
      </w:r>
      <w:r w:rsidRPr="00A90012">
        <w:rPr>
          <w:lang w:val="en-GB"/>
        </w:rPr>
        <w:t>. Sage publications.</w:t>
      </w:r>
    </w:p>
    <w:p w14:paraId="437B5E92" w14:textId="77777777" w:rsidR="00AE536A" w:rsidRPr="00A90012" w:rsidRDefault="00AE536A" w:rsidP="00DD137E">
      <w:pPr>
        <w:ind w:left="720" w:hanging="720"/>
        <w:jc w:val="left"/>
        <w:rPr>
          <w:lang w:val="en-GB"/>
        </w:rPr>
      </w:pPr>
      <w:r w:rsidRPr="00A90012">
        <w:rPr>
          <w:lang w:val="en-GB"/>
        </w:rPr>
        <w:t xml:space="preserve">OECD. (2020). The territorial impact of COVID-19: Managing the crisis across levels of government. Available at: </w:t>
      </w:r>
      <w:hyperlink r:id="rId12" w:history="1">
        <w:r w:rsidRPr="00A90012">
          <w:rPr>
            <w:rStyle w:val="Hyperlink"/>
            <w:lang w:val="en-GB"/>
          </w:rPr>
          <w:t>https://www.oecd.org/en/publications/2020/04/the-territorial-impact-of-covid-19-managing-the-crisis-across-levels-of-government_9cfcb95f.html</w:t>
        </w:r>
      </w:hyperlink>
      <w:r w:rsidRPr="00A90012">
        <w:rPr>
          <w:lang w:val="en-GB"/>
        </w:rPr>
        <w:t xml:space="preserve"> </w:t>
      </w:r>
    </w:p>
    <w:p w14:paraId="6EE7E4D9" w14:textId="77777777" w:rsidR="00AE536A" w:rsidRPr="00A90012" w:rsidRDefault="00AE536A" w:rsidP="00DD137E">
      <w:pPr>
        <w:ind w:left="720" w:hanging="720"/>
        <w:jc w:val="left"/>
        <w:rPr>
          <w:lang w:val="en-GB"/>
        </w:rPr>
      </w:pPr>
      <w:r w:rsidRPr="00A90012">
        <w:rPr>
          <w:lang w:val="en-GB"/>
        </w:rPr>
        <w:t xml:space="preserve">OECD. (2021). Health at a Glance: OECD indicators. Available at: </w:t>
      </w:r>
      <w:hyperlink r:id="rId13" w:history="1">
        <w:r w:rsidRPr="00A90012">
          <w:rPr>
            <w:rStyle w:val="Hyperlink"/>
            <w:lang w:val="en-GB"/>
          </w:rPr>
          <w:t>https://www.oecd.org/en/publications/2021/11/health-at-a-glance-2021_cc38aa56.html</w:t>
        </w:r>
      </w:hyperlink>
      <w:r w:rsidRPr="00A90012">
        <w:rPr>
          <w:lang w:val="en-GB"/>
        </w:rPr>
        <w:t xml:space="preserve"> </w:t>
      </w:r>
    </w:p>
    <w:p w14:paraId="5143428E" w14:textId="77777777" w:rsidR="00AE536A" w:rsidRPr="00A90012" w:rsidRDefault="00AE536A" w:rsidP="00DD137E">
      <w:pPr>
        <w:ind w:left="720" w:hanging="720"/>
        <w:jc w:val="left"/>
        <w:rPr>
          <w:lang w:val="en-GB"/>
        </w:rPr>
      </w:pPr>
      <w:r w:rsidRPr="00A90012">
        <w:rPr>
          <w:lang w:val="en-GB"/>
        </w:rPr>
        <w:t>Oh, J., Lee, J. K., Schwarz, D., Ratcliffe, H. L., Markuns, J. F., &amp; Hirschhorn, L. R. (2020). National response to COVID-19 in the Republic of Korea and lessons learned for other countries. </w:t>
      </w:r>
      <w:r w:rsidRPr="00A90012">
        <w:rPr>
          <w:i/>
          <w:iCs/>
          <w:lang w:val="en-GB"/>
        </w:rPr>
        <w:t>Health Systems &amp; Reform</w:t>
      </w:r>
      <w:r w:rsidRPr="00A90012">
        <w:rPr>
          <w:lang w:val="en-GB"/>
        </w:rPr>
        <w:t>, </w:t>
      </w:r>
      <w:r w:rsidRPr="00A90012">
        <w:rPr>
          <w:i/>
          <w:iCs/>
          <w:lang w:val="en-GB"/>
        </w:rPr>
        <w:t>6</w:t>
      </w:r>
      <w:r w:rsidRPr="00A90012">
        <w:rPr>
          <w:lang w:val="en-GB"/>
        </w:rPr>
        <w:t>(1), e1753464.</w:t>
      </w:r>
    </w:p>
    <w:p w14:paraId="1C5D26D1" w14:textId="77777777" w:rsidR="00AE536A" w:rsidRPr="00A90012" w:rsidRDefault="00AE536A" w:rsidP="00DD137E">
      <w:pPr>
        <w:ind w:left="720" w:hanging="720"/>
        <w:jc w:val="left"/>
        <w:rPr>
          <w:lang w:val="en-GB"/>
        </w:rPr>
      </w:pPr>
      <w:r w:rsidRPr="00A90012">
        <w:rPr>
          <w:lang w:val="en-GB"/>
        </w:rPr>
        <w:t xml:space="preserve">Park, S., Choi, G.J. and Ko, H. (2021) ‘Privacy in the time of COVID-19: divergent paths for contact tracing and route-disclosure mechanisms in South Korea’, </w:t>
      </w:r>
      <w:r w:rsidRPr="00A90012">
        <w:rPr>
          <w:i/>
          <w:iCs/>
          <w:lang w:val="en-GB"/>
        </w:rPr>
        <w:t>IEEE Security &amp; Privacy</w:t>
      </w:r>
      <w:r w:rsidRPr="00A90012">
        <w:rPr>
          <w:lang w:val="en-GB"/>
        </w:rPr>
        <w:t>, 19(3), pp. 51–56.</w:t>
      </w:r>
    </w:p>
    <w:p w14:paraId="3CA6E29D" w14:textId="77777777" w:rsidR="00AE536A" w:rsidRPr="00A90012" w:rsidRDefault="00AE536A" w:rsidP="00DD137E">
      <w:pPr>
        <w:ind w:left="720" w:hanging="720"/>
        <w:jc w:val="left"/>
        <w:rPr>
          <w:lang w:val="en-GB"/>
        </w:rPr>
      </w:pPr>
      <w:r w:rsidRPr="00A90012">
        <w:rPr>
          <w:lang w:val="en-GB"/>
        </w:rPr>
        <w:t xml:space="preserve">PHAC. (2020). Public Health Agency of Canada’s COVID 19 response: Lessons learned. Government of Canada. Available at: </w:t>
      </w:r>
      <w:hyperlink r:id="rId14" w:history="1">
        <w:r w:rsidRPr="00A90012">
          <w:rPr>
            <w:rStyle w:val="Hyperlink"/>
            <w:lang w:val="en-GB"/>
          </w:rPr>
          <w:t>https://www.canada.ca/en/public-health/corporate/transparency/corporate-management-reporting/evaluation/covid-19-response-lessons-learned-summary.html</w:t>
        </w:r>
      </w:hyperlink>
      <w:r w:rsidRPr="00A90012">
        <w:rPr>
          <w:lang w:val="en-GB"/>
        </w:rPr>
        <w:t xml:space="preserve"> </w:t>
      </w:r>
    </w:p>
    <w:p w14:paraId="69506DD6" w14:textId="77777777" w:rsidR="00AE536A" w:rsidRPr="00A90012" w:rsidRDefault="00AE536A" w:rsidP="00DD137E">
      <w:pPr>
        <w:ind w:left="720" w:hanging="720"/>
        <w:jc w:val="left"/>
        <w:rPr>
          <w:lang w:val="en-GB"/>
        </w:rPr>
      </w:pPr>
      <w:r w:rsidRPr="00A90012">
        <w:rPr>
          <w:lang w:val="en-GB"/>
        </w:rPr>
        <w:t xml:space="preserve">PHAC. (2021). A vision to transform Canada’s public health system: Chief Public Health Officer’s Report on the state of public health in Canada 2021. Government of Canada. Available at: </w:t>
      </w:r>
      <w:hyperlink r:id="rId15" w:history="1">
        <w:r w:rsidRPr="00A90012">
          <w:rPr>
            <w:rStyle w:val="Hyperlink"/>
            <w:lang w:val="en-GB"/>
          </w:rPr>
          <w:t>https://www.canada.ca/en/public-health/corporate/publications/chief-public-health-officer-reports-state-public-health-canada/state-public-health-canada-2021.html</w:t>
        </w:r>
      </w:hyperlink>
    </w:p>
    <w:p w14:paraId="4D928B8D" w14:textId="77777777" w:rsidR="00AE536A" w:rsidRPr="00A90012" w:rsidRDefault="00AE536A" w:rsidP="00DD137E">
      <w:pPr>
        <w:ind w:left="720" w:hanging="720"/>
        <w:jc w:val="left"/>
        <w:rPr>
          <w:lang w:val="en-GB"/>
        </w:rPr>
      </w:pPr>
      <w:r w:rsidRPr="00A90012">
        <w:rPr>
          <w:lang w:val="en-GB"/>
        </w:rPr>
        <w:t>Saltman, R., Busse, R., &amp; Figueras, J. (2006). </w:t>
      </w:r>
      <w:r w:rsidRPr="00A90012">
        <w:rPr>
          <w:i/>
          <w:iCs/>
          <w:lang w:val="en-GB"/>
        </w:rPr>
        <w:t>Decentralization in health care: strategies and outcomes</w:t>
      </w:r>
      <w:r w:rsidRPr="00A90012">
        <w:rPr>
          <w:lang w:val="en-GB"/>
        </w:rPr>
        <w:t>. McGraw-hill education (UK).</w:t>
      </w:r>
    </w:p>
    <w:p w14:paraId="0A006DC7" w14:textId="77777777" w:rsidR="00AE536A" w:rsidRPr="00A90012" w:rsidRDefault="00AE536A" w:rsidP="00DD137E">
      <w:pPr>
        <w:ind w:left="720" w:hanging="720"/>
        <w:jc w:val="left"/>
        <w:rPr>
          <w:lang w:val="en-GB"/>
        </w:rPr>
      </w:pPr>
      <w:r w:rsidRPr="00A90012">
        <w:rPr>
          <w:lang w:val="en-GB"/>
        </w:rPr>
        <w:t>Sazzad, F., Rajan, V. P., &amp; Demircioglu, M. A. (2021). The role of leadership in public sector innovation: A systematic review and meta-analysis of the management of COVID-19 in Asian countries. </w:t>
      </w:r>
      <w:r w:rsidRPr="00A90012">
        <w:rPr>
          <w:i/>
          <w:iCs/>
          <w:lang w:val="en-GB"/>
        </w:rPr>
        <w:t>Frontiers in Public Health</w:t>
      </w:r>
      <w:r w:rsidRPr="00A90012">
        <w:rPr>
          <w:lang w:val="en-GB"/>
        </w:rPr>
        <w:t>, </w:t>
      </w:r>
      <w:r w:rsidRPr="00A90012">
        <w:rPr>
          <w:i/>
          <w:iCs/>
          <w:lang w:val="en-GB"/>
        </w:rPr>
        <w:t>9</w:t>
      </w:r>
      <w:r w:rsidRPr="00A90012">
        <w:rPr>
          <w:lang w:val="en-GB"/>
        </w:rPr>
        <w:t>, 743748.</w:t>
      </w:r>
    </w:p>
    <w:p w14:paraId="4D801EB1" w14:textId="77777777" w:rsidR="00AE536A" w:rsidRPr="00A90012" w:rsidRDefault="00AE536A" w:rsidP="00DD137E">
      <w:pPr>
        <w:ind w:left="720" w:hanging="720"/>
        <w:jc w:val="left"/>
        <w:rPr>
          <w:lang w:val="en-GB"/>
        </w:rPr>
      </w:pPr>
      <w:r w:rsidRPr="00A90012">
        <w:rPr>
          <w:lang w:val="en-GB"/>
        </w:rPr>
        <w:t>Shaw, R., Kim, Y. K., &amp; Hua, J. (2020). Governance, technology and citizen behavior in pandemic: Lessons from COVID-19 in East Asia. </w:t>
      </w:r>
      <w:r w:rsidRPr="00A90012">
        <w:rPr>
          <w:i/>
          <w:iCs/>
          <w:lang w:val="en-GB"/>
        </w:rPr>
        <w:t>Progress in disaster science</w:t>
      </w:r>
      <w:r w:rsidRPr="00A90012">
        <w:rPr>
          <w:lang w:val="en-GB"/>
        </w:rPr>
        <w:t>, </w:t>
      </w:r>
      <w:r w:rsidRPr="00A90012">
        <w:rPr>
          <w:i/>
          <w:iCs/>
          <w:lang w:val="en-GB"/>
        </w:rPr>
        <w:t>6</w:t>
      </w:r>
      <w:r w:rsidRPr="00A90012">
        <w:rPr>
          <w:lang w:val="en-GB"/>
        </w:rPr>
        <w:t>, 100090.</w:t>
      </w:r>
    </w:p>
    <w:p w14:paraId="47265D5E" w14:textId="77777777" w:rsidR="00AE536A" w:rsidRPr="00A90012" w:rsidRDefault="00AE536A" w:rsidP="00DD137E">
      <w:pPr>
        <w:ind w:left="720" w:hanging="720"/>
        <w:jc w:val="left"/>
        <w:rPr>
          <w:lang w:val="en-GB"/>
        </w:rPr>
      </w:pPr>
      <w:r w:rsidRPr="00A90012">
        <w:rPr>
          <w:lang w:val="en-GB"/>
        </w:rPr>
        <w:t>Smith, R. W., Jarvis, T., Sandhu, H. S., Pinto, A. D., O'Neill, M., Di Ruggiero, E., ... &amp; Allin, S. (2023). Centralization and integration of public health systems: Perspectives of public health leaders on factors facilitating and impeding COVID-19 responses in three Canadian provinces. </w:t>
      </w:r>
      <w:r w:rsidRPr="00A90012">
        <w:rPr>
          <w:i/>
          <w:iCs/>
          <w:lang w:val="en-GB"/>
        </w:rPr>
        <w:t>Health Policy</w:t>
      </w:r>
      <w:r w:rsidRPr="00A90012">
        <w:rPr>
          <w:lang w:val="en-GB"/>
        </w:rPr>
        <w:t>, </w:t>
      </w:r>
      <w:r w:rsidRPr="00A90012">
        <w:rPr>
          <w:i/>
          <w:iCs/>
          <w:lang w:val="en-GB"/>
        </w:rPr>
        <w:t>127</w:t>
      </w:r>
      <w:r w:rsidRPr="00A90012">
        <w:rPr>
          <w:lang w:val="en-GB"/>
        </w:rPr>
        <w:t>, 19-28.</w:t>
      </w:r>
    </w:p>
    <w:p w14:paraId="25D8BCA9" w14:textId="77777777" w:rsidR="00AE536A" w:rsidRPr="00A90012" w:rsidRDefault="00AE536A" w:rsidP="00DD137E">
      <w:pPr>
        <w:ind w:left="720" w:hanging="720"/>
        <w:jc w:val="left"/>
        <w:rPr>
          <w:lang w:val="en-GB"/>
        </w:rPr>
      </w:pPr>
      <w:r w:rsidRPr="00A90012">
        <w:rPr>
          <w:lang w:val="en-GB"/>
        </w:rPr>
        <w:t>Susan, U., Sara, A., Lara, G., Katherine, F., Veena, S., Aidan, B., ... &amp; Peter, B. (2025). The influence of public health organization on response to the COVID-19 pandemic in four Canadian provinces: A comparative qualitative analysis. </w:t>
      </w:r>
      <w:r w:rsidRPr="00A90012">
        <w:rPr>
          <w:i/>
          <w:iCs/>
          <w:lang w:val="en-GB"/>
        </w:rPr>
        <w:t>Health Policy OPEN</w:t>
      </w:r>
      <w:r w:rsidRPr="00A90012">
        <w:rPr>
          <w:lang w:val="en-GB"/>
        </w:rPr>
        <w:t>, 100146.</w:t>
      </w:r>
    </w:p>
    <w:p w14:paraId="06CA6D40" w14:textId="77777777" w:rsidR="00AE536A" w:rsidRPr="00A90012" w:rsidRDefault="00AE536A" w:rsidP="00DD137E">
      <w:pPr>
        <w:ind w:left="720" w:hanging="720"/>
        <w:jc w:val="left"/>
        <w:rPr>
          <w:lang w:val="en-GB"/>
        </w:rPr>
      </w:pPr>
      <w:r w:rsidRPr="00A90012">
        <w:rPr>
          <w:lang w:val="en-GB"/>
        </w:rPr>
        <w:t>Zakkar, M., Kolahdooz, F., Jang, S. L., Wagg, A., DeLancey, D., Irlbacher-Fox, S., ... &amp; Sharma, S. (2025). Challenges faced by health policymakers responding to COVID-19 in remote communities in Northwest Territories, Canada. </w:t>
      </w:r>
      <w:r w:rsidRPr="00A90012">
        <w:rPr>
          <w:i/>
          <w:iCs/>
          <w:lang w:val="en-GB"/>
        </w:rPr>
        <w:t>Health Promotion International</w:t>
      </w:r>
      <w:r w:rsidRPr="00A90012">
        <w:rPr>
          <w:lang w:val="en-GB"/>
        </w:rPr>
        <w:t>, </w:t>
      </w:r>
      <w:r w:rsidRPr="00A90012">
        <w:rPr>
          <w:i/>
          <w:iCs/>
          <w:lang w:val="en-GB"/>
        </w:rPr>
        <w:t>40</w:t>
      </w:r>
      <w:r w:rsidRPr="00A90012">
        <w:rPr>
          <w:lang w:val="en-GB"/>
        </w:rPr>
        <w:t>(5), daaf159.</w:t>
      </w:r>
    </w:p>
    <w:p w14:paraId="182139E5" w14:textId="1DD5F64A" w:rsidR="00793955" w:rsidRPr="00A90012" w:rsidRDefault="00793955" w:rsidP="00793955">
      <w:pPr>
        <w:ind w:left="720" w:hanging="720"/>
        <w:rPr>
          <w:lang w:val="en-GB"/>
        </w:rPr>
      </w:pPr>
    </w:p>
    <w:sectPr w:rsidR="00793955" w:rsidRPr="00A90012">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730E7" w14:textId="77777777" w:rsidR="00D31FE9" w:rsidRDefault="00D31FE9" w:rsidP="00740F36">
      <w:pPr>
        <w:spacing w:before="0" w:after="0" w:line="240" w:lineRule="auto"/>
      </w:pPr>
      <w:r>
        <w:separator/>
      </w:r>
    </w:p>
  </w:endnote>
  <w:endnote w:type="continuationSeparator" w:id="0">
    <w:p w14:paraId="628A1BE7" w14:textId="77777777" w:rsidR="00D31FE9" w:rsidRDefault="00D31FE9" w:rsidP="00740F3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3848045"/>
      <w:docPartObj>
        <w:docPartGallery w:val="Page Numbers (Bottom of Page)"/>
        <w:docPartUnique/>
      </w:docPartObj>
    </w:sdtPr>
    <w:sdtEndPr>
      <w:rPr>
        <w:noProof/>
      </w:rPr>
    </w:sdtEndPr>
    <w:sdtContent>
      <w:p w14:paraId="084C06F0" w14:textId="547674B0" w:rsidR="00740F36" w:rsidRDefault="00740F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2F7501" w14:textId="77777777" w:rsidR="00740F36" w:rsidRDefault="00740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C46234" w14:textId="77777777" w:rsidR="00D31FE9" w:rsidRDefault="00D31FE9" w:rsidP="00740F36">
      <w:pPr>
        <w:spacing w:before="0" w:after="0" w:line="240" w:lineRule="auto"/>
      </w:pPr>
      <w:r>
        <w:separator/>
      </w:r>
    </w:p>
  </w:footnote>
  <w:footnote w:type="continuationSeparator" w:id="0">
    <w:p w14:paraId="2ABF1B47" w14:textId="77777777" w:rsidR="00D31FE9" w:rsidRDefault="00D31FE9" w:rsidP="00740F3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D249F"/>
    <w:multiLevelType w:val="multilevel"/>
    <w:tmpl w:val="5886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960A1"/>
    <w:multiLevelType w:val="multilevel"/>
    <w:tmpl w:val="81B68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1D6E77"/>
    <w:multiLevelType w:val="multilevel"/>
    <w:tmpl w:val="3DBA9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65FEC"/>
    <w:multiLevelType w:val="multilevel"/>
    <w:tmpl w:val="6C5EE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583436"/>
    <w:multiLevelType w:val="multilevel"/>
    <w:tmpl w:val="4FF8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A45C1F"/>
    <w:multiLevelType w:val="multilevel"/>
    <w:tmpl w:val="ABFC7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3F6A36"/>
    <w:multiLevelType w:val="multilevel"/>
    <w:tmpl w:val="D31E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50375F"/>
    <w:multiLevelType w:val="hybridMultilevel"/>
    <w:tmpl w:val="D688A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BE7D50"/>
    <w:multiLevelType w:val="multilevel"/>
    <w:tmpl w:val="78F24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8E3D13"/>
    <w:multiLevelType w:val="multilevel"/>
    <w:tmpl w:val="9944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660001">
    <w:abstractNumId w:val="1"/>
  </w:num>
  <w:num w:numId="2" w16cid:durableId="1883320618">
    <w:abstractNumId w:val="2"/>
  </w:num>
  <w:num w:numId="3" w16cid:durableId="1194729486">
    <w:abstractNumId w:val="6"/>
  </w:num>
  <w:num w:numId="4" w16cid:durableId="1934119514">
    <w:abstractNumId w:val="0"/>
  </w:num>
  <w:num w:numId="5" w16cid:durableId="416051372">
    <w:abstractNumId w:val="5"/>
  </w:num>
  <w:num w:numId="6" w16cid:durableId="388311643">
    <w:abstractNumId w:val="3"/>
  </w:num>
  <w:num w:numId="7" w16cid:durableId="191379114">
    <w:abstractNumId w:val="4"/>
  </w:num>
  <w:num w:numId="8" w16cid:durableId="2088072367">
    <w:abstractNumId w:val="8"/>
  </w:num>
  <w:num w:numId="9" w16cid:durableId="337392814">
    <w:abstractNumId w:val="9"/>
  </w:num>
  <w:num w:numId="10" w16cid:durableId="19541635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120"/>
    <w:rsid w:val="00012294"/>
    <w:rsid w:val="000663D3"/>
    <w:rsid w:val="000B382B"/>
    <w:rsid w:val="000D09B6"/>
    <w:rsid w:val="000D7CAF"/>
    <w:rsid w:val="0011158D"/>
    <w:rsid w:val="0012790C"/>
    <w:rsid w:val="00162D4E"/>
    <w:rsid w:val="001A5B6F"/>
    <w:rsid w:val="001E65AD"/>
    <w:rsid w:val="00204B6D"/>
    <w:rsid w:val="0021205E"/>
    <w:rsid w:val="00226349"/>
    <w:rsid w:val="00235C08"/>
    <w:rsid w:val="00295E3E"/>
    <w:rsid w:val="002D090F"/>
    <w:rsid w:val="00311B3E"/>
    <w:rsid w:val="00383F06"/>
    <w:rsid w:val="003B1787"/>
    <w:rsid w:val="003E624F"/>
    <w:rsid w:val="003F385C"/>
    <w:rsid w:val="003F7120"/>
    <w:rsid w:val="00455FD5"/>
    <w:rsid w:val="004745D4"/>
    <w:rsid w:val="004B56B1"/>
    <w:rsid w:val="004C42F1"/>
    <w:rsid w:val="004D3E4B"/>
    <w:rsid w:val="004D60D8"/>
    <w:rsid w:val="004F1F78"/>
    <w:rsid w:val="005270E2"/>
    <w:rsid w:val="00537E66"/>
    <w:rsid w:val="005414D2"/>
    <w:rsid w:val="005553B4"/>
    <w:rsid w:val="00563382"/>
    <w:rsid w:val="005E672A"/>
    <w:rsid w:val="006622B6"/>
    <w:rsid w:val="006660B5"/>
    <w:rsid w:val="006B7275"/>
    <w:rsid w:val="006F21F3"/>
    <w:rsid w:val="00721C48"/>
    <w:rsid w:val="00740F36"/>
    <w:rsid w:val="007715CC"/>
    <w:rsid w:val="00776988"/>
    <w:rsid w:val="00793955"/>
    <w:rsid w:val="007D4762"/>
    <w:rsid w:val="00805566"/>
    <w:rsid w:val="00873221"/>
    <w:rsid w:val="008B0FD7"/>
    <w:rsid w:val="008C4F47"/>
    <w:rsid w:val="00934006"/>
    <w:rsid w:val="00940E41"/>
    <w:rsid w:val="00977E2A"/>
    <w:rsid w:val="00A050A6"/>
    <w:rsid w:val="00A74C53"/>
    <w:rsid w:val="00A90012"/>
    <w:rsid w:val="00AB1A43"/>
    <w:rsid w:val="00AE536A"/>
    <w:rsid w:val="00B275F4"/>
    <w:rsid w:val="00C23FC3"/>
    <w:rsid w:val="00C314FA"/>
    <w:rsid w:val="00C368F9"/>
    <w:rsid w:val="00C5069B"/>
    <w:rsid w:val="00D043C7"/>
    <w:rsid w:val="00D24719"/>
    <w:rsid w:val="00D31FE9"/>
    <w:rsid w:val="00D7766E"/>
    <w:rsid w:val="00DD137E"/>
    <w:rsid w:val="00DE06EE"/>
    <w:rsid w:val="00DE45DC"/>
    <w:rsid w:val="00DF4BA9"/>
    <w:rsid w:val="00E0701D"/>
    <w:rsid w:val="00E17725"/>
    <w:rsid w:val="00E250B4"/>
    <w:rsid w:val="00E865BA"/>
    <w:rsid w:val="00EA4280"/>
    <w:rsid w:val="00EC136F"/>
    <w:rsid w:val="00F0170B"/>
    <w:rsid w:val="00F16721"/>
    <w:rsid w:val="00F36762"/>
    <w:rsid w:val="00F74986"/>
    <w:rsid w:val="00FD04E7"/>
    <w:rsid w:val="00FF46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1B7638"/>
  <w15:chartTrackingRefBased/>
  <w15:docId w15:val="{24A03B5C-44E5-4E64-A796-2DCCE4A4B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72A"/>
    <w:pPr>
      <w:spacing w:before="120" w:after="120" w:line="360" w:lineRule="auto"/>
      <w:jc w:val="both"/>
    </w:pPr>
    <w:rPr>
      <w:rFonts w:asciiTheme="minorBidi" w:hAnsiTheme="minorBidi"/>
    </w:rPr>
  </w:style>
  <w:style w:type="paragraph" w:styleId="Heading1">
    <w:name w:val="heading 1"/>
    <w:basedOn w:val="Normal"/>
    <w:next w:val="Normal"/>
    <w:link w:val="Heading1Char"/>
    <w:uiPriority w:val="9"/>
    <w:qFormat/>
    <w:rsid w:val="005E672A"/>
    <w:pPr>
      <w:outlineLvl w:val="0"/>
    </w:pPr>
    <w:rPr>
      <w:b/>
      <w:bCs/>
    </w:rPr>
  </w:style>
  <w:style w:type="paragraph" w:styleId="Heading2">
    <w:name w:val="heading 2"/>
    <w:basedOn w:val="Normal"/>
    <w:next w:val="Normal"/>
    <w:link w:val="Heading2Char"/>
    <w:uiPriority w:val="9"/>
    <w:unhideWhenUsed/>
    <w:qFormat/>
    <w:rsid w:val="005E672A"/>
    <w:pPr>
      <w:outlineLvl w:val="1"/>
    </w:pPr>
    <w:rPr>
      <w:b/>
      <w:bCs/>
    </w:rPr>
  </w:style>
  <w:style w:type="paragraph" w:styleId="Heading3">
    <w:name w:val="heading 3"/>
    <w:basedOn w:val="Normal"/>
    <w:next w:val="Normal"/>
    <w:link w:val="Heading3Char"/>
    <w:uiPriority w:val="9"/>
    <w:semiHidden/>
    <w:unhideWhenUsed/>
    <w:qFormat/>
    <w:rsid w:val="003F712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F712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F712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F71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1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1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1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72A"/>
    <w:rPr>
      <w:rFonts w:asciiTheme="minorBidi" w:hAnsiTheme="minorBidi"/>
      <w:b/>
      <w:bCs/>
    </w:rPr>
  </w:style>
  <w:style w:type="character" w:customStyle="1" w:styleId="Heading2Char">
    <w:name w:val="Heading 2 Char"/>
    <w:basedOn w:val="DefaultParagraphFont"/>
    <w:link w:val="Heading2"/>
    <w:uiPriority w:val="9"/>
    <w:rsid w:val="005E672A"/>
    <w:rPr>
      <w:rFonts w:asciiTheme="minorBidi" w:hAnsiTheme="minorBidi"/>
      <w:b/>
      <w:bCs/>
    </w:rPr>
  </w:style>
  <w:style w:type="character" w:customStyle="1" w:styleId="Heading3Char">
    <w:name w:val="Heading 3 Char"/>
    <w:basedOn w:val="DefaultParagraphFont"/>
    <w:link w:val="Heading3"/>
    <w:uiPriority w:val="9"/>
    <w:semiHidden/>
    <w:rsid w:val="003F7120"/>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3F7120"/>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3F7120"/>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3F712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F712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F712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F712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F71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12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F71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12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F7120"/>
    <w:pPr>
      <w:spacing w:before="160"/>
      <w:jc w:val="center"/>
    </w:pPr>
    <w:rPr>
      <w:i/>
      <w:iCs/>
      <w:color w:val="404040" w:themeColor="text1" w:themeTint="BF"/>
    </w:rPr>
  </w:style>
  <w:style w:type="character" w:customStyle="1" w:styleId="QuoteChar">
    <w:name w:val="Quote Char"/>
    <w:basedOn w:val="DefaultParagraphFont"/>
    <w:link w:val="Quote"/>
    <w:uiPriority w:val="29"/>
    <w:rsid w:val="003F7120"/>
    <w:rPr>
      <w:i/>
      <w:iCs/>
      <w:color w:val="404040" w:themeColor="text1" w:themeTint="BF"/>
      <w:lang w:val="en-GB"/>
    </w:rPr>
  </w:style>
  <w:style w:type="paragraph" w:styleId="ListParagraph">
    <w:name w:val="List Paragraph"/>
    <w:basedOn w:val="Normal"/>
    <w:uiPriority w:val="34"/>
    <w:qFormat/>
    <w:rsid w:val="003F7120"/>
    <w:pPr>
      <w:ind w:left="720"/>
      <w:contextualSpacing/>
    </w:pPr>
  </w:style>
  <w:style w:type="character" w:styleId="IntenseEmphasis">
    <w:name w:val="Intense Emphasis"/>
    <w:basedOn w:val="DefaultParagraphFont"/>
    <w:uiPriority w:val="21"/>
    <w:qFormat/>
    <w:rsid w:val="003F7120"/>
    <w:rPr>
      <w:i/>
      <w:iCs/>
      <w:color w:val="2E74B5" w:themeColor="accent1" w:themeShade="BF"/>
    </w:rPr>
  </w:style>
  <w:style w:type="paragraph" w:styleId="IntenseQuote">
    <w:name w:val="Intense Quote"/>
    <w:basedOn w:val="Normal"/>
    <w:next w:val="Normal"/>
    <w:link w:val="IntenseQuoteChar"/>
    <w:uiPriority w:val="30"/>
    <w:qFormat/>
    <w:rsid w:val="003F712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F7120"/>
    <w:rPr>
      <w:i/>
      <w:iCs/>
      <w:color w:val="2E74B5" w:themeColor="accent1" w:themeShade="BF"/>
      <w:lang w:val="en-GB"/>
    </w:rPr>
  </w:style>
  <w:style w:type="character" w:styleId="IntenseReference">
    <w:name w:val="Intense Reference"/>
    <w:basedOn w:val="DefaultParagraphFont"/>
    <w:uiPriority w:val="32"/>
    <w:qFormat/>
    <w:rsid w:val="003F7120"/>
    <w:rPr>
      <w:b/>
      <w:bCs/>
      <w:smallCaps/>
      <w:color w:val="2E74B5" w:themeColor="accent1" w:themeShade="BF"/>
      <w:spacing w:val="5"/>
    </w:rPr>
  </w:style>
  <w:style w:type="character" w:styleId="Hyperlink">
    <w:name w:val="Hyperlink"/>
    <w:basedOn w:val="DefaultParagraphFont"/>
    <w:uiPriority w:val="99"/>
    <w:unhideWhenUsed/>
    <w:rsid w:val="003F7120"/>
    <w:rPr>
      <w:color w:val="0563C1" w:themeColor="hyperlink"/>
      <w:u w:val="single"/>
    </w:rPr>
  </w:style>
  <w:style w:type="character" w:styleId="UnresolvedMention">
    <w:name w:val="Unresolved Mention"/>
    <w:basedOn w:val="DefaultParagraphFont"/>
    <w:uiPriority w:val="99"/>
    <w:semiHidden/>
    <w:unhideWhenUsed/>
    <w:rsid w:val="003F7120"/>
    <w:rPr>
      <w:color w:val="605E5C"/>
      <w:shd w:val="clear" w:color="auto" w:fill="E1DFDD"/>
    </w:rPr>
  </w:style>
  <w:style w:type="paragraph" w:styleId="NormalWeb">
    <w:name w:val="Normal (Web)"/>
    <w:basedOn w:val="Normal"/>
    <w:uiPriority w:val="99"/>
    <w:semiHidden/>
    <w:unhideWhenUsed/>
    <w:rsid w:val="00EA4280"/>
    <w:rPr>
      <w:rFonts w:ascii="Times New Roman" w:hAnsi="Times New Roman" w:cs="Times New Roman"/>
      <w:sz w:val="24"/>
      <w:szCs w:val="24"/>
    </w:rPr>
  </w:style>
  <w:style w:type="paragraph" w:styleId="TOCHeading">
    <w:name w:val="TOC Heading"/>
    <w:basedOn w:val="Heading1"/>
    <w:next w:val="Normal"/>
    <w:uiPriority w:val="39"/>
    <w:unhideWhenUsed/>
    <w:qFormat/>
    <w:rsid w:val="00740F36"/>
    <w:pPr>
      <w:keepNext/>
      <w:keepLines/>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14:ligatures w14:val="none"/>
    </w:rPr>
  </w:style>
  <w:style w:type="paragraph" w:styleId="TOC1">
    <w:name w:val="toc 1"/>
    <w:basedOn w:val="Normal"/>
    <w:next w:val="Normal"/>
    <w:autoRedefine/>
    <w:uiPriority w:val="39"/>
    <w:unhideWhenUsed/>
    <w:rsid w:val="00740F36"/>
    <w:pPr>
      <w:spacing w:after="100"/>
    </w:pPr>
  </w:style>
  <w:style w:type="paragraph" w:styleId="TOC2">
    <w:name w:val="toc 2"/>
    <w:basedOn w:val="Normal"/>
    <w:next w:val="Normal"/>
    <w:autoRedefine/>
    <w:uiPriority w:val="39"/>
    <w:unhideWhenUsed/>
    <w:rsid w:val="00740F36"/>
    <w:pPr>
      <w:spacing w:after="100"/>
      <w:ind w:left="220"/>
    </w:pPr>
  </w:style>
  <w:style w:type="paragraph" w:styleId="Header">
    <w:name w:val="header"/>
    <w:basedOn w:val="Normal"/>
    <w:link w:val="HeaderChar"/>
    <w:uiPriority w:val="99"/>
    <w:unhideWhenUsed/>
    <w:rsid w:val="00740F3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40F36"/>
    <w:rPr>
      <w:rFonts w:asciiTheme="minorBidi" w:hAnsiTheme="minorBidi"/>
    </w:rPr>
  </w:style>
  <w:style w:type="paragraph" w:styleId="Footer">
    <w:name w:val="footer"/>
    <w:basedOn w:val="Normal"/>
    <w:link w:val="FooterChar"/>
    <w:uiPriority w:val="99"/>
    <w:unhideWhenUsed/>
    <w:rsid w:val="00740F3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40F36"/>
    <w:rPr>
      <w:rFonts w:asciiTheme="minorBidi" w:hAnsi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oecd.org/en/publications/2021/11/health-at-a-glance-2021_cc38aa56.html"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oecd.org/en/publications/2020/04/the-territorial-impact-of-covid-19-managing-the-crisis-across-levels-of-government_9cfcb95f.html"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anada.ca/en/public-health/corporate/transparency/corporate-management-reporting/evaluation/covid-19-response-lessons-learned-summary.html" TargetMode="External" /><Relationship Id="rId5" Type="http://schemas.openxmlformats.org/officeDocument/2006/relationships/webSettings" Target="webSettings.xml" /><Relationship Id="rId15" Type="http://schemas.openxmlformats.org/officeDocument/2006/relationships/hyperlink" Target="https://www.canada.ca/en/public-health/corporate/publications/chief-public-health-officer-reports-state-public-health-canada/state-public-health-canada-2021.html" TargetMode="Externa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canada.ca/en/public-health/corporate/transparency/corporate-management-reporting/evaluation/covid-19-response-lessons-learned-summary.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DD460-6380-46BE-8A2C-A22EF292F2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6680</Words>
  <Characters>41446</Characters>
  <Application>Microsoft Office Word</Application>
  <DocSecurity>0</DocSecurity>
  <Lines>345</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Belinda Asante</cp:lastModifiedBy>
  <cp:revision>2</cp:revision>
  <dcterms:created xsi:type="dcterms:W3CDTF">2025-11-21T13:19:00Z</dcterms:created>
  <dcterms:modified xsi:type="dcterms:W3CDTF">2025-11-21T13:19:00Z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9b3485d8-3157-4d07-9a72-953e4519b243</vt:lpwstr>
  </property>
</Properties>
</file>