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AA0EAC" w14:textId="77777777" w:rsidR="00410D94" w:rsidRDefault="00000000" w:rsidP="007333CF">
      <w:pPr>
        <w:spacing w:before="200"/>
        <w:jc w:val="center"/>
      </w:pPr>
      <w:r>
        <w:rPr>
          <w:noProof/>
        </w:rPr>
        <w:drawing>
          <wp:inline distT="0" distB="0" distL="0" distR="0" wp14:anchorId="1B54AB20" wp14:editId="20899F83">
            <wp:extent cx="3238500" cy="1295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3238500" cy="1295400"/>
                    </a:xfrm>
                    <a:prstGeom prst="rect">
                      <a:avLst/>
                    </a:prstGeom>
                  </pic:spPr>
                </pic:pic>
              </a:graphicData>
            </a:graphic>
          </wp:inline>
        </w:drawing>
      </w:r>
    </w:p>
    <w:p w14:paraId="5701BC77" w14:textId="77777777" w:rsidR="00410D94" w:rsidRPr="007333CF" w:rsidRDefault="00000000" w:rsidP="007333CF">
      <w:pPr>
        <w:jc w:val="center"/>
        <w:rPr>
          <w:b/>
          <w:bCs/>
          <w:color w:val="0070C0"/>
          <w:sz w:val="72"/>
          <w:szCs w:val="72"/>
        </w:rPr>
      </w:pPr>
      <w:r w:rsidRPr="007333CF">
        <w:rPr>
          <w:b/>
          <w:bCs/>
          <w:i/>
          <w:iCs/>
          <w:color w:val="0070C0"/>
          <w:sz w:val="48"/>
          <w:szCs w:val="48"/>
        </w:rPr>
        <w:t>University of Wales Trinity Saint David</w:t>
      </w:r>
    </w:p>
    <w:p w14:paraId="78A81537" w14:textId="77777777" w:rsidR="00410D94" w:rsidRDefault="00000000" w:rsidP="007333CF">
      <w:pPr>
        <w:jc w:val="center"/>
      </w:pPr>
      <w:r>
        <w:rPr>
          <w:b/>
          <w:bCs/>
          <w:color w:val="12294D"/>
          <w:sz w:val="32"/>
          <w:szCs w:val="32"/>
        </w:rPr>
        <w:t>Master of Business Administration</w:t>
      </w:r>
    </w:p>
    <w:p w14:paraId="6342E613" w14:textId="77777777" w:rsidR="00410D94" w:rsidRDefault="00000000" w:rsidP="007333CF">
      <w:pPr>
        <w:jc w:val="center"/>
      </w:pPr>
      <w:r>
        <w:rPr>
          <w:b/>
          <w:bCs/>
          <w:color w:val="2E6BB0"/>
          <w:sz w:val="26"/>
          <w:szCs w:val="26"/>
        </w:rPr>
        <w:t>Human Capital Management (LCMB7023)</w:t>
      </w:r>
    </w:p>
    <w:p w14:paraId="3383AE6C" w14:textId="47BAD09B" w:rsidR="007333CF" w:rsidRPr="007333CF" w:rsidRDefault="00000000" w:rsidP="007333CF">
      <w:pPr>
        <w:jc w:val="center"/>
        <w:rPr>
          <w:b/>
          <w:color w:val="12294D"/>
          <w:sz w:val="36"/>
        </w:rPr>
      </w:pPr>
      <w:r w:rsidRPr="007333CF">
        <w:rPr>
          <w:b/>
          <w:bCs/>
          <w:color w:val="12294D"/>
          <w:sz w:val="36"/>
          <w:szCs w:val="28"/>
        </w:rPr>
        <w:t>Designing a Human Capital Architecture for Strategic Renewal:</w:t>
      </w:r>
      <w:r w:rsidR="007333CF">
        <w:rPr>
          <w:b/>
          <w:color w:val="12294D"/>
          <w:sz w:val="36"/>
        </w:rPr>
        <w:t xml:space="preserve"> </w:t>
      </w:r>
      <w:r w:rsidRPr="007333CF">
        <w:rPr>
          <w:b/>
          <w:bCs/>
          <w:color w:val="12294D"/>
          <w:sz w:val="36"/>
          <w:szCs w:val="28"/>
        </w:rPr>
        <w:t>The Case of Helios Urban Mobility</w:t>
      </w:r>
    </w:p>
    <w:p w14:paraId="0FC8D596" w14:textId="77777777" w:rsidR="007333CF" w:rsidRPr="007333CF" w:rsidRDefault="007333CF" w:rsidP="007333CF">
      <w:pPr>
        <w:jc w:val="center"/>
        <w:rPr>
          <w:b/>
          <w:bCs/>
          <w:color w:val="7030A0"/>
          <w:sz w:val="36"/>
          <w:szCs w:val="36"/>
        </w:rPr>
      </w:pPr>
      <w:r w:rsidRPr="007333CF">
        <w:rPr>
          <w:b/>
          <w:bCs/>
          <w:color w:val="7030A0"/>
          <w:sz w:val="32"/>
          <w:szCs w:val="32"/>
        </w:rPr>
        <w:t>Assessment Component 1: Individual Report</w:t>
      </w:r>
    </w:p>
    <w:p w14:paraId="347D6997" w14:textId="38E7E687" w:rsidR="00410D94" w:rsidRPr="007333CF" w:rsidRDefault="00410D94" w:rsidP="007333CF"/>
    <w:tbl>
      <w:tblPr>
        <w:tblStyle w:val="TableGrid"/>
        <w:tblW w:w="0" w:type="auto"/>
        <w:jc w:val="center"/>
        <w:tblLook w:val="04A0" w:firstRow="1" w:lastRow="0" w:firstColumn="1" w:lastColumn="0" w:noHBand="0" w:noVBand="1"/>
      </w:tblPr>
      <w:tblGrid>
        <w:gridCol w:w="3000"/>
        <w:gridCol w:w="6000"/>
      </w:tblGrid>
      <w:tr w:rsidR="007333CF" w14:paraId="3EC04024" w14:textId="77777777" w:rsidTr="007333CF">
        <w:trPr>
          <w:jc w:val="center"/>
        </w:trPr>
        <w:tc>
          <w:tcPr>
            <w:tcW w:w="3000" w:type="dxa"/>
            <w:shd w:val="clear" w:color="EAF0F8" w:fill="EAF0F8"/>
            <w:vAlign w:val="center"/>
          </w:tcPr>
          <w:p w14:paraId="35040C3C" w14:textId="26B69A0F" w:rsidR="007333CF" w:rsidRPr="007333CF" w:rsidRDefault="007333CF" w:rsidP="007333CF">
            <w:pPr>
              <w:spacing w:before="240" w:line="360" w:lineRule="auto"/>
              <w:jc w:val="center"/>
              <w:rPr>
                <w:b/>
                <w:color w:val="0070C0"/>
              </w:rPr>
            </w:pPr>
            <w:r w:rsidRPr="007333CF">
              <w:rPr>
                <w:b/>
                <w:color w:val="0070C0"/>
              </w:rPr>
              <w:t>Assessment Component</w:t>
            </w:r>
          </w:p>
        </w:tc>
        <w:tc>
          <w:tcPr>
            <w:tcW w:w="6000" w:type="dxa"/>
            <w:vAlign w:val="center"/>
          </w:tcPr>
          <w:p w14:paraId="7756246C" w14:textId="4BDC1245" w:rsidR="007333CF" w:rsidRPr="007333CF" w:rsidRDefault="007333CF" w:rsidP="007333CF">
            <w:pPr>
              <w:spacing w:before="240" w:line="360" w:lineRule="auto"/>
              <w:jc w:val="center"/>
              <w:rPr>
                <w:color w:val="0070C0"/>
              </w:rPr>
            </w:pPr>
            <w:r w:rsidRPr="007333CF">
              <w:rPr>
                <w:color w:val="0070C0"/>
              </w:rPr>
              <w:t>Individual Report (Component 1)</w:t>
            </w:r>
          </w:p>
        </w:tc>
      </w:tr>
      <w:tr w:rsidR="007333CF" w14:paraId="7716ADC1" w14:textId="77777777" w:rsidTr="007333CF">
        <w:trPr>
          <w:jc w:val="center"/>
        </w:trPr>
        <w:tc>
          <w:tcPr>
            <w:tcW w:w="3000" w:type="dxa"/>
            <w:shd w:val="clear" w:color="EAF0F8" w:fill="EAF0F8"/>
            <w:vAlign w:val="center"/>
          </w:tcPr>
          <w:p w14:paraId="7069771F" w14:textId="54B5B822" w:rsidR="007333CF" w:rsidRPr="007333CF" w:rsidRDefault="007333CF" w:rsidP="007333CF">
            <w:pPr>
              <w:spacing w:before="240" w:line="360" w:lineRule="auto"/>
              <w:jc w:val="center"/>
              <w:rPr>
                <w:b/>
                <w:color w:val="0070C0"/>
              </w:rPr>
            </w:pPr>
            <w:r w:rsidRPr="007333CF">
              <w:rPr>
                <w:b/>
                <w:color w:val="0070C0"/>
              </w:rPr>
              <w:t>Student Name</w:t>
            </w:r>
          </w:p>
        </w:tc>
        <w:tc>
          <w:tcPr>
            <w:tcW w:w="6000" w:type="dxa"/>
            <w:vAlign w:val="center"/>
          </w:tcPr>
          <w:p w14:paraId="190BDC7F" w14:textId="5A65CCBD" w:rsidR="007333CF" w:rsidRPr="007333CF" w:rsidRDefault="007333CF" w:rsidP="007333CF">
            <w:pPr>
              <w:spacing w:before="240" w:line="360" w:lineRule="auto"/>
              <w:jc w:val="center"/>
              <w:rPr>
                <w:color w:val="0070C0"/>
              </w:rPr>
            </w:pPr>
            <w:r w:rsidRPr="007333CF">
              <w:rPr>
                <w:color w:val="0070C0"/>
              </w:rPr>
              <w:t>Kathan Sanjaykumar Joshi</w:t>
            </w:r>
          </w:p>
        </w:tc>
      </w:tr>
      <w:tr w:rsidR="007333CF" w14:paraId="6D69DA4A" w14:textId="77777777" w:rsidTr="007333CF">
        <w:trPr>
          <w:jc w:val="center"/>
        </w:trPr>
        <w:tc>
          <w:tcPr>
            <w:tcW w:w="3000" w:type="dxa"/>
            <w:shd w:val="clear" w:color="EAF0F8" w:fill="EAF0F8"/>
            <w:vAlign w:val="center"/>
          </w:tcPr>
          <w:p w14:paraId="3C14B91A" w14:textId="0E6C4714" w:rsidR="007333CF" w:rsidRPr="007333CF" w:rsidRDefault="007333CF" w:rsidP="007333CF">
            <w:pPr>
              <w:spacing w:before="240" w:line="360" w:lineRule="auto"/>
              <w:jc w:val="center"/>
              <w:rPr>
                <w:b/>
                <w:color w:val="0070C0"/>
              </w:rPr>
            </w:pPr>
            <w:r w:rsidRPr="007333CF">
              <w:rPr>
                <w:b/>
                <w:color w:val="0070C0"/>
              </w:rPr>
              <w:t>Student ID</w:t>
            </w:r>
          </w:p>
        </w:tc>
        <w:tc>
          <w:tcPr>
            <w:tcW w:w="6000" w:type="dxa"/>
            <w:vAlign w:val="center"/>
          </w:tcPr>
          <w:p w14:paraId="020DFB2F" w14:textId="6AEF8AA0" w:rsidR="007333CF" w:rsidRPr="007333CF" w:rsidRDefault="007333CF" w:rsidP="007333CF">
            <w:pPr>
              <w:spacing w:before="240" w:line="360" w:lineRule="auto"/>
              <w:jc w:val="center"/>
              <w:rPr>
                <w:color w:val="0070C0"/>
              </w:rPr>
            </w:pPr>
            <w:r w:rsidRPr="007333CF">
              <w:rPr>
                <w:color w:val="0070C0"/>
              </w:rPr>
              <w:t>2538334</w:t>
            </w:r>
          </w:p>
        </w:tc>
      </w:tr>
      <w:tr w:rsidR="007333CF" w14:paraId="55E1FB8A" w14:textId="77777777" w:rsidTr="007333CF">
        <w:trPr>
          <w:jc w:val="center"/>
        </w:trPr>
        <w:tc>
          <w:tcPr>
            <w:tcW w:w="3000" w:type="dxa"/>
            <w:shd w:val="clear" w:color="EAF0F8" w:fill="EAF0F8"/>
            <w:vAlign w:val="center"/>
          </w:tcPr>
          <w:p w14:paraId="10E84D23" w14:textId="02A61D75" w:rsidR="007333CF" w:rsidRPr="007333CF" w:rsidRDefault="007333CF" w:rsidP="007333CF">
            <w:pPr>
              <w:spacing w:before="240" w:line="360" w:lineRule="auto"/>
              <w:jc w:val="center"/>
              <w:rPr>
                <w:b/>
                <w:color w:val="0070C0"/>
              </w:rPr>
            </w:pPr>
            <w:r w:rsidRPr="007333CF">
              <w:rPr>
                <w:b/>
                <w:color w:val="0070C0"/>
              </w:rPr>
              <w:t>Programme</w:t>
            </w:r>
          </w:p>
        </w:tc>
        <w:tc>
          <w:tcPr>
            <w:tcW w:w="6000" w:type="dxa"/>
            <w:vAlign w:val="center"/>
          </w:tcPr>
          <w:p w14:paraId="3AE3F2AF" w14:textId="39C4B240" w:rsidR="007333CF" w:rsidRPr="007333CF" w:rsidRDefault="007333CF" w:rsidP="007333CF">
            <w:pPr>
              <w:spacing w:before="240" w:line="360" w:lineRule="auto"/>
              <w:jc w:val="center"/>
              <w:rPr>
                <w:color w:val="0070C0"/>
              </w:rPr>
            </w:pPr>
            <w:r w:rsidRPr="007333CF">
              <w:rPr>
                <w:color w:val="0070C0"/>
              </w:rPr>
              <w:t>Master of Business Administration</w:t>
            </w:r>
          </w:p>
        </w:tc>
      </w:tr>
      <w:tr w:rsidR="007333CF" w14:paraId="157C299B" w14:textId="77777777" w:rsidTr="007333CF">
        <w:trPr>
          <w:jc w:val="center"/>
        </w:trPr>
        <w:tc>
          <w:tcPr>
            <w:tcW w:w="3000" w:type="dxa"/>
            <w:shd w:val="clear" w:color="EAF0F8" w:fill="EAF0F8"/>
            <w:vAlign w:val="center"/>
          </w:tcPr>
          <w:p w14:paraId="597BC069" w14:textId="49F70330" w:rsidR="007333CF" w:rsidRPr="007333CF" w:rsidRDefault="007333CF" w:rsidP="007333CF">
            <w:pPr>
              <w:spacing w:before="240" w:line="360" w:lineRule="auto"/>
              <w:jc w:val="center"/>
              <w:rPr>
                <w:b/>
                <w:color w:val="0070C0"/>
              </w:rPr>
            </w:pPr>
            <w:r w:rsidRPr="007333CF">
              <w:rPr>
                <w:b/>
                <w:color w:val="0070C0"/>
              </w:rPr>
              <w:t>Module</w:t>
            </w:r>
          </w:p>
        </w:tc>
        <w:tc>
          <w:tcPr>
            <w:tcW w:w="6000" w:type="dxa"/>
            <w:vAlign w:val="center"/>
          </w:tcPr>
          <w:p w14:paraId="7B916FD5" w14:textId="2442334A" w:rsidR="007333CF" w:rsidRPr="007333CF" w:rsidRDefault="007333CF" w:rsidP="007333CF">
            <w:pPr>
              <w:spacing w:before="240" w:line="360" w:lineRule="auto"/>
              <w:jc w:val="center"/>
              <w:rPr>
                <w:color w:val="0070C0"/>
              </w:rPr>
            </w:pPr>
            <w:r w:rsidRPr="007333CF">
              <w:rPr>
                <w:color w:val="0070C0"/>
              </w:rPr>
              <w:t>Human Capital Management (LCMB7023)</w:t>
            </w:r>
          </w:p>
        </w:tc>
      </w:tr>
      <w:tr w:rsidR="007333CF" w14:paraId="361C8DA1" w14:textId="77777777" w:rsidTr="007333CF">
        <w:trPr>
          <w:jc w:val="center"/>
        </w:trPr>
        <w:tc>
          <w:tcPr>
            <w:tcW w:w="3000" w:type="dxa"/>
            <w:shd w:val="clear" w:color="EAF0F8" w:fill="EAF0F8"/>
            <w:vAlign w:val="center"/>
          </w:tcPr>
          <w:p w14:paraId="5754D016" w14:textId="1AB6521C" w:rsidR="007333CF" w:rsidRPr="007333CF" w:rsidRDefault="007333CF" w:rsidP="007333CF">
            <w:pPr>
              <w:spacing w:before="240" w:line="360" w:lineRule="auto"/>
              <w:jc w:val="center"/>
              <w:rPr>
                <w:b/>
                <w:color w:val="0070C0"/>
              </w:rPr>
            </w:pPr>
            <w:r w:rsidRPr="007333CF">
              <w:rPr>
                <w:b/>
                <w:color w:val="0070C0"/>
              </w:rPr>
              <w:t>Lecturer</w:t>
            </w:r>
          </w:p>
        </w:tc>
        <w:tc>
          <w:tcPr>
            <w:tcW w:w="6000" w:type="dxa"/>
            <w:vAlign w:val="center"/>
          </w:tcPr>
          <w:p w14:paraId="6BBFBF58" w14:textId="5F78C6CD" w:rsidR="007333CF" w:rsidRPr="007333CF" w:rsidRDefault="007333CF" w:rsidP="007333CF">
            <w:pPr>
              <w:spacing w:before="240" w:line="360" w:lineRule="auto"/>
              <w:jc w:val="center"/>
              <w:rPr>
                <w:color w:val="0070C0"/>
              </w:rPr>
            </w:pPr>
            <w:r w:rsidRPr="007333CF">
              <w:rPr>
                <w:color w:val="0070C0"/>
              </w:rPr>
              <w:t>Gladius Kulothungan / Eno Maycock</w:t>
            </w:r>
          </w:p>
        </w:tc>
      </w:tr>
      <w:tr w:rsidR="007333CF" w14:paraId="0F31B65A" w14:textId="77777777" w:rsidTr="007333CF">
        <w:trPr>
          <w:jc w:val="center"/>
        </w:trPr>
        <w:tc>
          <w:tcPr>
            <w:tcW w:w="3000" w:type="dxa"/>
            <w:shd w:val="clear" w:color="EAF0F8" w:fill="EAF0F8"/>
            <w:vAlign w:val="center"/>
          </w:tcPr>
          <w:p w14:paraId="00721A4E" w14:textId="376F7D04" w:rsidR="007333CF" w:rsidRPr="007333CF" w:rsidRDefault="007333CF" w:rsidP="007333CF">
            <w:pPr>
              <w:spacing w:before="240" w:line="360" w:lineRule="auto"/>
              <w:jc w:val="center"/>
              <w:rPr>
                <w:b/>
                <w:color w:val="0070C0"/>
              </w:rPr>
            </w:pPr>
            <w:r w:rsidRPr="007333CF">
              <w:rPr>
                <w:b/>
                <w:color w:val="0070C0"/>
              </w:rPr>
              <w:t>Word Count</w:t>
            </w:r>
          </w:p>
        </w:tc>
        <w:tc>
          <w:tcPr>
            <w:tcW w:w="6000" w:type="dxa"/>
            <w:vAlign w:val="center"/>
          </w:tcPr>
          <w:p w14:paraId="3467DA62" w14:textId="75161C48" w:rsidR="007333CF" w:rsidRPr="007333CF" w:rsidRDefault="007333CF" w:rsidP="007333CF">
            <w:pPr>
              <w:spacing w:before="240" w:line="360" w:lineRule="auto"/>
              <w:jc w:val="center"/>
              <w:rPr>
                <w:color w:val="0070C0"/>
              </w:rPr>
            </w:pPr>
            <w:r w:rsidRPr="007333CF">
              <w:rPr>
                <w:color w:val="0070C0"/>
              </w:rPr>
              <w:t xml:space="preserve">2,654 words </w:t>
            </w:r>
          </w:p>
        </w:tc>
      </w:tr>
      <w:tr w:rsidR="007333CF" w14:paraId="05AC5D3E" w14:textId="77777777" w:rsidTr="007333CF">
        <w:trPr>
          <w:jc w:val="center"/>
        </w:trPr>
        <w:tc>
          <w:tcPr>
            <w:tcW w:w="3000" w:type="dxa"/>
            <w:shd w:val="clear" w:color="EAF0F8" w:fill="EAF0F8"/>
            <w:vAlign w:val="center"/>
          </w:tcPr>
          <w:p w14:paraId="012D4406" w14:textId="05B12880" w:rsidR="007333CF" w:rsidRPr="007333CF" w:rsidRDefault="007333CF" w:rsidP="007333CF">
            <w:pPr>
              <w:spacing w:before="240" w:line="360" w:lineRule="auto"/>
              <w:jc w:val="center"/>
              <w:rPr>
                <w:b/>
                <w:color w:val="0070C0"/>
              </w:rPr>
            </w:pPr>
            <w:r w:rsidRPr="007333CF">
              <w:rPr>
                <w:b/>
                <w:color w:val="0070C0"/>
              </w:rPr>
              <w:t>Submission Date</w:t>
            </w:r>
          </w:p>
        </w:tc>
        <w:tc>
          <w:tcPr>
            <w:tcW w:w="6000" w:type="dxa"/>
            <w:vAlign w:val="center"/>
          </w:tcPr>
          <w:p w14:paraId="4097412E" w14:textId="1E056D24" w:rsidR="007333CF" w:rsidRPr="007333CF" w:rsidRDefault="007333CF" w:rsidP="007333CF">
            <w:pPr>
              <w:spacing w:before="240" w:line="360" w:lineRule="auto"/>
              <w:jc w:val="center"/>
              <w:rPr>
                <w:color w:val="0070C0"/>
              </w:rPr>
            </w:pPr>
            <w:r w:rsidRPr="007333CF">
              <w:rPr>
                <w:color w:val="0070C0"/>
              </w:rPr>
              <w:t>1</w:t>
            </w:r>
            <w:r w:rsidR="00A265DA">
              <w:rPr>
                <w:color w:val="0070C0"/>
              </w:rPr>
              <w:t>5</w:t>
            </w:r>
            <w:r w:rsidRPr="007333CF">
              <w:rPr>
                <w:color w:val="0070C0"/>
              </w:rPr>
              <w:t xml:space="preserve"> July 2026</w:t>
            </w:r>
          </w:p>
        </w:tc>
      </w:tr>
    </w:tbl>
    <w:p w14:paraId="10443457" w14:textId="77777777" w:rsidR="00410D94" w:rsidRDefault="00000000" w:rsidP="007333CF">
      <w:r>
        <w:br w:type="page"/>
      </w:r>
    </w:p>
    <w:p w14:paraId="2398BA09" w14:textId="77777777" w:rsidR="00410D94" w:rsidRDefault="00000000" w:rsidP="007333CF">
      <w:pPr>
        <w:pStyle w:val="Heading1"/>
      </w:pPr>
      <w:bookmarkStart w:id="0" w:name="_Toc234923992"/>
      <w:r>
        <w:lastRenderedPageBreak/>
        <w:t>Table of Contents</w:t>
      </w:r>
      <w:bookmarkEnd w:id="0"/>
    </w:p>
    <w:sdt>
      <w:sdtPr>
        <w:alias w:val="Table of Contents"/>
        <w:id w:val="1021359883"/>
      </w:sdtPr>
      <w:sdtContent>
        <w:p w14:paraId="3525A93C" w14:textId="77777777" w:rsidR="007333CF" w:rsidRDefault="00000000" w:rsidP="007333CF">
          <w:pPr>
            <w:pStyle w:val="TOC1"/>
            <w:tabs>
              <w:tab w:val="right" w:leader="dot" w:pos="9736"/>
            </w:tabs>
            <w:rPr>
              <w:noProof/>
            </w:rPr>
          </w:pPr>
          <w:r>
            <w:fldChar w:fldCharType="begin"/>
          </w:r>
          <w:r>
            <w:instrText>TOC \h \o "1-2"</w:instrText>
          </w:r>
          <w:r>
            <w:fldChar w:fldCharType="separate"/>
          </w:r>
          <w:hyperlink w:anchor="_Toc234923992" w:history="1">
            <w:r w:rsidR="007333CF" w:rsidRPr="00F92354">
              <w:rPr>
                <w:rStyle w:val="Hyperlink"/>
                <w:noProof/>
              </w:rPr>
              <w:t>Table of Contents</w:t>
            </w:r>
            <w:r w:rsidR="007333CF">
              <w:rPr>
                <w:noProof/>
              </w:rPr>
              <w:tab/>
            </w:r>
            <w:r w:rsidR="007333CF">
              <w:rPr>
                <w:noProof/>
              </w:rPr>
              <w:fldChar w:fldCharType="begin"/>
            </w:r>
            <w:r w:rsidR="007333CF">
              <w:rPr>
                <w:noProof/>
              </w:rPr>
              <w:instrText xml:space="preserve"> PAGEREF _Toc234923992 \h </w:instrText>
            </w:r>
            <w:r w:rsidR="007333CF">
              <w:rPr>
                <w:noProof/>
              </w:rPr>
            </w:r>
            <w:r w:rsidR="007333CF">
              <w:rPr>
                <w:noProof/>
              </w:rPr>
              <w:fldChar w:fldCharType="separate"/>
            </w:r>
            <w:r w:rsidR="007333CF">
              <w:rPr>
                <w:noProof/>
              </w:rPr>
              <w:t>2</w:t>
            </w:r>
            <w:r w:rsidR="007333CF">
              <w:rPr>
                <w:noProof/>
              </w:rPr>
              <w:fldChar w:fldCharType="end"/>
            </w:r>
          </w:hyperlink>
        </w:p>
        <w:p w14:paraId="00DA44F5" w14:textId="77777777" w:rsidR="007333CF" w:rsidRDefault="007333CF" w:rsidP="007333CF">
          <w:pPr>
            <w:pStyle w:val="TOC1"/>
            <w:tabs>
              <w:tab w:val="right" w:leader="dot" w:pos="9736"/>
            </w:tabs>
            <w:rPr>
              <w:noProof/>
            </w:rPr>
          </w:pPr>
          <w:hyperlink w:anchor="_Toc234923993" w:history="1">
            <w:r w:rsidRPr="00F92354">
              <w:rPr>
                <w:rStyle w:val="Hyperlink"/>
                <w:noProof/>
              </w:rPr>
              <w:t>Executive Summary</w:t>
            </w:r>
            <w:r>
              <w:rPr>
                <w:noProof/>
              </w:rPr>
              <w:tab/>
            </w:r>
            <w:r>
              <w:rPr>
                <w:noProof/>
              </w:rPr>
              <w:fldChar w:fldCharType="begin"/>
            </w:r>
            <w:r>
              <w:rPr>
                <w:noProof/>
              </w:rPr>
              <w:instrText xml:space="preserve"> PAGEREF _Toc234923993 \h </w:instrText>
            </w:r>
            <w:r>
              <w:rPr>
                <w:noProof/>
              </w:rPr>
            </w:r>
            <w:r>
              <w:rPr>
                <w:noProof/>
              </w:rPr>
              <w:fldChar w:fldCharType="separate"/>
            </w:r>
            <w:r>
              <w:rPr>
                <w:noProof/>
              </w:rPr>
              <w:t>3</w:t>
            </w:r>
            <w:r>
              <w:rPr>
                <w:noProof/>
              </w:rPr>
              <w:fldChar w:fldCharType="end"/>
            </w:r>
          </w:hyperlink>
        </w:p>
        <w:p w14:paraId="50941C88" w14:textId="77777777" w:rsidR="007333CF" w:rsidRDefault="007333CF" w:rsidP="007333CF">
          <w:pPr>
            <w:pStyle w:val="TOC1"/>
            <w:tabs>
              <w:tab w:val="right" w:leader="dot" w:pos="9736"/>
            </w:tabs>
            <w:rPr>
              <w:noProof/>
            </w:rPr>
          </w:pPr>
          <w:hyperlink w:anchor="_Toc234923994" w:history="1">
            <w:r w:rsidRPr="00F92354">
              <w:rPr>
                <w:rStyle w:val="Hyperlink"/>
                <w:noProof/>
              </w:rPr>
              <w:t>1. Introduction</w:t>
            </w:r>
            <w:r>
              <w:rPr>
                <w:noProof/>
              </w:rPr>
              <w:tab/>
            </w:r>
            <w:r>
              <w:rPr>
                <w:noProof/>
              </w:rPr>
              <w:fldChar w:fldCharType="begin"/>
            </w:r>
            <w:r>
              <w:rPr>
                <w:noProof/>
              </w:rPr>
              <w:instrText xml:space="preserve"> PAGEREF _Toc234923994 \h </w:instrText>
            </w:r>
            <w:r>
              <w:rPr>
                <w:noProof/>
              </w:rPr>
            </w:r>
            <w:r>
              <w:rPr>
                <w:noProof/>
              </w:rPr>
              <w:fldChar w:fldCharType="separate"/>
            </w:r>
            <w:r>
              <w:rPr>
                <w:noProof/>
              </w:rPr>
              <w:t>3</w:t>
            </w:r>
            <w:r>
              <w:rPr>
                <w:noProof/>
              </w:rPr>
              <w:fldChar w:fldCharType="end"/>
            </w:r>
          </w:hyperlink>
        </w:p>
        <w:p w14:paraId="5D1769B8" w14:textId="77777777" w:rsidR="007333CF" w:rsidRDefault="007333CF" w:rsidP="007333CF">
          <w:pPr>
            <w:pStyle w:val="TOC1"/>
            <w:tabs>
              <w:tab w:val="right" w:leader="dot" w:pos="9736"/>
            </w:tabs>
            <w:rPr>
              <w:noProof/>
            </w:rPr>
          </w:pPr>
          <w:hyperlink w:anchor="_Toc234923995" w:history="1">
            <w:r w:rsidRPr="00F92354">
              <w:rPr>
                <w:rStyle w:val="Hyperlink"/>
                <w:noProof/>
              </w:rPr>
              <w:t>2. Task A: Socialisation, Identity and Business Activism</w:t>
            </w:r>
            <w:r>
              <w:rPr>
                <w:noProof/>
              </w:rPr>
              <w:tab/>
            </w:r>
            <w:r>
              <w:rPr>
                <w:noProof/>
              </w:rPr>
              <w:fldChar w:fldCharType="begin"/>
            </w:r>
            <w:r>
              <w:rPr>
                <w:noProof/>
              </w:rPr>
              <w:instrText xml:space="preserve"> PAGEREF _Toc234923995 \h </w:instrText>
            </w:r>
            <w:r>
              <w:rPr>
                <w:noProof/>
              </w:rPr>
            </w:r>
            <w:r>
              <w:rPr>
                <w:noProof/>
              </w:rPr>
              <w:fldChar w:fldCharType="separate"/>
            </w:r>
            <w:r>
              <w:rPr>
                <w:noProof/>
              </w:rPr>
              <w:t>3</w:t>
            </w:r>
            <w:r>
              <w:rPr>
                <w:noProof/>
              </w:rPr>
              <w:fldChar w:fldCharType="end"/>
            </w:r>
          </w:hyperlink>
        </w:p>
        <w:p w14:paraId="663F94C1" w14:textId="77777777" w:rsidR="007333CF" w:rsidRDefault="007333CF" w:rsidP="007333CF">
          <w:pPr>
            <w:pStyle w:val="TOC2"/>
            <w:tabs>
              <w:tab w:val="right" w:leader="dot" w:pos="9736"/>
            </w:tabs>
            <w:rPr>
              <w:noProof/>
            </w:rPr>
          </w:pPr>
          <w:hyperlink w:anchor="_Toc234923996" w:history="1">
            <w:r w:rsidRPr="00F92354">
              <w:rPr>
                <w:rStyle w:val="Hyperlink"/>
                <w:noProof/>
              </w:rPr>
              <w:t>2.1 Traditional Onboarding versus Strategic Organisational Socialisation</w:t>
            </w:r>
            <w:r>
              <w:rPr>
                <w:noProof/>
              </w:rPr>
              <w:tab/>
            </w:r>
            <w:r>
              <w:rPr>
                <w:noProof/>
              </w:rPr>
              <w:fldChar w:fldCharType="begin"/>
            </w:r>
            <w:r>
              <w:rPr>
                <w:noProof/>
              </w:rPr>
              <w:instrText xml:space="preserve"> PAGEREF _Toc234923996 \h </w:instrText>
            </w:r>
            <w:r>
              <w:rPr>
                <w:noProof/>
              </w:rPr>
            </w:r>
            <w:r>
              <w:rPr>
                <w:noProof/>
              </w:rPr>
              <w:fldChar w:fldCharType="separate"/>
            </w:r>
            <w:r>
              <w:rPr>
                <w:noProof/>
              </w:rPr>
              <w:t>4</w:t>
            </w:r>
            <w:r>
              <w:rPr>
                <w:noProof/>
              </w:rPr>
              <w:fldChar w:fldCharType="end"/>
            </w:r>
          </w:hyperlink>
        </w:p>
        <w:p w14:paraId="303A92F2" w14:textId="77777777" w:rsidR="007333CF" w:rsidRDefault="007333CF" w:rsidP="007333CF">
          <w:pPr>
            <w:pStyle w:val="TOC2"/>
            <w:tabs>
              <w:tab w:val="right" w:leader="dot" w:pos="9736"/>
            </w:tabs>
            <w:rPr>
              <w:noProof/>
            </w:rPr>
          </w:pPr>
          <w:hyperlink w:anchor="_Toc234923997" w:history="1">
            <w:r w:rsidRPr="00F92354">
              <w:rPr>
                <w:rStyle w:val="Hyperlink"/>
                <w:noProof/>
              </w:rPr>
              <w:t>2.2 A Structured Socialisation Framework for Helios</w:t>
            </w:r>
            <w:r>
              <w:rPr>
                <w:noProof/>
              </w:rPr>
              <w:tab/>
            </w:r>
            <w:r>
              <w:rPr>
                <w:noProof/>
              </w:rPr>
              <w:fldChar w:fldCharType="begin"/>
            </w:r>
            <w:r>
              <w:rPr>
                <w:noProof/>
              </w:rPr>
              <w:instrText xml:space="preserve"> PAGEREF _Toc234923997 \h </w:instrText>
            </w:r>
            <w:r>
              <w:rPr>
                <w:noProof/>
              </w:rPr>
            </w:r>
            <w:r>
              <w:rPr>
                <w:noProof/>
              </w:rPr>
              <w:fldChar w:fldCharType="separate"/>
            </w:r>
            <w:r>
              <w:rPr>
                <w:noProof/>
              </w:rPr>
              <w:t>4</w:t>
            </w:r>
            <w:r>
              <w:rPr>
                <w:noProof/>
              </w:rPr>
              <w:fldChar w:fldCharType="end"/>
            </w:r>
          </w:hyperlink>
        </w:p>
        <w:p w14:paraId="522417CB" w14:textId="77777777" w:rsidR="007333CF" w:rsidRDefault="007333CF" w:rsidP="007333CF">
          <w:pPr>
            <w:pStyle w:val="TOC2"/>
            <w:tabs>
              <w:tab w:val="right" w:leader="dot" w:pos="9736"/>
            </w:tabs>
            <w:rPr>
              <w:noProof/>
            </w:rPr>
          </w:pPr>
          <w:hyperlink w:anchor="_Toc234923998" w:history="1">
            <w:r w:rsidRPr="00F92354">
              <w:rPr>
                <w:rStyle w:val="Hyperlink"/>
                <w:noProof/>
              </w:rPr>
              <w:t>2.3 Mechanisms for Identification, Ethical Professionalism and the Business Activist Mindset</w:t>
            </w:r>
            <w:r>
              <w:rPr>
                <w:noProof/>
              </w:rPr>
              <w:tab/>
            </w:r>
            <w:r>
              <w:rPr>
                <w:noProof/>
              </w:rPr>
              <w:fldChar w:fldCharType="begin"/>
            </w:r>
            <w:r>
              <w:rPr>
                <w:noProof/>
              </w:rPr>
              <w:instrText xml:space="preserve"> PAGEREF _Toc234923998 \h </w:instrText>
            </w:r>
            <w:r>
              <w:rPr>
                <w:noProof/>
              </w:rPr>
            </w:r>
            <w:r>
              <w:rPr>
                <w:noProof/>
              </w:rPr>
              <w:fldChar w:fldCharType="separate"/>
            </w:r>
            <w:r>
              <w:rPr>
                <w:noProof/>
              </w:rPr>
              <w:t>6</w:t>
            </w:r>
            <w:r>
              <w:rPr>
                <w:noProof/>
              </w:rPr>
              <w:fldChar w:fldCharType="end"/>
            </w:r>
          </w:hyperlink>
        </w:p>
        <w:p w14:paraId="4DB1A455" w14:textId="77777777" w:rsidR="007333CF" w:rsidRDefault="007333CF" w:rsidP="007333CF">
          <w:pPr>
            <w:pStyle w:val="TOC1"/>
            <w:tabs>
              <w:tab w:val="right" w:leader="dot" w:pos="9736"/>
            </w:tabs>
            <w:rPr>
              <w:noProof/>
            </w:rPr>
          </w:pPr>
          <w:hyperlink w:anchor="_Toc234923999" w:history="1">
            <w:r w:rsidRPr="00F92354">
              <w:rPr>
                <w:rStyle w:val="Hyperlink"/>
                <w:noProof/>
              </w:rPr>
              <w:t>3. Task B: Job Design</w:t>
            </w:r>
            <w:r>
              <w:rPr>
                <w:noProof/>
              </w:rPr>
              <w:tab/>
            </w:r>
            <w:r>
              <w:rPr>
                <w:noProof/>
              </w:rPr>
              <w:fldChar w:fldCharType="begin"/>
            </w:r>
            <w:r>
              <w:rPr>
                <w:noProof/>
              </w:rPr>
              <w:instrText xml:space="preserve"> PAGEREF _Toc234923999 \h </w:instrText>
            </w:r>
            <w:r>
              <w:rPr>
                <w:noProof/>
              </w:rPr>
            </w:r>
            <w:r>
              <w:rPr>
                <w:noProof/>
              </w:rPr>
              <w:fldChar w:fldCharType="separate"/>
            </w:r>
            <w:r>
              <w:rPr>
                <w:noProof/>
              </w:rPr>
              <w:t>6</w:t>
            </w:r>
            <w:r>
              <w:rPr>
                <w:noProof/>
              </w:rPr>
              <w:fldChar w:fldCharType="end"/>
            </w:r>
          </w:hyperlink>
        </w:p>
        <w:p w14:paraId="32FA25B3" w14:textId="77777777" w:rsidR="007333CF" w:rsidRDefault="007333CF" w:rsidP="007333CF">
          <w:pPr>
            <w:pStyle w:val="TOC2"/>
            <w:tabs>
              <w:tab w:val="right" w:leader="dot" w:pos="9736"/>
            </w:tabs>
            <w:rPr>
              <w:noProof/>
            </w:rPr>
          </w:pPr>
          <w:hyperlink w:anchor="_Toc234924000" w:history="1">
            <w:r w:rsidRPr="00F92354">
              <w:rPr>
                <w:rStyle w:val="Hyperlink"/>
                <w:noProof/>
              </w:rPr>
              <w:t>3.1 A Job Design Strategy for Helios</w:t>
            </w:r>
            <w:r>
              <w:rPr>
                <w:noProof/>
              </w:rPr>
              <w:tab/>
            </w:r>
            <w:r>
              <w:rPr>
                <w:noProof/>
              </w:rPr>
              <w:fldChar w:fldCharType="begin"/>
            </w:r>
            <w:r>
              <w:rPr>
                <w:noProof/>
              </w:rPr>
              <w:instrText xml:space="preserve"> PAGEREF _Toc234924000 \h </w:instrText>
            </w:r>
            <w:r>
              <w:rPr>
                <w:noProof/>
              </w:rPr>
            </w:r>
            <w:r>
              <w:rPr>
                <w:noProof/>
              </w:rPr>
              <w:fldChar w:fldCharType="separate"/>
            </w:r>
            <w:r>
              <w:rPr>
                <w:noProof/>
              </w:rPr>
              <w:t>6</w:t>
            </w:r>
            <w:r>
              <w:rPr>
                <w:noProof/>
              </w:rPr>
              <w:fldChar w:fldCharType="end"/>
            </w:r>
          </w:hyperlink>
        </w:p>
        <w:p w14:paraId="41850F2E" w14:textId="77777777" w:rsidR="007333CF" w:rsidRDefault="007333CF" w:rsidP="007333CF">
          <w:pPr>
            <w:pStyle w:val="TOC2"/>
            <w:tabs>
              <w:tab w:val="right" w:leader="dot" w:pos="9736"/>
            </w:tabs>
            <w:rPr>
              <w:noProof/>
            </w:rPr>
          </w:pPr>
          <w:hyperlink w:anchor="_Toc234924001" w:history="1">
            <w:r w:rsidRPr="00F92354">
              <w:rPr>
                <w:rStyle w:val="Hyperlink"/>
                <w:noProof/>
              </w:rPr>
              <w:t>3.2 Stimulating Intrinsic Motivation and Innovation</w:t>
            </w:r>
            <w:r>
              <w:rPr>
                <w:noProof/>
              </w:rPr>
              <w:tab/>
            </w:r>
            <w:r>
              <w:rPr>
                <w:noProof/>
              </w:rPr>
              <w:fldChar w:fldCharType="begin"/>
            </w:r>
            <w:r>
              <w:rPr>
                <w:noProof/>
              </w:rPr>
              <w:instrText xml:space="preserve"> PAGEREF _Toc234924001 \h </w:instrText>
            </w:r>
            <w:r>
              <w:rPr>
                <w:noProof/>
              </w:rPr>
            </w:r>
            <w:r>
              <w:rPr>
                <w:noProof/>
              </w:rPr>
              <w:fldChar w:fldCharType="separate"/>
            </w:r>
            <w:r>
              <w:rPr>
                <w:noProof/>
              </w:rPr>
              <w:t>8</w:t>
            </w:r>
            <w:r>
              <w:rPr>
                <w:noProof/>
              </w:rPr>
              <w:fldChar w:fldCharType="end"/>
            </w:r>
          </w:hyperlink>
        </w:p>
        <w:p w14:paraId="28A438AB" w14:textId="77777777" w:rsidR="007333CF" w:rsidRDefault="007333CF" w:rsidP="007333CF">
          <w:pPr>
            <w:pStyle w:val="TOC1"/>
            <w:tabs>
              <w:tab w:val="right" w:leader="dot" w:pos="9736"/>
            </w:tabs>
            <w:rPr>
              <w:noProof/>
            </w:rPr>
          </w:pPr>
          <w:hyperlink w:anchor="_Toc234924002" w:history="1">
            <w:r w:rsidRPr="00F92354">
              <w:rPr>
                <w:rStyle w:val="Hyperlink"/>
                <w:noProof/>
              </w:rPr>
              <w:t>4. Task C: Reflective Report</w:t>
            </w:r>
            <w:r>
              <w:rPr>
                <w:noProof/>
              </w:rPr>
              <w:tab/>
            </w:r>
            <w:r>
              <w:rPr>
                <w:noProof/>
              </w:rPr>
              <w:fldChar w:fldCharType="begin"/>
            </w:r>
            <w:r>
              <w:rPr>
                <w:noProof/>
              </w:rPr>
              <w:instrText xml:space="preserve"> PAGEREF _Toc234924002 \h </w:instrText>
            </w:r>
            <w:r>
              <w:rPr>
                <w:noProof/>
              </w:rPr>
            </w:r>
            <w:r>
              <w:rPr>
                <w:noProof/>
              </w:rPr>
              <w:fldChar w:fldCharType="separate"/>
            </w:r>
            <w:r>
              <w:rPr>
                <w:noProof/>
              </w:rPr>
              <w:t>9</w:t>
            </w:r>
            <w:r>
              <w:rPr>
                <w:noProof/>
              </w:rPr>
              <w:fldChar w:fldCharType="end"/>
            </w:r>
          </w:hyperlink>
        </w:p>
        <w:p w14:paraId="3F1ED39C" w14:textId="77777777" w:rsidR="007333CF" w:rsidRDefault="007333CF" w:rsidP="007333CF">
          <w:pPr>
            <w:pStyle w:val="TOC2"/>
            <w:tabs>
              <w:tab w:val="right" w:leader="dot" w:pos="9736"/>
            </w:tabs>
            <w:rPr>
              <w:noProof/>
            </w:rPr>
          </w:pPr>
          <w:hyperlink w:anchor="_Toc234924003" w:history="1">
            <w:r w:rsidRPr="00F92354">
              <w:rPr>
                <w:rStyle w:val="Hyperlink"/>
                <w:noProof/>
              </w:rPr>
              <w:t>4.1 Using AI as a Decision-Support Tool Without Eroding Judgement</w:t>
            </w:r>
            <w:r>
              <w:rPr>
                <w:noProof/>
              </w:rPr>
              <w:tab/>
            </w:r>
            <w:r>
              <w:rPr>
                <w:noProof/>
              </w:rPr>
              <w:fldChar w:fldCharType="begin"/>
            </w:r>
            <w:r>
              <w:rPr>
                <w:noProof/>
              </w:rPr>
              <w:instrText xml:space="preserve"> PAGEREF _Toc234924003 \h </w:instrText>
            </w:r>
            <w:r>
              <w:rPr>
                <w:noProof/>
              </w:rPr>
            </w:r>
            <w:r>
              <w:rPr>
                <w:noProof/>
              </w:rPr>
              <w:fldChar w:fldCharType="separate"/>
            </w:r>
            <w:r>
              <w:rPr>
                <w:noProof/>
              </w:rPr>
              <w:t>9</w:t>
            </w:r>
            <w:r>
              <w:rPr>
                <w:noProof/>
              </w:rPr>
              <w:fldChar w:fldCharType="end"/>
            </w:r>
          </w:hyperlink>
        </w:p>
        <w:p w14:paraId="1CA8D932" w14:textId="77777777" w:rsidR="007333CF" w:rsidRDefault="007333CF" w:rsidP="007333CF">
          <w:pPr>
            <w:pStyle w:val="TOC2"/>
            <w:tabs>
              <w:tab w:val="right" w:leader="dot" w:pos="9736"/>
            </w:tabs>
            <w:rPr>
              <w:noProof/>
            </w:rPr>
          </w:pPr>
          <w:hyperlink w:anchor="_Toc234924004" w:history="1">
            <w:r w:rsidRPr="00F92354">
              <w:rPr>
                <w:rStyle w:val="Hyperlink"/>
                <w:noProof/>
              </w:rPr>
              <w:t>4.2 Personal Capability Development Plan</w:t>
            </w:r>
            <w:r>
              <w:rPr>
                <w:noProof/>
              </w:rPr>
              <w:tab/>
            </w:r>
            <w:r>
              <w:rPr>
                <w:noProof/>
              </w:rPr>
              <w:fldChar w:fldCharType="begin"/>
            </w:r>
            <w:r>
              <w:rPr>
                <w:noProof/>
              </w:rPr>
              <w:instrText xml:space="preserve"> PAGEREF _Toc234924004 \h </w:instrText>
            </w:r>
            <w:r>
              <w:rPr>
                <w:noProof/>
              </w:rPr>
            </w:r>
            <w:r>
              <w:rPr>
                <w:noProof/>
              </w:rPr>
              <w:fldChar w:fldCharType="separate"/>
            </w:r>
            <w:r>
              <w:rPr>
                <w:noProof/>
              </w:rPr>
              <w:t>9</w:t>
            </w:r>
            <w:r>
              <w:rPr>
                <w:noProof/>
              </w:rPr>
              <w:fldChar w:fldCharType="end"/>
            </w:r>
          </w:hyperlink>
        </w:p>
        <w:p w14:paraId="14A11E9F" w14:textId="77777777" w:rsidR="007333CF" w:rsidRDefault="007333CF" w:rsidP="007333CF">
          <w:pPr>
            <w:pStyle w:val="TOC1"/>
            <w:tabs>
              <w:tab w:val="right" w:leader="dot" w:pos="9736"/>
            </w:tabs>
            <w:rPr>
              <w:noProof/>
            </w:rPr>
          </w:pPr>
          <w:hyperlink w:anchor="_Toc234924005" w:history="1">
            <w:r w:rsidRPr="00F92354">
              <w:rPr>
                <w:rStyle w:val="Hyperlink"/>
                <w:noProof/>
              </w:rPr>
              <w:t>5. Conclusion</w:t>
            </w:r>
            <w:r>
              <w:rPr>
                <w:noProof/>
              </w:rPr>
              <w:tab/>
            </w:r>
            <w:r>
              <w:rPr>
                <w:noProof/>
              </w:rPr>
              <w:fldChar w:fldCharType="begin"/>
            </w:r>
            <w:r>
              <w:rPr>
                <w:noProof/>
              </w:rPr>
              <w:instrText xml:space="preserve"> PAGEREF _Toc234924005 \h </w:instrText>
            </w:r>
            <w:r>
              <w:rPr>
                <w:noProof/>
              </w:rPr>
            </w:r>
            <w:r>
              <w:rPr>
                <w:noProof/>
              </w:rPr>
              <w:fldChar w:fldCharType="separate"/>
            </w:r>
            <w:r>
              <w:rPr>
                <w:noProof/>
              </w:rPr>
              <w:t>10</w:t>
            </w:r>
            <w:r>
              <w:rPr>
                <w:noProof/>
              </w:rPr>
              <w:fldChar w:fldCharType="end"/>
            </w:r>
          </w:hyperlink>
        </w:p>
        <w:p w14:paraId="042069DF" w14:textId="77777777" w:rsidR="007333CF" w:rsidRDefault="007333CF" w:rsidP="007333CF">
          <w:pPr>
            <w:pStyle w:val="TOC1"/>
            <w:tabs>
              <w:tab w:val="right" w:leader="dot" w:pos="9736"/>
            </w:tabs>
            <w:rPr>
              <w:noProof/>
            </w:rPr>
          </w:pPr>
          <w:hyperlink w:anchor="_Toc234924006" w:history="1">
            <w:r w:rsidRPr="00F92354">
              <w:rPr>
                <w:rStyle w:val="Hyperlink"/>
                <w:noProof/>
              </w:rPr>
              <w:t>Reference List</w:t>
            </w:r>
            <w:r>
              <w:rPr>
                <w:noProof/>
              </w:rPr>
              <w:tab/>
            </w:r>
            <w:r>
              <w:rPr>
                <w:noProof/>
              </w:rPr>
              <w:fldChar w:fldCharType="begin"/>
            </w:r>
            <w:r>
              <w:rPr>
                <w:noProof/>
              </w:rPr>
              <w:instrText xml:space="preserve"> PAGEREF _Toc234924006 \h </w:instrText>
            </w:r>
            <w:r>
              <w:rPr>
                <w:noProof/>
              </w:rPr>
            </w:r>
            <w:r>
              <w:rPr>
                <w:noProof/>
              </w:rPr>
              <w:fldChar w:fldCharType="separate"/>
            </w:r>
            <w:r>
              <w:rPr>
                <w:noProof/>
              </w:rPr>
              <w:t>11</w:t>
            </w:r>
            <w:r>
              <w:rPr>
                <w:noProof/>
              </w:rPr>
              <w:fldChar w:fldCharType="end"/>
            </w:r>
          </w:hyperlink>
        </w:p>
        <w:p w14:paraId="6A8A34A6" w14:textId="77777777" w:rsidR="00410D94" w:rsidRDefault="00000000" w:rsidP="007333CF">
          <w:r>
            <w:fldChar w:fldCharType="end"/>
          </w:r>
        </w:p>
      </w:sdtContent>
    </w:sdt>
    <w:p w14:paraId="5312BDB0" w14:textId="77777777" w:rsidR="00410D94" w:rsidRDefault="00000000" w:rsidP="007333CF">
      <w:r>
        <w:br w:type="page"/>
      </w:r>
    </w:p>
    <w:p w14:paraId="1103ECAC" w14:textId="77777777" w:rsidR="00410D94" w:rsidRDefault="00000000" w:rsidP="007333CF">
      <w:pPr>
        <w:pStyle w:val="Heading1"/>
      </w:pPr>
      <w:bookmarkStart w:id="1" w:name="_Toc234923993"/>
      <w:r>
        <w:lastRenderedPageBreak/>
        <w:t>Executive Summary</w:t>
      </w:r>
      <w:bookmarkEnd w:id="1"/>
    </w:p>
    <w:p w14:paraId="5E9B2CE4" w14:textId="10DA0ED7" w:rsidR="00410D94" w:rsidRDefault="00A265DA" w:rsidP="007333CF">
      <w:pPr>
        <w:jc w:val="both"/>
      </w:pPr>
      <w:r w:rsidRPr="00A265DA">
        <w:t>A smart-transport start-up with 450 employees in London, Berlin and Singapore, Helios Urban Mobility (HUM) is outgrown by its human capital structure. Five years of rapid growth have led to an 8-month ramp-up for new hires, 54% employee engagement and disproportionate attrition of high-potential graduates. These three symptoms are addressed as a single design problem, rather than three separate ones, as an external Strategic Human Capital Advisor. Task A asserts that HUM's transactional onboarding is inconsistent with organisational socialisation theory (Van Maanen and Schein, 1979) and the psychological contract (Rousseau, 1995) suggesting an onboarding process that unfolds over a period of time, and incorporates an Ulrich-style “business activist” mindset appropriate to HUM's public-sector client base. Task B redesigns job architecture utilizing the Job Characteristics Model (Hackman and Oldham, 1976), Job Crafting theory and an internal talent marketplace to bring intrinsic motivation and innovation capacity back. Task C is a reflection of the use of AI in this report, including the disciplined and judgement-preserving usage of this technology, and outlines a personal capability development plan.</w:t>
      </w:r>
    </w:p>
    <w:p w14:paraId="02161FB1" w14:textId="77777777" w:rsidR="00410D94" w:rsidRDefault="00000000" w:rsidP="007333CF">
      <w:pPr>
        <w:pStyle w:val="Heading1"/>
      </w:pPr>
      <w:bookmarkStart w:id="2" w:name="_Toc234923994"/>
      <w:r>
        <w:t>1. Introduction</w:t>
      </w:r>
      <w:bookmarkEnd w:id="2"/>
    </w:p>
    <w:p w14:paraId="25CA7C41" w14:textId="2211CF6C" w:rsidR="00410D94" w:rsidRDefault="00A265DA" w:rsidP="007333CF">
      <w:pPr>
        <w:jc w:val="both"/>
      </w:pPr>
      <w:r w:rsidRPr="00A265DA">
        <w:t>Helios Urban Mobility is the developer of electric mobility systems and smart-infrastructure analytics based on AI for city governments. It has 450 employees across three different locations, in different labour markets, languages and regulatory frameworks. The baseline indicators are summarised in Figure 1, and have been generated by five years of rapid scaling, which has exceeded the organisation's human capital systems. The Board has asked this report to identify and reset the organisation's human capital architecture – from the point of view of induction of new employees (Task A)</w:t>
      </w:r>
      <w:r w:rsidR="006475BE">
        <w:t xml:space="preserve"> </w:t>
      </w:r>
      <w:r w:rsidRPr="00A265DA">
        <w:t xml:space="preserve"> once they have been hired, how they are designed (Task B)</w:t>
      </w:r>
      <w:r w:rsidR="006475BE">
        <w:t xml:space="preserve"> </w:t>
      </w:r>
      <w:r w:rsidRPr="00A265DA">
        <w:t xml:space="preserve"> and how HR can apply AI responsibly in doing so (Task C)</w:t>
      </w:r>
      <w:r>
        <w:t>.</w:t>
      </w:r>
    </w:p>
    <w:p w14:paraId="640D90DF" w14:textId="77777777" w:rsidR="00410D94" w:rsidRDefault="00000000" w:rsidP="007333CF">
      <w:pPr>
        <w:spacing w:before="200"/>
        <w:jc w:val="center"/>
      </w:pPr>
      <w:r>
        <w:rPr>
          <w:noProof/>
        </w:rPr>
        <w:drawing>
          <wp:inline distT="0" distB="0" distL="0" distR="0" wp14:anchorId="15E53E49" wp14:editId="16932846">
            <wp:extent cx="5334000" cy="1085850"/>
            <wp:effectExtent l="0" t="0" r="0" b="0"/>
            <wp:docPr id="1636262523" name="Picture 1636262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8"/>
                    <a:srcRect/>
                    <a:stretch>
                      <a:fillRect/>
                    </a:stretch>
                  </pic:blipFill>
                  <pic:spPr bwMode="auto">
                    <a:xfrm>
                      <a:off x="0" y="0"/>
                      <a:ext cx="5334000" cy="1085850"/>
                    </a:xfrm>
                    <a:prstGeom prst="rect">
                      <a:avLst/>
                    </a:prstGeom>
                  </pic:spPr>
                </pic:pic>
              </a:graphicData>
            </a:graphic>
          </wp:inline>
        </w:drawing>
      </w:r>
    </w:p>
    <w:p w14:paraId="777BA1E3" w14:textId="27CB3879" w:rsidR="00410D94" w:rsidRPr="00A265DA" w:rsidRDefault="00000000" w:rsidP="007333CF">
      <w:pPr>
        <w:spacing w:before="120"/>
        <w:jc w:val="center"/>
        <w:rPr>
          <w:b/>
          <w:bCs/>
          <w:i/>
          <w:iCs/>
          <w:color w:val="C00000"/>
          <w:sz w:val="20"/>
          <w:szCs w:val="20"/>
        </w:rPr>
      </w:pPr>
      <w:r w:rsidRPr="00A265DA">
        <w:rPr>
          <w:b/>
          <w:bCs/>
          <w:i/>
          <w:iCs/>
          <w:color w:val="C00000"/>
          <w:sz w:val="20"/>
          <w:szCs w:val="20"/>
        </w:rPr>
        <w:t xml:space="preserve">Figure 1: Helios Urban Mobility </w:t>
      </w:r>
      <w:r w:rsidR="00A265DA" w:rsidRPr="00A265DA">
        <w:rPr>
          <w:b/>
          <w:bCs/>
          <w:i/>
          <w:iCs/>
          <w:color w:val="C00000"/>
          <w:sz w:val="20"/>
          <w:szCs w:val="20"/>
        </w:rPr>
        <w:t xml:space="preserve"> </w:t>
      </w:r>
      <w:r w:rsidRPr="00A265DA">
        <w:rPr>
          <w:b/>
          <w:bCs/>
          <w:i/>
          <w:iCs/>
          <w:color w:val="C00000"/>
          <w:sz w:val="20"/>
          <w:szCs w:val="20"/>
        </w:rPr>
        <w:t>current-state indicators (baseline)</w:t>
      </w:r>
    </w:p>
    <w:p w14:paraId="2CA0EAA9" w14:textId="77777777" w:rsidR="007333CF" w:rsidRDefault="007333CF" w:rsidP="007333CF">
      <w:pPr>
        <w:spacing w:before="120"/>
        <w:jc w:val="center"/>
      </w:pPr>
    </w:p>
    <w:p w14:paraId="5CFE6A5D" w14:textId="77777777" w:rsidR="00410D94" w:rsidRDefault="00000000" w:rsidP="007333CF">
      <w:pPr>
        <w:pStyle w:val="Heading1"/>
      </w:pPr>
      <w:bookmarkStart w:id="3" w:name="_Toc234923995"/>
      <w:r>
        <w:lastRenderedPageBreak/>
        <w:t>2. Task A: Socialisation, Identity and Business Activism</w:t>
      </w:r>
      <w:bookmarkEnd w:id="3"/>
    </w:p>
    <w:p w14:paraId="27435704" w14:textId="77777777" w:rsidR="00410D94" w:rsidRDefault="00000000" w:rsidP="007333CF">
      <w:pPr>
        <w:pStyle w:val="Heading2"/>
      </w:pPr>
      <w:bookmarkStart w:id="4" w:name="_Toc234923996"/>
      <w:r>
        <w:t>2.1 Traditional Onboarding versus Strategic Organisational Socialisation</w:t>
      </w:r>
      <w:bookmarkEnd w:id="4"/>
    </w:p>
    <w:p w14:paraId="400C8D11" w14:textId="029A1CBE" w:rsidR="00A265DA" w:rsidRDefault="00A265DA" w:rsidP="00A265DA">
      <w:pPr>
        <w:jc w:val="both"/>
      </w:pPr>
      <w:r>
        <w:t>Traditional onboarding sees the first months of a new employee's life as an administrative event paperwork, access to systems, and a compliance-based induction, separate from the development of a sense of role. Organisational socialisation theory redefines this process as the extended one in which new employees learn the social knowledge and skills needed to take on an organisational role (Van Maanen and Schein, 1979). Van Maanen and Schein's six tactics collective/individual, formal/informal, sequential/random, fixed/variable, serial/disjunctive, investiture/divestiture offer a lens for HUM's eight month ramp up. An onboarding process that has no socialisation agent and no sequence of experiences is effectively informal, random, and disjunctive</w:t>
      </w:r>
      <w:r w:rsidR="006475BE">
        <w:t xml:space="preserve"> </w:t>
      </w:r>
      <w:r>
        <w:t xml:space="preserve"> newcomers are left to their own devices to determine what it means to the role, and they will usually learn this at a different pace and in a less consistent manner than a structured process. The lack of implementation is not a minor one, as a recent bibliometric review of 452 socialisation studies found that psychological contracts and newcomer-supervisor interaction as well as the shift toward digital and virtual onboarding are the current dominant research fronts in the field (Didion et al., 2024), and HUM has largely manual and site-by-site approach, which is in fact already behind where the evidence base has moved.</w:t>
      </w:r>
    </w:p>
    <w:p w14:paraId="5EAEECE1" w14:textId="0024AD3A" w:rsidR="00410D94" w:rsidRDefault="00A265DA" w:rsidP="00A265DA">
      <w:pPr>
        <w:jc w:val="both"/>
      </w:pPr>
      <w:r>
        <w:t>The psychological contract  an employee's implicit beliefs about the mutual obligations between themselves and their employer (Rousseau, 1995)  is where traditional onboarding's weaknesses become measurable. If early role expectations are ambiguous, then new hires develop partial expectations based on incomplete signals, thereby increasing the likelihood of a later perceived breach of contract. The direct, evidenced pathway to HUM's attrition problem from onboarding is supported by the findings of Mosquera and Soares (2025) who found that the effects of onboarding on turnover intention are mediated by organisational identification and workplace well-being, accounting for more than 65% of the variance in turnover intention</w:t>
      </w:r>
      <w:r w:rsidR="006475BE">
        <w:t xml:space="preserve"> </w:t>
      </w:r>
      <w:r>
        <w:t xml:space="preserve"> and Snyman et al. (2023) found that organisational justice and trust mediate the relationship between the perceptions of psychological contracts and the outcomes of retention. Taken together, these studies indicate that HUM's high potential attrition is not likely to be addressed through pay or perks—it appears more likely to stem from onboarding that offers a newcomer a "clear and credible" narrative about their role in the organization.</w:t>
      </w:r>
    </w:p>
    <w:p w14:paraId="7FD81CBD" w14:textId="77777777" w:rsidR="00A265DA" w:rsidRDefault="00A265DA" w:rsidP="00A265DA">
      <w:pPr>
        <w:jc w:val="both"/>
      </w:pPr>
    </w:p>
    <w:p w14:paraId="77C2548B" w14:textId="77777777" w:rsidR="00410D94" w:rsidRDefault="00000000" w:rsidP="007333CF">
      <w:pPr>
        <w:pStyle w:val="Heading2"/>
      </w:pPr>
      <w:bookmarkStart w:id="5" w:name="_Toc234923997"/>
      <w:r>
        <w:lastRenderedPageBreak/>
        <w:t>2.2 A Structured Socialisation Framework for Helios</w:t>
      </w:r>
      <w:bookmarkEnd w:id="5"/>
    </w:p>
    <w:p w14:paraId="75324C68" w14:textId="77777777" w:rsidR="00410D94" w:rsidRDefault="00000000" w:rsidP="007333CF">
      <w:pPr>
        <w:jc w:val="both"/>
      </w:pPr>
      <w:r>
        <w:t>Table 1 summarises the shift proposed for HUM, and Figure 2 sets out the resulting three-phase framework.</w:t>
      </w:r>
    </w:p>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618"/>
        <w:gridCol w:w="3366"/>
        <w:gridCol w:w="3366"/>
      </w:tblGrid>
      <w:tr w:rsidR="00410D94" w14:paraId="7A877F69" w14:textId="77777777">
        <w:trPr>
          <w:tblHeader/>
        </w:trPr>
        <w:tc>
          <w:tcPr>
            <w:tcW w:w="2618" w:type="dxa"/>
            <w:shd w:val="clear" w:color="auto" w:fill="12294D"/>
            <w:tcMar>
              <w:top w:w="80" w:type="dxa"/>
              <w:left w:w="100" w:type="dxa"/>
              <w:bottom w:w="80" w:type="dxa"/>
              <w:right w:w="100" w:type="dxa"/>
            </w:tcMar>
            <w:vAlign w:val="center"/>
          </w:tcPr>
          <w:p w14:paraId="25AA31FC" w14:textId="77777777" w:rsidR="00410D94" w:rsidRDefault="00000000" w:rsidP="007333CF">
            <w:r>
              <w:rPr>
                <w:b/>
                <w:bCs/>
                <w:color w:val="FFFFFF"/>
                <w:sz w:val="20"/>
                <w:szCs w:val="20"/>
              </w:rPr>
              <w:t>Dimension</w:t>
            </w:r>
          </w:p>
        </w:tc>
        <w:tc>
          <w:tcPr>
            <w:tcW w:w="3366" w:type="dxa"/>
            <w:shd w:val="clear" w:color="auto" w:fill="12294D"/>
            <w:tcMar>
              <w:top w:w="80" w:type="dxa"/>
              <w:left w:w="100" w:type="dxa"/>
              <w:bottom w:w="80" w:type="dxa"/>
              <w:right w:w="100" w:type="dxa"/>
            </w:tcMar>
            <w:vAlign w:val="center"/>
          </w:tcPr>
          <w:p w14:paraId="0D4C624C" w14:textId="77777777" w:rsidR="00410D94" w:rsidRDefault="00000000" w:rsidP="007333CF">
            <w:r>
              <w:rPr>
                <w:b/>
                <w:bCs/>
                <w:color w:val="FFFFFF"/>
                <w:sz w:val="20"/>
                <w:szCs w:val="20"/>
              </w:rPr>
              <w:t>Traditional Onboarding (Current State)</w:t>
            </w:r>
          </w:p>
        </w:tc>
        <w:tc>
          <w:tcPr>
            <w:tcW w:w="3366" w:type="dxa"/>
            <w:shd w:val="clear" w:color="auto" w:fill="12294D"/>
            <w:tcMar>
              <w:top w:w="80" w:type="dxa"/>
              <w:left w:w="100" w:type="dxa"/>
              <w:bottom w:w="80" w:type="dxa"/>
              <w:right w:w="100" w:type="dxa"/>
            </w:tcMar>
            <w:vAlign w:val="center"/>
          </w:tcPr>
          <w:p w14:paraId="4663B79B" w14:textId="77777777" w:rsidR="00410D94" w:rsidRDefault="00000000" w:rsidP="007333CF">
            <w:r>
              <w:rPr>
                <w:b/>
                <w:bCs/>
                <w:color w:val="FFFFFF"/>
                <w:sz w:val="20"/>
                <w:szCs w:val="20"/>
              </w:rPr>
              <w:t>Strategic Socialisation (Proposed)</w:t>
            </w:r>
          </w:p>
        </w:tc>
      </w:tr>
      <w:tr w:rsidR="00410D94" w14:paraId="4B67CB3B" w14:textId="77777777">
        <w:tc>
          <w:tcPr>
            <w:tcW w:w="2618" w:type="dxa"/>
            <w:shd w:val="clear" w:color="auto" w:fill="FFFFFF"/>
            <w:tcMar>
              <w:top w:w="80" w:type="dxa"/>
              <w:left w:w="100" w:type="dxa"/>
              <w:bottom w:w="80" w:type="dxa"/>
              <w:right w:w="100" w:type="dxa"/>
            </w:tcMar>
            <w:vAlign w:val="center"/>
          </w:tcPr>
          <w:p w14:paraId="3B2FD1A3" w14:textId="77777777" w:rsidR="00410D94" w:rsidRDefault="00000000" w:rsidP="007333CF">
            <w:pPr>
              <w:spacing w:after="60"/>
            </w:pPr>
            <w:r>
              <w:rPr>
                <w:sz w:val="20"/>
                <w:szCs w:val="20"/>
              </w:rPr>
              <w:t>Duration and focus</w:t>
            </w:r>
          </w:p>
        </w:tc>
        <w:tc>
          <w:tcPr>
            <w:tcW w:w="3366" w:type="dxa"/>
            <w:shd w:val="clear" w:color="auto" w:fill="FFFFFF"/>
            <w:tcMar>
              <w:top w:w="80" w:type="dxa"/>
              <w:left w:w="100" w:type="dxa"/>
              <w:bottom w:w="80" w:type="dxa"/>
              <w:right w:w="100" w:type="dxa"/>
            </w:tcMar>
            <w:vAlign w:val="center"/>
          </w:tcPr>
          <w:p w14:paraId="348A22AC" w14:textId="64353F28" w:rsidR="00410D94" w:rsidRDefault="00000000" w:rsidP="007333CF">
            <w:pPr>
              <w:spacing w:after="60"/>
            </w:pPr>
            <w:r>
              <w:rPr>
                <w:sz w:val="20"/>
                <w:szCs w:val="20"/>
              </w:rPr>
              <w:t>Single induction week</w:t>
            </w:r>
            <w:r w:rsidR="006475BE">
              <w:rPr>
                <w:sz w:val="20"/>
                <w:szCs w:val="20"/>
              </w:rPr>
              <w:t xml:space="preserve"> </w:t>
            </w:r>
            <w:r>
              <w:rPr>
                <w:sz w:val="20"/>
                <w:szCs w:val="20"/>
              </w:rPr>
              <w:t xml:space="preserve"> compliance and systems access</w:t>
            </w:r>
          </w:p>
        </w:tc>
        <w:tc>
          <w:tcPr>
            <w:tcW w:w="3366" w:type="dxa"/>
            <w:shd w:val="clear" w:color="auto" w:fill="FFFFFF"/>
            <w:tcMar>
              <w:top w:w="80" w:type="dxa"/>
              <w:left w:w="100" w:type="dxa"/>
              <w:bottom w:w="80" w:type="dxa"/>
              <w:right w:w="100" w:type="dxa"/>
            </w:tcMar>
            <w:vAlign w:val="center"/>
          </w:tcPr>
          <w:p w14:paraId="3260ECC3" w14:textId="77777777" w:rsidR="00410D94" w:rsidRDefault="00000000" w:rsidP="007333CF">
            <w:pPr>
              <w:spacing w:after="60"/>
            </w:pPr>
            <w:r>
              <w:rPr>
                <w:sz w:val="20"/>
                <w:szCs w:val="20"/>
              </w:rPr>
              <w:t>Continuous process, pre-boarding to month 12</w:t>
            </w:r>
          </w:p>
        </w:tc>
      </w:tr>
      <w:tr w:rsidR="00410D94" w14:paraId="401559C7" w14:textId="77777777">
        <w:tc>
          <w:tcPr>
            <w:tcW w:w="2618" w:type="dxa"/>
            <w:shd w:val="clear" w:color="auto" w:fill="EAF1FA"/>
            <w:tcMar>
              <w:top w:w="80" w:type="dxa"/>
              <w:left w:w="100" w:type="dxa"/>
              <w:bottom w:w="80" w:type="dxa"/>
              <w:right w:w="100" w:type="dxa"/>
            </w:tcMar>
            <w:vAlign w:val="center"/>
          </w:tcPr>
          <w:p w14:paraId="67EC80D4" w14:textId="77777777" w:rsidR="00410D94" w:rsidRDefault="00000000" w:rsidP="007333CF">
            <w:pPr>
              <w:spacing w:after="60"/>
            </w:pPr>
            <w:r>
              <w:rPr>
                <w:sz w:val="20"/>
                <w:szCs w:val="20"/>
              </w:rPr>
              <w:t>Van Maanen and Schein (1979) tactics</w:t>
            </w:r>
          </w:p>
        </w:tc>
        <w:tc>
          <w:tcPr>
            <w:tcW w:w="3366" w:type="dxa"/>
            <w:shd w:val="clear" w:color="auto" w:fill="EAF1FA"/>
            <w:tcMar>
              <w:top w:w="80" w:type="dxa"/>
              <w:left w:w="100" w:type="dxa"/>
              <w:bottom w:w="80" w:type="dxa"/>
              <w:right w:w="100" w:type="dxa"/>
            </w:tcMar>
            <w:vAlign w:val="center"/>
          </w:tcPr>
          <w:p w14:paraId="77174284" w14:textId="77777777" w:rsidR="00410D94" w:rsidRDefault="00000000" w:rsidP="007333CF">
            <w:pPr>
              <w:spacing w:after="60"/>
            </w:pPr>
            <w:r>
              <w:rPr>
                <w:sz w:val="20"/>
                <w:szCs w:val="20"/>
              </w:rPr>
              <w:t>Informal, random, disjunctive</w:t>
            </w:r>
          </w:p>
        </w:tc>
        <w:tc>
          <w:tcPr>
            <w:tcW w:w="3366" w:type="dxa"/>
            <w:shd w:val="clear" w:color="auto" w:fill="EAF1FA"/>
            <w:tcMar>
              <w:top w:w="80" w:type="dxa"/>
              <w:left w:w="100" w:type="dxa"/>
              <w:bottom w:w="80" w:type="dxa"/>
              <w:right w:w="100" w:type="dxa"/>
            </w:tcMar>
            <w:vAlign w:val="center"/>
          </w:tcPr>
          <w:p w14:paraId="525FCBAC" w14:textId="77777777" w:rsidR="00410D94" w:rsidRDefault="00000000" w:rsidP="007333CF">
            <w:pPr>
              <w:spacing w:after="60"/>
            </w:pPr>
            <w:r>
              <w:rPr>
                <w:sz w:val="20"/>
                <w:szCs w:val="20"/>
              </w:rPr>
              <w:t>Formal, serial, investiture</w:t>
            </w:r>
          </w:p>
        </w:tc>
      </w:tr>
      <w:tr w:rsidR="00410D94" w14:paraId="7C834527" w14:textId="77777777">
        <w:tc>
          <w:tcPr>
            <w:tcW w:w="2618" w:type="dxa"/>
            <w:shd w:val="clear" w:color="auto" w:fill="FFFFFF"/>
            <w:tcMar>
              <w:top w:w="80" w:type="dxa"/>
              <w:left w:w="100" w:type="dxa"/>
              <w:bottom w:w="80" w:type="dxa"/>
              <w:right w:w="100" w:type="dxa"/>
            </w:tcMar>
            <w:vAlign w:val="center"/>
          </w:tcPr>
          <w:p w14:paraId="0E220E66" w14:textId="77777777" w:rsidR="00410D94" w:rsidRDefault="00000000" w:rsidP="007333CF">
            <w:pPr>
              <w:spacing w:after="60"/>
            </w:pPr>
            <w:r>
              <w:rPr>
                <w:sz w:val="20"/>
                <w:szCs w:val="20"/>
              </w:rPr>
              <w:t>Ownership</w:t>
            </w:r>
          </w:p>
        </w:tc>
        <w:tc>
          <w:tcPr>
            <w:tcW w:w="3366" w:type="dxa"/>
            <w:shd w:val="clear" w:color="auto" w:fill="FFFFFF"/>
            <w:tcMar>
              <w:top w:w="80" w:type="dxa"/>
              <w:left w:w="100" w:type="dxa"/>
              <w:bottom w:w="80" w:type="dxa"/>
              <w:right w:w="100" w:type="dxa"/>
            </w:tcMar>
            <w:vAlign w:val="center"/>
          </w:tcPr>
          <w:p w14:paraId="4B8F1022" w14:textId="77777777" w:rsidR="00410D94" w:rsidRDefault="00000000" w:rsidP="007333CF">
            <w:pPr>
              <w:spacing w:after="60"/>
            </w:pPr>
            <w:r>
              <w:rPr>
                <w:sz w:val="20"/>
                <w:szCs w:val="20"/>
              </w:rPr>
              <w:t>HR administration only</w:t>
            </w:r>
          </w:p>
        </w:tc>
        <w:tc>
          <w:tcPr>
            <w:tcW w:w="3366" w:type="dxa"/>
            <w:shd w:val="clear" w:color="auto" w:fill="FFFFFF"/>
            <w:tcMar>
              <w:top w:w="80" w:type="dxa"/>
              <w:left w:w="100" w:type="dxa"/>
              <w:bottom w:w="80" w:type="dxa"/>
              <w:right w:w="100" w:type="dxa"/>
            </w:tcMar>
            <w:vAlign w:val="center"/>
          </w:tcPr>
          <w:p w14:paraId="4A6AC137" w14:textId="77777777" w:rsidR="00410D94" w:rsidRDefault="00000000" w:rsidP="007333CF">
            <w:pPr>
              <w:spacing w:after="60"/>
            </w:pPr>
            <w:r>
              <w:rPr>
                <w:sz w:val="20"/>
                <w:szCs w:val="20"/>
              </w:rPr>
              <w:t>Buddy, line manager and HR jointly</w:t>
            </w:r>
          </w:p>
        </w:tc>
      </w:tr>
      <w:tr w:rsidR="00410D94" w14:paraId="69EA5295" w14:textId="77777777">
        <w:tc>
          <w:tcPr>
            <w:tcW w:w="2618" w:type="dxa"/>
            <w:shd w:val="clear" w:color="auto" w:fill="EAF1FA"/>
            <w:tcMar>
              <w:top w:w="80" w:type="dxa"/>
              <w:left w:w="100" w:type="dxa"/>
              <w:bottom w:w="80" w:type="dxa"/>
              <w:right w:w="100" w:type="dxa"/>
            </w:tcMar>
            <w:vAlign w:val="center"/>
          </w:tcPr>
          <w:p w14:paraId="5300D1C4" w14:textId="77777777" w:rsidR="00410D94" w:rsidRDefault="00000000" w:rsidP="007333CF">
            <w:pPr>
              <w:spacing w:after="60"/>
            </w:pPr>
            <w:r>
              <w:rPr>
                <w:sz w:val="20"/>
                <w:szCs w:val="20"/>
              </w:rPr>
              <w:t>Primary outcome tracked</w:t>
            </w:r>
          </w:p>
        </w:tc>
        <w:tc>
          <w:tcPr>
            <w:tcW w:w="3366" w:type="dxa"/>
            <w:shd w:val="clear" w:color="auto" w:fill="EAF1FA"/>
            <w:tcMar>
              <w:top w:w="80" w:type="dxa"/>
              <w:left w:w="100" w:type="dxa"/>
              <w:bottom w:w="80" w:type="dxa"/>
              <w:right w:w="100" w:type="dxa"/>
            </w:tcMar>
            <w:vAlign w:val="center"/>
          </w:tcPr>
          <w:p w14:paraId="617C3BEB" w14:textId="77777777" w:rsidR="00410D94" w:rsidRDefault="00000000" w:rsidP="007333CF">
            <w:pPr>
              <w:spacing w:after="60"/>
            </w:pPr>
            <w:r>
              <w:rPr>
                <w:sz w:val="20"/>
                <w:szCs w:val="20"/>
              </w:rPr>
              <w:t>Induction completion</w:t>
            </w:r>
          </w:p>
        </w:tc>
        <w:tc>
          <w:tcPr>
            <w:tcW w:w="3366" w:type="dxa"/>
            <w:shd w:val="clear" w:color="auto" w:fill="EAF1FA"/>
            <w:tcMar>
              <w:top w:w="80" w:type="dxa"/>
              <w:left w:w="100" w:type="dxa"/>
              <w:bottom w:w="80" w:type="dxa"/>
              <w:right w:w="100" w:type="dxa"/>
            </w:tcMar>
            <w:vAlign w:val="center"/>
          </w:tcPr>
          <w:p w14:paraId="76139FE7" w14:textId="77777777" w:rsidR="00410D94" w:rsidRDefault="00000000" w:rsidP="007333CF">
            <w:pPr>
              <w:spacing w:after="60"/>
            </w:pPr>
            <w:r>
              <w:rPr>
                <w:sz w:val="20"/>
                <w:szCs w:val="20"/>
              </w:rPr>
              <w:t>Role clarity, identification, job embeddedness</w:t>
            </w:r>
          </w:p>
        </w:tc>
      </w:tr>
    </w:tbl>
    <w:p w14:paraId="5D6F0D19" w14:textId="77777777" w:rsidR="00410D94" w:rsidRPr="00A265DA" w:rsidRDefault="00000000" w:rsidP="007333CF">
      <w:pPr>
        <w:spacing w:before="120"/>
        <w:jc w:val="center"/>
        <w:rPr>
          <w:b/>
          <w:bCs/>
          <w:color w:val="C00000"/>
        </w:rPr>
      </w:pPr>
      <w:r w:rsidRPr="00A265DA">
        <w:rPr>
          <w:b/>
          <w:bCs/>
          <w:i/>
          <w:iCs/>
          <w:color w:val="C00000"/>
          <w:sz w:val="20"/>
          <w:szCs w:val="20"/>
        </w:rPr>
        <w:t>Table 1: Traditional onboarding versus strategic organisational socialisation at HUM</w:t>
      </w:r>
    </w:p>
    <w:p w14:paraId="0856524D" w14:textId="77777777" w:rsidR="00410D94" w:rsidRDefault="00000000" w:rsidP="007333CF">
      <w:pPr>
        <w:spacing w:before="200"/>
        <w:jc w:val="center"/>
      </w:pPr>
      <w:r>
        <w:rPr>
          <w:noProof/>
        </w:rPr>
        <w:drawing>
          <wp:inline distT="0" distB="0" distL="0" distR="0" wp14:anchorId="267CD049" wp14:editId="1D4F459B">
            <wp:extent cx="5334000" cy="1847850"/>
            <wp:effectExtent l="0" t="0" r="0" b="0"/>
            <wp:docPr id="1996579775" name="Picture 1996579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srcRect/>
                    <a:stretch>
                      <a:fillRect/>
                    </a:stretch>
                  </pic:blipFill>
                  <pic:spPr bwMode="auto">
                    <a:xfrm>
                      <a:off x="0" y="0"/>
                      <a:ext cx="5334000" cy="1847850"/>
                    </a:xfrm>
                    <a:prstGeom prst="rect">
                      <a:avLst/>
                    </a:prstGeom>
                  </pic:spPr>
                </pic:pic>
              </a:graphicData>
            </a:graphic>
          </wp:inline>
        </w:drawing>
      </w:r>
    </w:p>
    <w:p w14:paraId="729FFBC2" w14:textId="77777777" w:rsidR="00410D94" w:rsidRDefault="00000000" w:rsidP="007333CF">
      <w:pPr>
        <w:spacing w:before="120"/>
        <w:jc w:val="center"/>
        <w:rPr>
          <w:b/>
          <w:bCs/>
          <w:i/>
          <w:iCs/>
          <w:color w:val="C00000"/>
          <w:sz w:val="20"/>
          <w:szCs w:val="20"/>
        </w:rPr>
      </w:pPr>
      <w:r w:rsidRPr="00A265DA">
        <w:rPr>
          <w:b/>
          <w:bCs/>
          <w:i/>
          <w:iCs/>
          <w:color w:val="C00000"/>
          <w:sz w:val="20"/>
          <w:szCs w:val="20"/>
        </w:rPr>
        <w:t>Figure 2: Helios Urban Mobility socialisation framework (pre-boarding → first 90 days → year one)</w:t>
      </w:r>
    </w:p>
    <w:p w14:paraId="2C9A24C1" w14:textId="77777777" w:rsidR="00A265DA" w:rsidRPr="00A265DA" w:rsidRDefault="00A265DA" w:rsidP="007333CF">
      <w:pPr>
        <w:spacing w:before="120"/>
        <w:jc w:val="center"/>
        <w:rPr>
          <w:b/>
          <w:bCs/>
          <w:color w:val="C00000"/>
        </w:rPr>
      </w:pPr>
    </w:p>
    <w:p w14:paraId="7E8A2C9F" w14:textId="73BFDC3B" w:rsidR="00410D94" w:rsidRDefault="008E3389" w:rsidP="007333CF">
      <w:pPr>
        <w:jc w:val="both"/>
      </w:pPr>
      <w:r w:rsidRPr="008E3389">
        <w:t xml:space="preserve">Pre-boarding starts two weeks before the start date, when role clarity documents, portal access and a named buddy are given to the students, thus filling the informal/random gap before day one – this type of digital pre-boarding is independently associated with more role clarity on arrival (Bauer et al., 2025). The first 90 days is an intentional application of serial and investiture tactics a mentor is assigned (rather than newcomers being “sorted out” on their own) and there are deliberate 30/60/90-day check-ins that affirm rather than remove the identity the newcomer brings (investiture, rather than divestiture). However, given that HUM is a multi-location project taking place in three different cities, this phase also calls for intentional cross-site immersion, such as a brief virtual placement with a peer team in another city, to avoid the usual phenomenon of site-specific socialisation which otherwise would occur </w:t>
      </w:r>
      <w:r w:rsidRPr="008E3389">
        <w:lastRenderedPageBreak/>
        <w:t>in a purely local process. Year one moves from induction to embeddedness, with a continued mentoring relationship, and with the addition of a proposal to become embedded through the internal talent marketplace (Task B). Each phase is explained by the specific gap it aims to address, which is what traditional onboarding does not address at all.</w:t>
      </w:r>
      <w:r>
        <w:t>.</w:t>
      </w:r>
    </w:p>
    <w:p w14:paraId="15DEC63A" w14:textId="77777777" w:rsidR="00410D94" w:rsidRDefault="00000000" w:rsidP="007333CF">
      <w:pPr>
        <w:pStyle w:val="Heading2"/>
      </w:pPr>
      <w:bookmarkStart w:id="6" w:name="_Toc234923998"/>
      <w:r>
        <w:t>2.3 Mechanisms for Identification, Ethical Professionalism and the Business Activist Mindset</w:t>
      </w:r>
      <w:bookmarkEnd w:id="6"/>
    </w:p>
    <w:p w14:paraId="0ACCFE69" w14:textId="77777777" w:rsidR="008E3389" w:rsidRDefault="008E3389" w:rsidP="008E3389">
      <w:pPr>
        <w:jc w:val="both"/>
      </w:pPr>
      <w:r>
        <w:t>Socialisation alone is a measure of adjustment, but not of identification, ethics or strategic contribution. Three additional mechanisms are suggested.</w:t>
      </w:r>
    </w:p>
    <w:p w14:paraId="33FE2842" w14:textId="4E382E1A" w:rsidR="008E3389" w:rsidRDefault="008E3389" w:rsidP="008E3389">
      <w:pPr>
        <w:pStyle w:val="ListParagraph"/>
        <w:numPr>
          <w:ilvl w:val="0"/>
          <w:numId w:val="2"/>
        </w:numPr>
        <w:jc w:val="both"/>
      </w:pPr>
      <w:r w:rsidRPr="008E3389">
        <w:rPr>
          <w:b/>
          <w:bCs/>
        </w:rPr>
        <w:t>Organisational identification:</w:t>
      </w:r>
      <w:r>
        <w:t xml:space="preserve">   HUM's triple site system may create three separate identities instead of one. The “One Helios” story is woven throughout all onboarding touchpoints, reinforced by the cross-site rotation described above and provides a shared anchor for new hires beyond their own office.</w:t>
      </w:r>
    </w:p>
    <w:p w14:paraId="211F0E43" w14:textId="77777777" w:rsidR="008E3389" w:rsidRDefault="008E3389" w:rsidP="008E3389">
      <w:pPr>
        <w:jc w:val="both"/>
      </w:pPr>
    </w:p>
    <w:p w14:paraId="71C1E1E8" w14:textId="30AF3648" w:rsidR="008E3389" w:rsidRPr="008E3389" w:rsidRDefault="008E3389" w:rsidP="008E3389">
      <w:pPr>
        <w:pStyle w:val="ListParagraph"/>
        <w:numPr>
          <w:ilvl w:val="0"/>
          <w:numId w:val="2"/>
        </w:numPr>
        <w:jc w:val="both"/>
        <w:rPr>
          <w:b/>
          <w:bCs/>
        </w:rPr>
      </w:pPr>
      <w:r w:rsidRPr="008E3389">
        <w:rPr>
          <w:b/>
          <w:bCs/>
        </w:rPr>
        <w:t xml:space="preserve">Ethical professionalism: </w:t>
      </w:r>
      <w:r>
        <w:t>The staff at HUM are also making public-interest decisions, such as how to share mobility data, earlier in their career than most start-up staff. Onboarding should contain a clear, scenario-based ethical-decision making process for public sector data usage – it should be taught in the first 90 days of work, and not through informal learning.</w:t>
      </w:r>
    </w:p>
    <w:p w14:paraId="017E3795" w14:textId="77777777" w:rsidR="008E3389" w:rsidRPr="008E3389" w:rsidRDefault="008E3389" w:rsidP="008E3389">
      <w:pPr>
        <w:jc w:val="both"/>
        <w:rPr>
          <w:b/>
          <w:bCs/>
        </w:rPr>
      </w:pPr>
    </w:p>
    <w:p w14:paraId="6E5FF457" w14:textId="77777777" w:rsidR="008E3389" w:rsidRDefault="008E3389" w:rsidP="008E3389">
      <w:pPr>
        <w:pStyle w:val="ListParagraph"/>
        <w:numPr>
          <w:ilvl w:val="0"/>
          <w:numId w:val="2"/>
        </w:numPr>
        <w:jc w:val="both"/>
      </w:pPr>
      <w:r w:rsidRPr="008E3389">
        <w:rPr>
          <w:b/>
          <w:bCs/>
        </w:rPr>
        <w:t xml:space="preserve">Business activist mindset: </w:t>
      </w:r>
      <w:r>
        <w:t>While internal efficiency is important, Ulrich's changing HR business partner model posits that HR, as well as the entire organisation, needs to be a service for a variety of stakeholders - not just efficiency (Ulrich, 2024). A 'credible activist' is a business, data-literate, and challenging one' (Ulrich, 1997). This competency does not belong just in the HR department for HUM.</w:t>
      </w:r>
    </w:p>
    <w:p w14:paraId="69BD3ECA" w14:textId="77777777" w:rsidR="008E3389" w:rsidRDefault="008E3389" w:rsidP="008E3389">
      <w:pPr>
        <w:pStyle w:val="ListParagraph"/>
      </w:pPr>
    </w:p>
    <w:p w14:paraId="574413ED" w14:textId="77777777" w:rsidR="008E3389" w:rsidRDefault="008E3389" w:rsidP="008E3389">
      <w:pPr>
        <w:jc w:val="both"/>
      </w:pPr>
    </w:p>
    <w:p w14:paraId="26F0A706" w14:textId="21D7C9A8" w:rsidR="008E3389" w:rsidRPr="008E3389" w:rsidRDefault="008E3389" w:rsidP="008E3389">
      <w:pPr>
        <w:jc w:val="both"/>
        <w:rPr>
          <w:b/>
          <w:bCs/>
        </w:rPr>
      </w:pPr>
      <w:r>
        <w:t xml:space="preserve"> it belongs with new hires to turn a city government's needs for its stakeholders into decisions on product and process. This is a link to stakeholder capitalism, which suggests the idea that organisations are responsible to a network of stakeholders – not just shareholders (Freeman, 1984) – and that there is intrinsic value in multiple forms of capital  human, social and environmental (Biancone et al., 2024).</w:t>
      </w:r>
    </w:p>
    <w:p w14:paraId="10F39E14" w14:textId="722DA44A" w:rsidR="00410D94" w:rsidRDefault="008E3389" w:rsidP="008E3389">
      <w:pPr>
        <w:jc w:val="both"/>
      </w:pPr>
      <w:r>
        <w:t xml:space="preserve">Stated in this perspective, the graduate attrition, which HUM experiences is potentially a purpose problem, or one that relates to socialisation speed, namely graduate students who have not yet been able to understand how their work is connected to a broader mission of a </w:t>
      </w:r>
      <w:r>
        <w:lastRenderedPageBreak/>
        <w:t>stakeholder. It is not an add-on to the socialisation 'structure' outlined in section 2.2 but a deliberate design choice to incorporate this thinking into that structure.</w:t>
      </w:r>
    </w:p>
    <w:p w14:paraId="6D042015" w14:textId="77777777" w:rsidR="00410D94" w:rsidRDefault="00000000" w:rsidP="007333CF">
      <w:pPr>
        <w:pStyle w:val="Heading1"/>
      </w:pPr>
      <w:bookmarkStart w:id="7" w:name="_Toc234923999"/>
      <w:r>
        <w:t>3. Task B: Job Design</w:t>
      </w:r>
      <w:bookmarkEnd w:id="7"/>
    </w:p>
    <w:p w14:paraId="524FB605" w14:textId="77777777" w:rsidR="00410D94" w:rsidRDefault="00000000" w:rsidP="007333CF">
      <w:pPr>
        <w:pStyle w:val="Heading2"/>
      </w:pPr>
      <w:bookmarkStart w:id="8" w:name="_Toc234924000"/>
      <w:r>
        <w:t>3.1 A Job Design Strategy for Helios</w:t>
      </w:r>
      <w:bookmarkEnd w:id="8"/>
    </w:p>
    <w:p w14:paraId="5706C956" w14:textId="018FCAB6" w:rsidR="00410D94" w:rsidRDefault="008E3389" w:rsidP="007333CF">
      <w:pPr>
        <w:jc w:val="both"/>
      </w:pPr>
      <w:r w:rsidRPr="008E3389">
        <w:t>The five dimensions of the Job Characteristics Model (skill variety, task identity, task significance, autonomy and feedback) create three psychological states (experienced meaningfulness, experienced responsibility and knowledge of results) that lead to internal work motivation and performance (Hackman and Oldham, 1976). Yet for HUM, the model suggests that the narrow definition of job roles assigned during the onboarding process – especially in a rapidly growing start-up – may, unsurprisingly, be structurally incompatible with task significance and autonomy. Table 2 identifies the current level of fit between HUM's work design and each of the dimensions of JCM, and the redesign recommended in the following section.</w:t>
      </w:r>
    </w:p>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244"/>
        <w:gridCol w:w="3553"/>
        <w:gridCol w:w="3553"/>
      </w:tblGrid>
      <w:tr w:rsidR="00410D94" w14:paraId="05FB61F1" w14:textId="77777777">
        <w:trPr>
          <w:tblHeader/>
        </w:trPr>
        <w:tc>
          <w:tcPr>
            <w:tcW w:w="2244" w:type="dxa"/>
            <w:shd w:val="clear" w:color="auto" w:fill="12294D"/>
            <w:tcMar>
              <w:top w:w="80" w:type="dxa"/>
              <w:left w:w="100" w:type="dxa"/>
              <w:bottom w:w="80" w:type="dxa"/>
              <w:right w:w="100" w:type="dxa"/>
            </w:tcMar>
            <w:vAlign w:val="center"/>
          </w:tcPr>
          <w:p w14:paraId="3A66DB2F" w14:textId="77777777" w:rsidR="00410D94" w:rsidRDefault="00000000" w:rsidP="007333CF">
            <w:r>
              <w:rPr>
                <w:b/>
                <w:bCs/>
                <w:color w:val="FFFFFF"/>
                <w:sz w:val="20"/>
                <w:szCs w:val="20"/>
              </w:rPr>
              <w:t>JCM Dimension</w:t>
            </w:r>
          </w:p>
        </w:tc>
        <w:tc>
          <w:tcPr>
            <w:tcW w:w="3553" w:type="dxa"/>
            <w:shd w:val="clear" w:color="auto" w:fill="12294D"/>
            <w:tcMar>
              <w:top w:w="80" w:type="dxa"/>
              <w:left w:w="100" w:type="dxa"/>
              <w:bottom w:w="80" w:type="dxa"/>
              <w:right w:w="100" w:type="dxa"/>
            </w:tcMar>
            <w:vAlign w:val="center"/>
          </w:tcPr>
          <w:p w14:paraId="16F365FB" w14:textId="77777777" w:rsidR="00410D94" w:rsidRDefault="00000000" w:rsidP="007333CF">
            <w:r>
              <w:rPr>
                <w:b/>
                <w:bCs/>
                <w:color w:val="FFFFFF"/>
                <w:sz w:val="20"/>
                <w:szCs w:val="20"/>
              </w:rPr>
              <w:t>Current State at HUM</w:t>
            </w:r>
          </w:p>
        </w:tc>
        <w:tc>
          <w:tcPr>
            <w:tcW w:w="3553" w:type="dxa"/>
            <w:shd w:val="clear" w:color="auto" w:fill="12294D"/>
            <w:tcMar>
              <w:top w:w="80" w:type="dxa"/>
              <w:left w:w="100" w:type="dxa"/>
              <w:bottom w:w="80" w:type="dxa"/>
              <w:right w:w="100" w:type="dxa"/>
            </w:tcMar>
            <w:vAlign w:val="center"/>
          </w:tcPr>
          <w:p w14:paraId="129C01BD" w14:textId="77777777" w:rsidR="00410D94" w:rsidRDefault="00000000" w:rsidP="007333CF">
            <w:r>
              <w:rPr>
                <w:b/>
                <w:bCs/>
                <w:color w:val="FFFFFF"/>
                <w:sz w:val="20"/>
                <w:szCs w:val="20"/>
              </w:rPr>
              <w:t>Redesigned State</w:t>
            </w:r>
          </w:p>
        </w:tc>
      </w:tr>
      <w:tr w:rsidR="00410D94" w14:paraId="7B45DD5D" w14:textId="77777777" w:rsidTr="008E3389">
        <w:tc>
          <w:tcPr>
            <w:tcW w:w="2244" w:type="dxa"/>
            <w:tcMar>
              <w:top w:w="80" w:type="dxa"/>
              <w:left w:w="100" w:type="dxa"/>
              <w:bottom w:w="80" w:type="dxa"/>
              <w:right w:w="100" w:type="dxa"/>
            </w:tcMar>
            <w:vAlign w:val="center"/>
          </w:tcPr>
          <w:p w14:paraId="17E90975" w14:textId="77777777" w:rsidR="00410D94" w:rsidRDefault="00000000" w:rsidP="007333CF">
            <w:pPr>
              <w:spacing w:after="60"/>
            </w:pPr>
            <w:r>
              <w:rPr>
                <w:sz w:val="20"/>
                <w:szCs w:val="20"/>
              </w:rPr>
              <w:t>Skill variety</w:t>
            </w:r>
          </w:p>
        </w:tc>
        <w:tc>
          <w:tcPr>
            <w:tcW w:w="3553" w:type="dxa"/>
            <w:tcMar>
              <w:top w:w="80" w:type="dxa"/>
              <w:left w:w="100" w:type="dxa"/>
              <w:bottom w:w="80" w:type="dxa"/>
              <w:right w:w="100" w:type="dxa"/>
            </w:tcMar>
            <w:vAlign w:val="center"/>
          </w:tcPr>
          <w:p w14:paraId="621C9C1A" w14:textId="77777777" w:rsidR="00410D94" w:rsidRDefault="00000000" w:rsidP="007333CF">
            <w:pPr>
              <w:spacing w:after="60"/>
            </w:pPr>
            <w:r>
              <w:rPr>
                <w:sz w:val="20"/>
                <w:szCs w:val="20"/>
              </w:rPr>
              <w:t>Fixed role scope defined at hire</w:t>
            </w:r>
          </w:p>
        </w:tc>
        <w:tc>
          <w:tcPr>
            <w:tcW w:w="3553" w:type="dxa"/>
            <w:tcMar>
              <w:top w:w="80" w:type="dxa"/>
              <w:left w:w="100" w:type="dxa"/>
              <w:bottom w:w="80" w:type="dxa"/>
              <w:right w:w="100" w:type="dxa"/>
            </w:tcMar>
            <w:vAlign w:val="center"/>
          </w:tcPr>
          <w:p w14:paraId="7E9D8009" w14:textId="3FCF31A2" w:rsidR="00410D94" w:rsidRDefault="00000000" w:rsidP="007333CF">
            <w:pPr>
              <w:spacing w:after="60"/>
            </w:pPr>
            <w:r>
              <w:rPr>
                <w:sz w:val="20"/>
                <w:szCs w:val="20"/>
              </w:rPr>
              <w:t>Skills-based profile</w:t>
            </w:r>
            <w:r w:rsidR="006475BE">
              <w:rPr>
                <w:sz w:val="20"/>
                <w:szCs w:val="20"/>
              </w:rPr>
              <w:t xml:space="preserve"> </w:t>
            </w:r>
            <w:r>
              <w:rPr>
                <w:sz w:val="20"/>
                <w:szCs w:val="20"/>
              </w:rPr>
              <w:t xml:space="preserve"> marketplace project rotation</w:t>
            </w:r>
          </w:p>
        </w:tc>
      </w:tr>
      <w:tr w:rsidR="00410D94" w14:paraId="6CB902C3" w14:textId="77777777" w:rsidTr="008E3389">
        <w:tc>
          <w:tcPr>
            <w:tcW w:w="2244" w:type="dxa"/>
            <w:tcMar>
              <w:top w:w="80" w:type="dxa"/>
              <w:left w:w="100" w:type="dxa"/>
              <w:bottom w:w="80" w:type="dxa"/>
              <w:right w:w="100" w:type="dxa"/>
            </w:tcMar>
            <w:vAlign w:val="center"/>
          </w:tcPr>
          <w:p w14:paraId="424A41FB" w14:textId="77777777" w:rsidR="00410D94" w:rsidRDefault="00000000" w:rsidP="007333CF">
            <w:pPr>
              <w:spacing w:after="60"/>
            </w:pPr>
            <w:r>
              <w:rPr>
                <w:sz w:val="20"/>
                <w:szCs w:val="20"/>
              </w:rPr>
              <w:t>Task identity</w:t>
            </w:r>
          </w:p>
        </w:tc>
        <w:tc>
          <w:tcPr>
            <w:tcW w:w="3553" w:type="dxa"/>
            <w:tcMar>
              <w:top w:w="80" w:type="dxa"/>
              <w:left w:w="100" w:type="dxa"/>
              <w:bottom w:w="80" w:type="dxa"/>
              <w:right w:w="100" w:type="dxa"/>
            </w:tcMar>
            <w:vAlign w:val="center"/>
          </w:tcPr>
          <w:p w14:paraId="35D20424" w14:textId="77777777" w:rsidR="00410D94" w:rsidRDefault="00000000" w:rsidP="007333CF">
            <w:pPr>
              <w:spacing w:after="60"/>
            </w:pPr>
            <w:r>
              <w:rPr>
                <w:sz w:val="20"/>
                <w:szCs w:val="20"/>
              </w:rPr>
              <w:t>Narrow task ownership within one site</w:t>
            </w:r>
          </w:p>
        </w:tc>
        <w:tc>
          <w:tcPr>
            <w:tcW w:w="3553" w:type="dxa"/>
            <w:tcMar>
              <w:top w:w="80" w:type="dxa"/>
              <w:left w:w="100" w:type="dxa"/>
              <w:bottom w:w="80" w:type="dxa"/>
              <w:right w:w="100" w:type="dxa"/>
            </w:tcMar>
            <w:vAlign w:val="center"/>
          </w:tcPr>
          <w:p w14:paraId="54F59745" w14:textId="77777777" w:rsidR="00410D94" w:rsidRDefault="00000000" w:rsidP="007333CF">
            <w:pPr>
              <w:spacing w:after="60"/>
            </w:pPr>
            <w:r>
              <w:rPr>
                <w:sz w:val="20"/>
                <w:szCs w:val="20"/>
              </w:rPr>
              <w:t>End-to-end ownership of marketplace projects</w:t>
            </w:r>
          </w:p>
        </w:tc>
      </w:tr>
      <w:tr w:rsidR="00410D94" w14:paraId="5F8ABC16" w14:textId="77777777" w:rsidTr="008E3389">
        <w:tc>
          <w:tcPr>
            <w:tcW w:w="2244" w:type="dxa"/>
            <w:tcMar>
              <w:top w:w="80" w:type="dxa"/>
              <w:left w:w="100" w:type="dxa"/>
              <w:bottom w:w="80" w:type="dxa"/>
              <w:right w:w="100" w:type="dxa"/>
            </w:tcMar>
            <w:vAlign w:val="center"/>
          </w:tcPr>
          <w:p w14:paraId="10ABE4BC" w14:textId="77777777" w:rsidR="00410D94" w:rsidRDefault="00000000" w:rsidP="007333CF">
            <w:pPr>
              <w:spacing w:after="60"/>
            </w:pPr>
            <w:r>
              <w:rPr>
                <w:sz w:val="20"/>
                <w:szCs w:val="20"/>
              </w:rPr>
              <w:t>Task significance</w:t>
            </w:r>
          </w:p>
        </w:tc>
        <w:tc>
          <w:tcPr>
            <w:tcW w:w="3553" w:type="dxa"/>
            <w:tcMar>
              <w:top w:w="80" w:type="dxa"/>
              <w:left w:w="100" w:type="dxa"/>
              <w:bottom w:w="80" w:type="dxa"/>
              <w:right w:w="100" w:type="dxa"/>
            </w:tcMar>
            <w:vAlign w:val="center"/>
          </w:tcPr>
          <w:p w14:paraId="2D72B75F" w14:textId="77777777" w:rsidR="00410D94" w:rsidRDefault="00000000" w:rsidP="007333CF">
            <w:pPr>
              <w:spacing w:after="60"/>
            </w:pPr>
            <w:r>
              <w:rPr>
                <w:sz w:val="20"/>
                <w:szCs w:val="20"/>
              </w:rPr>
              <w:t>Limited visibility of city-government impact</w:t>
            </w:r>
          </w:p>
        </w:tc>
        <w:tc>
          <w:tcPr>
            <w:tcW w:w="3553" w:type="dxa"/>
            <w:tcMar>
              <w:top w:w="80" w:type="dxa"/>
              <w:left w:w="100" w:type="dxa"/>
              <w:bottom w:w="80" w:type="dxa"/>
              <w:right w:w="100" w:type="dxa"/>
            </w:tcMar>
            <w:vAlign w:val="center"/>
          </w:tcPr>
          <w:p w14:paraId="24F17E65" w14:textId="77777777" w:rsidR="00410D94" w:rsidRDefault="00000000" w:rsidP="007333CF">
            <w:pPr>
              <w:spacing w:after="60"/>
            </w:pPr>
            <w:r>
              <w:rPr>
                <w:sz w:val="20"/>
                <w:szCs w:val="20"/>
              </w:rPr>
              <w:t>Direct stakeholder exposure via rotations</w:t>
            </w:r>
          </w:p>
        </w:tc>
      </w:tr>
      <w:tr w:rsidR="00410D94" w14:paraId="0FD97E00" w14:textId="77777777" w:rsidTr="008E3389">
        <w:tc>
          <w:tcPr>
            <w:tcW w:w="2244" w:type="dxa"/>
            <w:tcMar>
              <w:top w:w="80" w:type="dxa"/>
              <w:left w:w="100" w:type="dxa"/>
              <w:bottom w:w="80" w:type="dxa"/>
              <w:right w:w="100" w:type="dxa"/>
            </w:tcMar>
            <w:vAlign w:val="center"/>
          </w:tcPr>
          <w:p w14:paraId="685E7833" w14:textId="77777777" w:rsidR="00410D94" w:rsidRDefault="00000000" w:rsidP="007333CF">
            <w:pPr>
              <w:spacing w:after="60"/>
            </w:pPr>
            <w:r>
              <w:rPr>
                <w:sz w:val="20"/>
                <w:szCs w:val="20"/>
              </w:rPr>
              <w:t>Autonomy</w:t>
            </w:r>
          </w:p>
        </w:tc>
        <w:tc>
          <w:tcPr>
            <w:tcW w:w="3553" w:type="dxa"/>
            <w:tcMar>
              <w:top w:w="80" w:type="dxa"/>
              <w:left w:w="100" w:type="dxa"/>
              <w:bottom w:w="80" w:type="dxa"/>
              <w:right w:w="100" w:type="dxa"/>
            </w:tcMar>
            <w:vAlign w:val="center"/>
          </w:tcPr>
          <w:p w14:paraId="0B361F10" w14:textId="77777777" w:rsidR="00410D94" w:rsidRDefault="00000000" w:rsidP="007333CF">
            <w:pPr>
              <w:spacing w:after="60"/>
            </w:pPr>
            <w:r>
              <w:rPr>
                <w:sz w:val="20"/>
                <w:szCs w:val="20"/>
              </w:rPr>
              <w:t>Assignments made by manager</w:t>
            </w:r>
          </w:p>
        </w:tc>
        <w:tc>
          <w:tcPr>
            <w:tcW w:w="3553" w:type="dxa"/>
            <w:tcMar>
              <w:top w:w="80" w:type="dxa"/>
              <w:left w:w="100" w:type="dxa"/>
              <w:bottom w:w="80" w:type="dxa"/>
              <w:right w:w="100" w:type="dxa"/>
            </w:tcMar>
            <w:vAlign w:val="center"/>
          </w:tcPr>
          <w:p w14:paraId="365256D2" w14:textId="1B63A3C9" w:rsidR="00410D94" w:rsidRDefault="00000000" w:rsidP="007333CF">
            <w:pPr>
              <w:spacing w:after="60"/>
            </w:pPr>
            <w:r>
              <w:rPr>
                <w:sz w:val="20"/>
                <w:szCs w:val="20"/>
              </w:rPr>
              <w:t>Employee-initiated moves</w:t>
            </w:r>
            <w:r w:rsidR="006475BE">
              <w:rPr>
                <w:sz w:val="20"/>
                <w:szCs w:val="20"/>
              </w:rPr>
              <w:t xml:space="preserve"> </w:t>
            </w:r>
            <w:r>
              <w:rPr>
                <w:sz w:val="20"/>
                <w:szCs w:val="20"/>
              </w:rPr>
              <w:t xml:space="preserve"> protected crafting time</w:t>
            </w:r>
          </w:p>
        </w:tc>
      </w:tr>
      <w:tr w:rsidR="00410D94" w14:paraId="0284A959" w14:textId="77777777" w:rsidTr="008E3389">
        <w:tc>
          <w:tcPr>
            <w:tcW w:w="2244" w:type="dxa"/>
            <w:tcMar>
              <w:top w:w="80" w:type="dxa"/>
              <w:left w:w="100" w:type="dxa"/>
              <w:bottom w:w="80" w:type="dxa"/>
              <w:right w:w="100" w:type="dxa"/>
            </w:tcMar>
            <w:vAlign w:val="center"/>
          </w:tcPr>
          <w:p w14:paraId="25C372F5" w14:textId="77777777" w:rsidR="00410D94" w:rsidRDefault="00000000" w:rsidP="007333CF">
            <w:pPr>
              <w:spacing w:after="60"/>
            </w:pPr>
            <w:r>
              <w:rPr>
                <w:sz w:val="20"/>
                <w:szCs w:val="20"/>
              </w:rPr>
              <w:t>Feedback</w:t>
            </w:r>
          </w:p>
        </w:tc>
        <w:tc>
          <w:tcPr>
            <w:tcW w:w="3553" w:type="dxa"/>
            <w:tcMar>
              <w:top w:w="80" w:type="dxa"/>
              <w:left w:w="100" w:type="dxa"/>
              <w:bottom w:w="80" w:type="dxa"/>
              <w:right w:w="100" w:type="dxa"/>
            </w:tcMar>
            <w:vAlign w:val="center"/>
          </w:tcPr>
          <w:p w14:paraId="561DFA3E" w14:textId="77777777" w:rsidR="00410D94" w:rsidRDefault="00000000" w:rsidP="007333CF">
            <w:pPr>
              <w:spacing w:after="60"/>
            </w:pPr>
            <w:r>
              <w:rPr>
                <w:sz w:val="20"/>
                <w:szCs w:val="20"/>
              </w:rPr>
              <w:t>Annual review only</w:t>
            </w:r>
          </w:p>
        </w:tc>
        <w:tc>
          <w:tcPr>
            <w:tcW w:w="3553" w:type="dxa"/>
            <w:tcMar>
              <w:top w:w="80" w:type="dxa"/>
              <w:left w:w="100" w:type="dxa"/>
              <w:bottom w:w="80" w:type="dxa"/>
              <w:right w:w="100" w:type="dxa"/>
            </w:tcMar>
            <w:vAlign w:val="center"/>
          </w:tcPr>
          <w:p w14:paraId="5716032D" w14:textId="77777777" w:rsidR="00410D94" w:rsidRDefault="00000000" w:rsidP="007333CF">
            <w:pPr>
              <w:spacing w:after="60"/>
            </w:pPr>
            <w:r>
              <w:rPr>
                <w:sz w:val="20"/>
                <w:szCs w:val="20"/>
              </w:rPr>
              <w:t>30/60/90-day check-ins plus project feedback</w:t>
            </w:r>
          </w:p>
        </w:tc>
      </w:tr>
    </w:tbl>
    <w:p w14:paraId="36616033" w14:textId="77777777" w:rsidR="00410D94" w:rsidRPr="008E3389" w:rsidRDefault="00000000" w:rsidP="007333CF">
      <w:pPr>
        <w:spacing w:before="120"/>
        <w:jc w:val="center"/>
        <w:rPr>
          <w:b/>
          <w:bCs/>
          <w:color w:val="C00000"/>
        </w:rPr>
      </w:pPr>
      <w:r w:rsidRPr="008E3389">
        <w:rPr>
          <w:b/>
          <w:bCs/>
          <w:i/>
          <w:iCs/>
          <w:color w:val="C00000"/>
          <w:sz w:val="20"/>
          <w:szCs w:val="20"/>
        </w:rPr>
        <w:t>Table 2: Job Characteristics Model (Hackman and Oldham, 1976) applied to HUM</w:t>
      </w:r>
    </w:p>
    <w:p w14:paraId="1BAF450C" w14:textId="6D4D62D6" w:rsidR="008E3389" w:rsidRDefault="008E3389" w:rsidP="008E3389">
      <w:pPr>
        <w:jc w:val="both"/>
      </w:pPr>
      <w:r>
        <w:t xml:space="preserve">The main idea is to move away from job-based structure to a skills-based structure with an internal talent marketplace. By considering skills, technical, human and potential, instead of jobs as the fundamental structure for work organisation, Deloitte's mass study of skills-based organisations suggests that talent can flow to where it is needed (Deloitte, 2023). In the case of HUM, this translates to a data analyst currently based in Berlin who has a proven track record in public-sector stakeholder engagement who can rotate to a Singapore project for </w:t>
      </w:r>
      <w:r>
        <w:lastRenderedPageBreak/>
        <w:t>infrastructure-analytics without having to be fully re-hired and directly gaining skill variety and task identity. Such a scenario is not hypothetical the sector has seen an increase in internal-candidate fill rates from 32% to 39% from 2023 to 2024. HUM's attrition rates are coming from their highest-potential graduates – the population that will be most likely to value visible growth and therefore make it a retention goal instead of content with generic engagement efforts.</w:t>
      </w:r>
    </w:p>
    <w:p w14:paraId="2EF1CEBA" w14:textId="37C74627" w:rsidR="00410D94" w:rsidRDefault="008E3389" w:rsidP="008E3389">
      <w:pPr>
        <w:jc w:val="both"/>
      </w:pPr>
      <w:r>
        <w:t xml:space="preserve">Without a skills-based architecture it's still a top down solution. Adding the bottom-up layer to this, as posited by the job crafting theory, employees actively </w:t>
      </w:r>
      <w:proofErr w:type="spellStart"/>
      <w:r>
        <w:t>mold</w:t>
      </w:r>
      <w:proofErr w:type="spellEnd"/>
      <w:r>
        <w:t xml:space="preserve"> the task, relational or cognitive dimensions of their work to align with their aspirations and abilities (</w:t>
      </w:r>
      <w:proofErr w:type="spellStart"/>
      <w:r>
        <w:t>Wrzesniewski</w:t>
      </w:r>
      <w:proofErr w:type="spellEnd"/>
      <w:r>
        <w:t xml:space="preserve"> and Dutton, 2001). HUM was able to design a space dedicated to job crafting, which protected time for employees to pursue process-improvement projects on their own – an ideal match for a business operating in an AI-driven analytics space, where employees have a lot more autonomy to pursue their own projects.</w:t>
      </w:r>
    </w:p>
    <w:p w14:paraId="0D947E67" w14:textId="77777777" w:rsidR="00410D94" w:rsidRDefault="00000000" w:rsidP="007333CF">
      <w:pPr>
        <w:pStyle w:val="Heading2"/>
      </w:pPr>
      <w:bookmarkStart w:id="9" w:name="_Toc234924001"/>
      <w:r>
        <w:t>3.2 Stimulating Intrinsic Motivation and Innovation</w:t>
      </w:r>
      <w:bookmarkEnd w:id="9"/>
    </w:p>
    <w:p w14:paraId="757C2925" w14:textId="4CD5A654" w:rsidR="008E3389" w:rsidRDefault="008E3389" w:rsidP="008E3389">
      <w:pPr>
        <w:jc w:val="both"/>
      </w:pPr>
      <w:r>
        <w:t>The causal chain of the JCM is relevant here autonomy leads to the experienced responsibility, and feedback leads to knowledge of results (Hackman and Oldham, 1976). The added value of the proposed skills-based marketplace is to give employees more autonomy to select project moves, as opposed to having them assigned, and the new socialisation framework's 30/60/90 day check-ins (section 2.2) provide the structured feedback loop that is currently missing. They work together to increase all three psychological states instead of working on just motivation.</w:t>
      </w:r>
    </w:p>
    <w:p w14:paraId="3743615C" w14:textId="21E6CA83" w:rsidR="008E3389" w:rsidRDefault="008E3389" w:rsidP="008E3389">
      <w:pPr>
        <w:jc w:val="both"/>
      </w:pPr>
      <w:r>
        <w:t xml:space="preserve">Job crafting research provides a motivational mechanism in addition to the job design. According to a self-determination theory model of “need crafting” (Olafsen, </w:t>
      </w:r>
      <w:proofErr w:type="spellStart"/>
      <w:r>
        <w:t>Marescaux</w:t>
      </w:r>
      <w:proofErr w:type="spellEnd"/>
      <w:r>
        <w:t xml:space="preserve"> and Kujanpää, 2024), job crafting can be seen as satisfying basic psychological needs for autonomy, competence and relatedness, and over time, job crafting and self-concordant goal attainment reinforce each other. A one-off onboarding intervention would not necessarily lead to a compounding effect for HUM giving high-potential graduates space to develop their roles could help to boost their motivation, and greater motivation could then help them to develop their roles. More recently, job crafting has been directly associated with the outcome that is most important for HUM (job performance – task) Nergiz and </w:t>
      </w:r>
      <w:proofErr w:type="spellStart"/>
      <w:r>
        <w:t>Unsal</w:t>
      </w:r>
      <w:proofErr w:type="spellEnd"/>
      <w:r>
        <w:t>-Akbiyik (2024) showed that job crafting had a mediation effect on job performance – task and work engagement, meaning that a graduate who is actively crafting his/her job is less likely to search for promotion from within and is more likely to perform his/her job.</w:t>
      </w:r>
    </w:p>
    <w:p w14:paraId="2EFAD612" w14:textId="2DF3BAAA" w:rsidR="008E3389" w:rsidRDefault="008E3389" w:rsidP="008E3389">
      <w:pPr>
        <w:jc w:val="both"/>
      </w:pPr>
      <w:r>
        <w:lastRenderedPageBreak/>
        <w:t>Innovation is like that. The secret to HUM's competitive edge is in the knowledge and ideas it generates by bringing together existing project and site knowledge, not in one specific job. So, the skills based marketplace is not just a retainer tool, it's also an innovation tool – it broadens the scope of the problems and the solution patterns that any given employee encounters, and that's what feeds the innovation process. This design also reinforces what was proposed in Task A HUM's three markets give employees an exposure to a variety of stakeholder settings where the business-activist mentality is most relevant, which the talent marketplace is meant to deliver.</w:t>
      </w:r>
    </w:p>
    <w:p w14:paraId="1551A9BC" w14:textId="67F34D99" w:rsidR="00410D94" w:rsidRDefault="008E3389" w:rsidP="008E3389">
      <w:pPr>
        <w:jc w:val="both"/>
      </w:pPr>
      <w:r>
        <w:t>The design isn't risk free, though. Equity is crucial as sector evidence indicates that senior staff are significantly more likely to move internally compared to junior staff – a marketplace may be just further evidence of HUM's attrition issue rather than a solution. The marketplace is therefore not a refinement of transparent visibility and consistent selection criteria are a precondition. In combination, Task A's socialisation system and this job design are not two distinct interventions, but one system that is dealing with the issues of ramp-up, engagement and attrition, all of which are symptoms of HUM.</w:t>
      </w:r>
    </w:p>
    <w:p w14:paraId="78E96151" w14:textId="77777777" w:rsidR="00410D94" w:rsidRDefault="00000000" w:rsidP="007333CF">
      <w:pPr>
        <w:pStyle w:val="Heading1"/>
      </w:pPr>
      <w:bookmarkStart w:id="10" w:name="_Toc234924002"/>
      <w:r>
        <w:t>4. Task C: Reflective Report</w:t>
      </w:r>
      <w:bookmarkEnd w:id="10"/>
    </w:p>
    <w:p w14:paraId="2C476054" w14:textId="77777777" w:rsidR="00410D94" w:rsidRDefault="00000000" w:rsidP="007333CF">
      <w:pPr>
        <w:pStyle w:val="Heading2"/>
      </w:pPr>
      <w:bookmarkStart w:id="11" w:name="_Toc234924003"/>
      <w:r>
        <w:t>4.1 Using AI as a Decision-Support Tool Without Eroding Judgement</w:t>
      </w:r>
      <w:bookmarkEnd w:id="11"/>
    </w:p>
    <w:p w14:paraId="3C4A5104" w14:textId="55A1CD0B" w:rsidR="008E3389" w:rsidRDefault="008E3389" w:rsidP="008E3389">
      <w:pPr>
        <w:jc w:val="both"/>
      </w:pPr>
      <w:r>
        <w:t>I was delighted to be able to use AI to help with the preparation of this report, in particular to proofread, though my analysis. This is not to be taken for granted as the research on AI-driven decision-making in HR is far from uniformly positive. A recent experimental study of AI-supported personnel selection by Malin et al. (2024) revealed that the use of AI-generated information by decision makers did not truly enhance their selection skills, but rather influenced their search behaviour and the quality of the selected candidates. In a systematic review of AI-based HR decision making, Taslim (2025) concludes similarly, that AI's impact on decision quality is not necessarily positive, and is dependent on the level of preparedness and AI knowledge within the organization. Practitioner data is confirming this, as three-quarters of HR professionals, according to SHRM (2025), believe that AI will make the role of human judgement more important, rather than less, over the next five years, with AI being good at pattern-match, but lacking in contextual, ethical judgement required for HUM's public-sector work.</w:t>
      </w:r>
    </w:p>
    <w:p w14:paraId="503E8097" w14:textId="7CE2DF64" w:rsidR="00410D94" w:rsidRDefault="008E3389" w:rsidP="008E3389">
      <w:pPr>
        <w:jc w:val="both"/>
      </w:pPr>
      <w:r>
        <w:t xml:space="preserve">In the context of my own practice, using AI-generated content as a rough draft or second thought to be verified against original sources is a better approach than using it as a source of authority, and it's important to be explicit like this section was, about the use of AI vs not. </w:t>
      </w:r>
      <w:r>
        <w:lastRenderedPageBreak/>
        <w:t>The discipline remains the same as the one suggested for HUM's business-activist mindset, in section 2.3</w:t>
      </w:r>
      <w:r w:rsidR="006475BE">
        <w:t xml:space="preserve"> </w:t>
      </w:r>
      <w:r>
        <w:t>judgement remains with the person responsible for the result.</w:t>
      </w:r>
    </w:p>
    <w:p w14:paraId="40F0D3F5" w14:textId="77777777" w:rsidR="00A265DA" w:rsidRDefault="00A265DA" w:rsidP="007333CF">
      <w:pPr>
        <w:jc w:val="both"/>
      </w:pPr>
    </w:p>
    <w:p w14:paraId="08D80FD4" w14:textId="77777777" w:rsidR="00410D94" w:rsidRDefault="00000000" w:rsidP="007333CF">
      <w:pPr>
        <w:pStyle w:val="Heading2"/>
      </w:pPr>
      <w:bookmarkStart w:id="12" w:name="_Toc234924004"/>
      <w:r>
        <w:t>4.2 Personal Capability Development Plan</w:t>
      </w:r>
      <w:bookmarkEnd w:id="12"/>
    </w:p>
    <w:p w14:paraId="63E3EBDD" w14:textId="1917156A" w:rsidR="00410D94" w:rsidRDefault="00000000" w:rsidP="007333CF">
      <w:pPr>
        <w:jc w:val="both"/>
      </w:pPr>
      <w:r>
        <w:t>Four capability areas follow directly from the gaps this report exposed.</w:t>
      </w:r>
    </w:p>
    <w:p w14:paraId="39DC71CD" w14:textId="77777777" w:rsidR="00410D94" w:rsidRDefault="00000000" w:rsidP="007333CF">
      <w:pPr>
        <w:jc w:val="both"/>
      </w:pPr>
      <w:r>
        <w:rPr>
          <w:b/>
          <w:bCs/>
        </w:rPr>
        <w:t xml:space="preserve">Data literacy: </w:t>
      </w:r>
      <w:r>
        <w:t>HR decisions in this report rely on interpreting engagement, attrition and retention metrics correctly, and I intend to build structured practice interpreting HR dashboards rather than relying on top-line figures alone.</w:t>
      </w:r>
    </w:p>
    <w:p w14:paraId="59068A41" w14:textId="77777777" w:rsidR="00410D94" w:rsidRDefault="00000000" w:rsidP="007333CF">
      <w:pPr>
        <w:jc w:val="both"/>
      </w:pPr>
      <w:r>
        <w:rPr>
          <w:b/>
          <w:bCs/>
        </w:rPr>
        <w:t xml:space="preserve">AI augmentation in HR: </w:t>
      </w:r>
      <w:r>
        <w:t>since the World Economic Forum (2025) identifies AI and big-data literacy as the fastest-growing skill category globally, I plan to develop enough technical fluency to evaluate AI-based HR tools critically rather than adopt them uncritically, the same discipline argued for in section 4.1.</w:t>
      </w:r>
    </w:p>
    <w:p w14:paraId="6AF2D613" w14:textId="77777777" w:rsidR="00410D94" w:rsidRDefault="00000000" w:rsidP="007333CF">
      <w:pPr>
        <w:jc w:val="both"/>
      </w:pPr>
      <w:r>
        <w:rPr>
          <w:b/>
          <w:bCs/>
        </w:rPr>
        <w:t xml:space="preserve">Strategic influencing skills: </w:t>
      </w:r>
      <w:r>
        <w:t>Ulrich's “credible activist” competency (Ulrich, 1997) requires being grounded in the business and willing to challenge, which I intend to build by seeking stakeholder-facing project exposure rather than HR-only assignments.</w:t>
      </w:r>
    </w:p>
    <w:p w14:paraId="010B776A" w14:textId="77777777" w:rsidR="00410D94" w:rsidRDefault="00000000" w:rsidP="007333CF">
      <w:pPr>
        <w:jc w:val="both"/>
      </w:pPr>
      <w:r>
        <w:rPr>
          <w:b/>
          <w:bCs/>
        </w:rPr>
        <w:t xml:space="preserve">Global mobility awareness: </w:t>
      </w:r>
      <w:r>
        <w:t>HUM's three-market structure is a reminder that HR decisions rarely transfer cleanly across jurisdictions, and I plan to deepen my comparative understanding of employment practice across markets relevant to my own career, rather than assuming a single “best practice” applies everywhere.</w:t>
      </w:r>
    </w:p>
    <w:p w14:paraId="2FF0CF30" w14:textId="77777777" w:rsidR="00410D94" w:rsidRDefault="00000000" w:rsidP="007333CF">
      <w:pPr>
        <w:jc w:val="both"/>
      </w:pPr>
      <w:r>
        <w:t>Together, these four areas connect the analytical work of this report to my own postgraduate employability, treating the assignment as practice for the judgement it argues HUM's own new hires need to develop.</w:t>
      </w:r>
    </w:p>
    <w:p w14:paraId="44492853" w14:textId="77777777" w:rsidR="00410D94" w:rsidRDefault="00000000" w:rsidP="007333CF">
      <w:pPr>
        <w:pStyle w:val="Heading1"/>
      </w:pPr>
      <w:bookmarkStart w:id="13" w:name="_Toc234924005"/>
      <w:r>
        <w:t>5. Conclusion</w:t>
      </w:r>
      <w:bookmarkEnd w:id="13"/>
    </w:p>
    <w:p w14:paraId="459CCCDC" w14:textId="704720BD" w:rsidR="00410D94" w:rsidRDefault="00000000" w:rsidP="007333CF">
      <w:pPr>
        <w:jc w:val="both"/>
      </w:pPr>
      <w:r>
        <w:t>HUM's eight-month ramp-up, 54% engagement and high-potential attrition are presented as three separate problems</w:t>
      </w:r>
      <w:r w:rsidR="006475BE">
        <w:t xml:space="preserve"> </w:t>
      </w:r>
      <w:r>
        <w:t xml:space="preserve"> this report has argued they are one architecture problem, addressed through a phased socialisation framework, a skills-based job design, and disciplined AI-supported decision-making. None of the three is sufficient alone</w:t>
      </w:r>
      <w:r w:rsidR="006475BE">
        <w:t xml:space="preserve"> </w:t>
      </w:r>
      <w:r>
        <w:t xml:space="preserve">socialisation without redesigned jobs produces well-adjusted employees with nothing meaningful to do, and skills-based job design without socialisation produces mobile employees with no organisational identity to anchor them. Implemented together, they target the same underlying gap </w:t>
      </w:r>
      <w:r w:rsidR="00A265DA">
        <w:t xml:space="preserve"> </w:t>
      </w:r>
      <w:r>
        <w:t xml:space="preserve">an unclear, unreciprocated psychological contract </w:t>
      </w:r>
      <w:r w:rsidR="00A265DA">
        <w:t xml:space="preserve"> </w:t>
      </w:r>
      <w:r>
        <w:t>from three directions.</w:t>
      </w:r>
    </w:p>
    <w:p w14:paraId="65AA0DBA" w14:textId="218AB506" w:rsidR="00410D94" w:rsidRDefault="00000000" w:rsidP="00A558D4">
      <w:r>
        <w:br w:type="page"/>
      </w:r>
      <w:bookmarkStart w:id="14" w:name="_Toc234924006"/>
      <w:r>
        <w:lastRenderedPageBreak/>
        <w:t>Reference List</w:t>
      </w:r>
      <w:bookmarkEnd w:id="14"/>
    </w:p>
    <w:p w14:paraId="47DD849E" w14:textId="21E76622" w:rsidR="00410D94" w:rsidRDefault="00000000" w:rsidP="00141236">
      <w:pPr>
        <w:ind w:left="720" w:hanging="720"/>
      </w:pPr>
      <w:r>
        <w:t xml:space="preserve">Bauer, T.N. et al. (2025) 'The evolving future of work: implications for newcomer adaptability and connectivity during organizational socialization', </w:t>
      </w:r>
      <w:r>
        <w:rPr>
          <w:i/>
          <w:iCs/>
        </w:rPr>
        <w:t>Human Resource Management</w:t>
      </w:r>
      <w:r>
        <w:t xml:space="preserve">. Available at: </w:t>
      </w:r>
      <w:hyperlink r:id="rId10" w:history="1">
        <w:r w:rsidR="00410D94" w:rsidRPr="00141236">
          <w:rPr>
            <w:rStyle w:val="Hyperlink"/>
            <w:color w:val="2E7D32"/>
          </w:rPr>
          <w:t>https://doi.org/10.1002/hrm.70008</w:t>
        </w:r>
      </w:hyperlink>
      <w:r>
        <w:t xml:space="preserve"> (Accessed: </w:t>
      </w:r>
      <w:r w:rsidR="00141236">
        <w:t>3 July 2026</w:t>
      </w:r>
      <w:r>
        <w:t>).</w:t>
      </w:r>
    </w:p>
    <w:p w14:paraId="18357865" w14:textId="5DF1C4EE" w:rsidR="00410D94" w:rsidRDefault="00000000" w:rsidP="00141236">
      <w:pPr>
        <w:ind w:left="720" w:hanging="720"/>
      </w:pPr>
      <w:r>
        <w:t xml:space="preserve">Biancone, P. et al. (2024) 'Which direction for stakeholder capitalism? Approaches and reporting towards POP accounting', </w:t>
      </w:r>
      <w:r>
        <w:rPr>
          <w:i/>
          <w:iCs/>
        </w:rPr>
        <w:t>Sustainable Development</w:t>
      </w:r>
      <w:r>
        <w:t xml:space="preserve">. Available at: </w:t>
      </w:r>
      <w:hyperlink r:id="rId11" w:history="1">
        <w:r w:rsidR="00410D94" w:rsidRPr="00141236">
          <w:rPr>
            <w:rStyle w:val="Hyperlink"/>
            <w:color w:val="2E7D32"/>
          </w:rPr>
          <w:t>https://doi.org/10.1002/sd.3052</w:t>
        </w:r>
      </w:hyperlink>
      <w:r>
        <w:t xml:space="preserve"> (Accessed: </w:t>
      </w:r>
      <w:r w:rsidR="00141236">
        <w:t>6 July 2026</w:t>
      </w:r>
      <w:r>
        <w:t>).</w:t>
      </w:r>
    </w:p>
    <w:p w14:paraId="565869BF" w14:textId="1028DB0A" w:rsidR="00410D94" w:rsidRDefault="00000000" w:rsidP="00141236">
      <w:pPr>
        <w:ind w:left="720" w:hanging="720"/>
      </w:pPr>
      <w:r>
        <w:t xml:space="preserve">Deloitte (2023) </w:t>
      </w:r>
      <w:r>
        <w:rPr>
          <w:i/>
          <w:iCs/>
        </w:rPr>
        <w:t>The Skills-Based Organization: A New Operating Model for Work and the Workforce.</w:t>
      </w:r>
      <w:r>
        <w:t xml:space="preserve"> Deloitte Insights. Available at: </w:t>
      </w:r>
      <w:hyperlink r:id="rId12" w:history="1">
        <w:r w:rsidR="00410D94" w:rsidRPr="00141236">
          <w:rPr>
            <w:rStyle w:val="Hyperlink"/>
            <w:color w:val="2E7D32"/>
          </w:rPr>
          <w:t>https://www2.deloitte.com/us/en/insights/topics/talent/skills-based-organizational-strategy.html</w:t>
        </w:r>
      </w:hyperlink>
      <w:r>
        <w:t xml:space="preserve"> (Accessed: </w:t>
      </w:r>
      <w:r w:rsidR="00141236">
        <w:t>9 July 2026</w:t>
      </w:r>
      <w:r>
        <w:t>).</w:t>
      </w:r>
    </w:p>
    <w:p w14:paraId="18DDA0ED" w14:textId="2093402B" w:rsidR="00410D94" w:rsidRDefault="00000000" w:rsidP="00141236">
      <w:pPr>
        <w:ind w:left="720" w:hanging="720"/>
      </w:pPr>
      <w:r>
        <w:t xml:space="preserve">Didion, E., Perello-Marin, M.R., Catala-Perez, D. and Ambrosius, U. (2024) 'Mapping the organizational socialization and onboarding literature: a bibliometric analysis of the field', </w:t>
      </w:r>
      <w:r>
        <w:rPr>
          <w:i/>
          <w:iCs/>
        </w:rPr>
        <w:t>Cogent Business &amp; Management</w:t>
      </w:r>
      <w:r>
        <w:t xml:space="preserve">, 11(1). Available at: </w:t>
      </w:r>
      <w:hyperlink r:id="rId13" w:history="1">
        <w:r w:rsidR="00410D94" w:rsidRPr="00141236">
          <w:rPr>
            <w:rStyle w:val="Hyperlink"/>
            <w:color w:val="2E7D32"/>
          </w:rPr>
          <w:t>https://doi.org/10.1080/23311975.2024.2337957</w:t>
        </w:r>
      </w:hyperlink>
      <w:r>
        <w:t xml:space="preserve"> (Accessed: </w:t>
      </w:r>
      <w:r w:rsidR="00141236">
        <w:t>4 July 2026</w:t>
      </w:r>
      <w:r>
        <w:t>).</w:t>
      </w:r>
    </w:p>
    <w:p w14:paraId="09736417" w14:textId="77777777" w:rsidR="00410D94" w:rsidRDefault="00000000" w:rsidP="00141236">
      <w:pPr>
        <w:ind w:left="720" w:hanging="720"/>
      </w:pPr>
      <w:r>
        <w:t xml:space="preserve">Freeman, R.E. (1984) </w:t>
      </w:r>
      <w:r>
        <w:rPr>
          <w:i/>
          <w:iCs/>
        </w:rPr>
        <w:t>Strategic Management: A Stakeholder Approach.</w:t>
      </w:r>
      <w:r>
        <w:t xml:space="preserve"> Boston: Pitman.</w:t>
      </w:r>
    </w:p>
    <w:p w14:paraId="2AD37E7A" w14:textId="77777777" w:rsidR="00410D94" w:rsidRDefault="00000000" w:rsidP="00141236">
      <w:pPr>
        <w:ind w:left="720" w:hanging="720"/>
      </w:pPr>
      <w:r>
        <w:t xml:space="preserve">Hackman, J.R. and Oldham, G.R. (1976) 'Motivation through the design of work: test of a theory', </w:t>
      </w:r>
      <w:r>
        <w:rPr>
          <w:i/>
          <w:iCs/>
        </w:rPr>
        <w:t xml:space="preserve">Organizational </w:t>
      </w:r>
      <w:proofErr w:type="spellStart"/>
      <w:r>
        <w:rPr>
          <w:i/>
          <w:iCs/>
        </w:rPr>
        <w:t>Behavior</w:t>
      </w:r>
      <w:proofErr w:type="spellEnd"/>
      <w:r>
        <w:rPr>
          <w:i/>
          <w:iCs/>
        </w:rPr>
        <w:t xml:space="preserve"> and Human Performance</w:t>
      </w:r>
      <w:r>
        <w:t>, 16(2), pp. 250–279.</w:t>
      </w:r>
    </w:p>
    <w:p w14:paraId="0EA7EA09" w14:textId="7CB25461" w:rsidR="00410D94" w:rsidRDefault="00000000" w:rsidP="00141236">
      <w:pPr>
        <w:ind w:left="720" w:hanging="720"/>
      </w:pPr>
      <w:r>
        <w:t xml:space="preserve">Malin, C.D., </w:t>
      </w:r>
      <w:proofErr w:type="spellStart"/>
      <w:r>
        <w:t>Fleiß</w:t>
      </w:r>
      <w:proofErr w:type="spellEnd"/>
      <w:r>
        <w:t xml:space="preserve">, J., Seeber, I., Kubicek, B., Kupfer, C. and Thalmann, S. (2024) 'The application of AI in digital HRM – an experiment on human decision-making in personnel selection', </w:t>
      </w:r>
      <w:r>
        <w:rPr>
          <w:i/>
          <w:iCs/>
        </w:rPr>
        <w:t>Business Process Management Journal</w:t>
      </w:r>
      <w:r>
        <w:t xml:space="preserve">, 30(8), pp. 284–312. Available at: </w:t>
      </w:r>
      <w:hyperlink r:id="rId14" w:history="1">
        <w:r w:rsidR="00410D94" w:rsidRPr="00141236">
          <w:rPr>
            <w:rStyle w:val="Hyperlink"/>
            <w:color w:val="2E7D32"/>
          </w:rPr>
          <w:t>https://doi.org/10.1108/BPMJ-11-2023-0884</w:t>
        </w:r>
      </w:hyperlink>
      <w:r>
        <w:t xml:space="preserve"> (Accessed: </w:t>
      </w:r>
      <w:r w:rsidR="00141236">
        <w:t>12 July 2026</w:t>
      </w:r>
      <w:r>
        <w:t>).</w:t>
      </w:r>
    </w:p>
    <w:p w14:paraId="5ACA1B55" w14:textId="7C98A1C6" w:rsidR="00410D94" w:rsidRDefault="00000000" w:rsidP="00141236">
      <w:pPr>
        <w:ind w:left="720" w:hanging="720"/>
      </w:pPr>
      <w:r>
        <w:t xml:space="preserve">Mosquera, P. and Soares, M.E. (2025) 'Onboarding: a key to employee retention and workplace well-being', </w:t>
      </w:r>
      <w:r>
        <w:rPr>
          <w:i/>
          <w:iCs/>
        </w:rPr>
        <w:t>Review of Managerial Science</w:t>
      </w:r>
      <w:r>
        <w:t xml:space="preserve">. Available at: </w:t>
      </w:r>
      <w:hyperlink r:id="rId15" w:history="1">
        <w:r w:rsidR="00410D94" w:rsidRPr="00141236">
          <w:rPr>
            <w:rStyle w:val="Hyperlink"/>
            <w:color w:val="2E7D32"/>
          </w:rPr>
          <w:t>https://doi.org/10.1007/s11846-025-00864-3</w:t>
        </w:r>
      </w:hyperlink>
      <w:r>
        <w:t xml:space="preserve"> (Accessed: </w:t>
      </w:r>
      <w:r w:rsidR="00141236">
        <w:t>3 July 2026</w:t>
      </w:r>
      <w:r>
        <w:t>).</w:t>
      </w:r>
    </w:p>
    <w:p w14:paraId="16877156" w14:textId="2E3A17A9" w:rsidR="00410D94" w:rsidRDefault="00000000" w:rsidP="00141236">
      <w:pPr>
        <w:ind w:left="720" w:hanging="720"/>
      </w:pPr>
      <w:r>
        <w:t xml:space="preserve">Nergiz, H.G. and </w:t>
      </w:r>
      <w:proofErr w:type="spellStart"/>
      <w:r>
        <w:t>Unsal</w:t>
      </w:r>
      <w:proofErr w:type="spellEnd"/>
      <w:r>
        <w:t xml:space="preserve">-Akbiyik, B.S. (2024) 'Job crafting, task performance, and employability: the role of work engagement', </w:t>
      </w:r>
      <w:r>
        <w:rPr>
          <w:i/>
          <w:iCs/>
        </w:rPr>
        <w:t>SAGE Open</w:t>
      </w:r>
      <w:r>
        <w:t xml:space="preserve">. Available at: </w:t>
      </w:r>
      <w:hyperlink r:id="rId16" w:history="1">
        <w:r w:rsidR="00410D94" w:rsidRPr="00141236">
          <w:rPr>
            <w:rStyle w:val="Hyperlink"/>
            <w:color w:val="2E7D32"/>
          </w:rPr>
          <w:t>https://doi.org/10.1177/21582440241271125</w:t>
        </w:r>
      </w:hyperlink>
      <w:r>
        <w:t xml:space="preserve"> (Accessed: </w:t>
      </w:r>
      <w:r w:rsidR="00141236">
        <w:t>9 July 2026</w:t>
      </w:r>
      <w:r>
        <w:t>).</w:t>
      </w:r>
    </w:p>
    <w:p w14:paraId="6513A178" w14:textId="241123DB" w:rsidR="00410D94" w:rsidRDefault="00000000" w:rsidP="00141236">
      <w:pPr>
        <w:ind w:left="720" w:hanging="720"/>
      </w:pPr>
      <w:r>
        <w:t xml:space="preserve">Olafsen, A.H., </w:t>
      </w:r>
      <w:proofErr w:type="spellStart"/>
      <w:r>
        <w:t>Marescaux</w:t>
      </w:r>
      <w:proofErr w:type="spellEnd"/>
      <w:r>
        <w:t xml:space="preserve">, E. and Kujanpää, M. (2024) </w:t>
      </w:r>
      <w:r>
        <w:rPr>
          <w:i/>
          <w:iCs/>
        </w:rPr>
        <w:t>A Self-Determination Theory Model of Need Crafting at Work.</w:t>
      </w:r>
      <w:r>
        <w:t xml:space="preserve"> Available at: </w:t>
      </w:r>
      <w:hyperlink r:id="rId17" w:history="1">
        <w:r w:rsidR="00410D94" w:rsidRPr="00141236">
          <w:rPr>
            <w:rStyle w:val="Hyperlink"/>
            <w:color w:val="2E7D32"/>
          </w:rPr>
          <w:t>https://selfdeterminationtheory.org/wp-content/uploads/2024/09/2024_OlafsenMarescauxKujanpaa_Crafting.pdf</w:t>
        </w:r>
      </w:hyperlink>
      <w:r>
        <w:t xml:space="preserve"> (Accessed: </w:t>
      </w:r>
      <w:r w:rsidR="00141236">
        <w:t>8 July 2026</w:t>
      </w:r>
      <w:r>
        <w:t>).</w:t>
      </w:r>
    </w:p>
    <w:p w14:paraId="3D265F65" w14:textId="77777777" w:rsidR="00410D94" w:rsidRDefault="00000000" w:rsidP="00141236">
      <w:pPr>
        <w:ind w:left="720" w:hanging="720"/>
      </w:pPr>
      <w:r>
        <w:t xml:space="preserve">Rousseau, D.M. (1995) </w:t>
      </w:r>
      <w:r>
        <w:rPr>
          <w:i/>
          <w:iCs/>
        </w:rPr>
        <w:t>Psychological Contracts in Organizations: Understanding Written and Unwritten Agreements.</w:t>
      </w:r>
      <w:r>
        <w:t xml:space="preserve"> Thousand Oaks, CA: Sage.</w:t>
      </w:r>
    </w:p>
    <w:p w14:paraId="042687A0" w14:textId="0CC7C7BB" w:rsidR="00410D94" w:rsidRDefault="00000000" w:rsidP="00141236">
      <w:pPr>
        <w:ind w:left="720" w:hanging="720"/>
      </w:pPr>
      <w:r>
        <w:lastRenderedPageBreak/>
        <w:t xml:space="preserve">SHRM (2025) </w:t>
      </w:r>
      <w:r>
        <w:rPr>
          <w:i/>
          <w:iCs/>
        </w:rPr>
        <w:t>2025 Talent Trends: Artificial Intelligence in HR.</w:t>
      </w:r>
      <w:r>
        <w:t xml:space="preserve"> Alexandria, VA: Society for Human Resource Management. Available at: </w:t>
      </w:r>
      <w:hyperlink r:id="rId18" w:history="1">
        <w:r w:rsidR="00410D94" w:rsidRPr="00141236">
          <w:rPr>
            <w:rStyle w:val="Hyperlink"/>
            <w:color w:val="2E7D32"/>
          </w:rPr>
          <w:t>https://www.shrm.org/topics-tools/research/2025-talent-trends/ai-in-hr</w:t>
        </w:r>
      </w:hyperlink>
      <w:r>
        <w:t xml:space="preserve"> (Accessed: </w:t>
      </w:r>
      <w:r w:rsidR="00141236">
        <w:t>12 July 2026</w:t>
      </w:r>
      <w:r>
        <w:t>).</w:t>
      </w:r>
    </w:p>
    <w:p w14:paraId="552DC81C" w14:textId="41A34683" w:rsidR="00410D94" w:rsidRDefault="00000000" w:rsidP="00141236">
      <w:pPr>
        <w:ind w:left="720" w:hanging="720"/>
      </w:pPr>
      <w:r>
        <w:t xml:space="preserve">Snyman, A.M., Coetzee, M. and Ferreira, N. (2023) 'The psychological contract and retention practices in the higher education context: the mediating role of organisational justice and trust', </w:t>
      </w:r>
      <w:r>
        <w:rPr>
          <w:i/>
          <w:iCs/>
        </w:rPr>
        <w:t>South African Journal of Psychology</w:t>
      </w:r>
      <w:r>
        <w:t xml:space="preserve">. Available at: </w:t>
      </w:r>
      <w:hyperlink r:id="rId19" w:history="1">
        <w:r w:rsidR="00410D94" w:rsidRPr="00141236">
          <w:rPr>
            <w:rStyle w:val="Hyperlink"/>
            <w:color w:val="2E7D32"/>
          </w:rPr>
          <w:t>https://doi.org/10.1177/00812463221129067</w:t>
        </w:r>
      </w:hyperlink>
      <w:r>
        <w:t xml:space="preserve"> (Accessed: </w:t>
      </w:r>
      <w:r w:rsidR="00141236">
        <w:t>13 July 2026</w:t>
      </w:r>
      <w:r>
        <w:t>).</w:t>
      </w:r>
    </w:p>
    <w:p w14:paraId="5862C2D8" w14:textId="5CF29259" w:rsidR="00410D94" w:rsidRDefault="00000000" w:rsidP="00141236">
      <w:pPr>
        <w:ind w:left="720" w:hanging="720"/>
      </w:pPr>
      <w:r>
        <w:t xml:space="preserve">Taslim (2025) 'Employee involvement in AI-driven HR decision-making: a systematic review', </w:t>
      </w:r>
      <w:r>
        <w:rPr>
          <w:i/>
          <w:iCs/>
        </w:rPr>
        <w:t>SA Journal of Human Resource Management</w:t>
      </w:r>
      <w:r>
        <w:t xml:space="preserve">. Available at: </w:t>
      </w:r>
      <w:hyperlink r:id="rId20" w:history="1">
        <w:r w:rsidR="00410D94" w:rsidRPr="00141236">
          <w:rPr>
            <w:rStyle w:val="Hyperlink"/>
            <w:color w:val="2E7D32"/>
          </w:rPr>
          <w:t>https://sajhrm.co.za/index.php/sajhrm/article/view/2856/4541</w:t>
        </w:r>
      </w:hyperlink>
      <w:r>
        <w:t xml:space="preserve"> (Accessed: </w:t>
      </w:r>
      <w:r w:rsidR="00141236">
        <w:t>11 July 2026</w:t>
      </w:r>
      <w:r>
        <w:t>).</w:t>
      </w:r>
    </w:p>
    <w:p w14:paraId="5FD9CF27" w14:textId="77777777" w:rsidR="00410D94" w:rsidRDefault="00000000" w:rsidP="00141236">
      <w:pPr>
        <w:ind w:left="720" w:hanging="720"/>
      </w:pPr>
      <w:r>
        <w:t xml:space="preserve">Ulrich, D. (1997) </w:t>
      </w:r>
      <w:r>
        <w:rPr>
          <w:i/>
          <w:iCs/>
        </w:rPr>
        <w:t>Human Resource Champions: The Next Agenda for Adding Value and Delivering Results.</w:t>
      </w:r>
      <w:r>
        <w:t xml:space="preserve"> Boston, MA: Harvard Business School Press.</w:t>
      </w:r>
    </w:p>
    <w:p w14:paraId="41ED0095" w14:textId="3F6B69F7" w:rsidR="00410D94" w:rsidRDefault="00000000" w:rsidP="00141236">
      <w:pPr>
        <w:ind w:left="720" w:hanging="720"/>
      </w:pPr>
      <w:r>
        <w:t xml:space="preserve">Ulrich, D. (2024) </w:t>
      </w:r>
      <w:r>
        <w:rPr>
          <w:i/>
          <w:iCs/>
        </w:rPr>
        <w:t>Update on HR Business Partner Model: Continuing Evolution and Relevance.</w:t>
      </w:r>
      <w:r>
        <w:t xml:space="preserve"> Available at: </w:t>
      </w:r>
      <w:hyperlink r:id="rId21" w:history="1">
        <w:r w:rsidR="00410D94" w:rsidRPr="00141236">
          <w:rPr>
            <w:rStyle w:val="Hyperlink"/>
            <w:color w:val="2E7D32"/>
          </w:rPr>
          <w:t>https://www.linkedin.com/pulse/update-hr-business-partner-model-continuing-evolution-dave-ulrich-vqwoc/</w:t>
        </w:r>
      </w:hyperlink>
      <w:r>
        <w:t xml:space="preserve"> (Accessed: </w:t>
      </w:r>
      <w:r w:rsidR="00141236">
        <w:t>14 July 2026</w:t>
      </w:r>
      <w:r>
        <w:t>).</w:t>
      </w:r>
    </w:p>
    <w:p w14:paraId="3C3C1FCF" w14:textId="77777777" w:rsidR="00410D94" w:rsidRDefault="00000000" w:rsidP="00141236">
      <w:pPr>
        <w:ind w:left="720" w:hanging="720"/>
      </w:pPr>
      <w:r>
        <w:t xml:space="preserve">Van Maanen, J. and Schein, E.H. (1979) 'Toward a theory of organizational socialization', </w:t>
      </w:r>
      <w:r>
        <w:rPr>
          <w:i/>
          <w:iCs/>
        </w:rPr>
        <w:t xml:space="preserve">Research in Organizational </w:t>
      </w:r>
      <w:proofErr w:type="spellStart"/>
      <w:r>
        <w:rPr>
          <w:i/>
          <w:iCs/>
        </w:rPr>
        <w:t>Behavior</w:t>
      </w:r>
      <w:proofErr w:type="spellEnd"/>
      <w:r>
        <w:t>, 1, pp. 209–264.</w:t>
      </w:r>
    </w:p>
    <w:p w14:paraId="699D0D35" w14:textId="777C5FA2" w:rsidR="00410D94" w:rsidRDefault="00000000" w:rsidP="00141236">
      <w:pPr>
        <w:ind w:left="720" w:hanging="720"/>
      </w:pPr>
      <w:r>
        <w:t xml:space="preserve">World Economic Forum (2025) </w:t>
      </w:r>
      <w:r>
        <w:rPr>
          <w:i/>
          <w:iCs/>
        </w:rPr>
        <w:t>The Future of Jobs Report 2025.</w:t>
      </w:r>
      <w:r>
        <w:t xml:space="preserve"> Geneva: World Economic Forum. Available at: </w:t>
      </w:r>
      <w:hyperlink r:id="rId22" w:history="1">
        <w:r w:rsidR="00410D94" w:rsidRPr="00141236">
          <w:rPr>
            <w:rStyle w:val="Hyperlink"/>
            <w:color w:val="2E7D32"/>
          </w:rPr>
          <w:t>https://www.weforum.org/publications/the-future-of-jobs-report-2025/</w:t>
        </w:r>
      </w:hyperlink>
      <w:r>
        <w:t xml:space="preserve"> (Accessed: </w:t>
      </w:r>
      <w:r w:rsidR="00141236">
        <w:t>10 July 2026</w:t>
      </w:r>
      <w:r>
        <w:t>).</w:t>
      </w:r>
    </w:p>
    <w:p w14:paraId="49108F42" w14:textId="77777777" w:rsidR="00410D94" w:rsidRDefault="00000000" w:rsidP="00141236">
      <w:pPr>
        <w:ind w:left="720" w:hanging="720"/>
      </w:pPr>
      <w:r>
        <w:t xml:space="preserve">Wrzesniewski, A. and Dutton, J.E. (2001) 'Crafting a job: revisioning employees as active crafters of their work', </w:t>
      </w:r>
      <w:r>
        <w:rPr>
          <w:i/>
          <w:iCs/>
        </w:rPr>
        <w:t>Academy of Management Review</w:t>
      </w:r>
      <w:r>
        <w:t>, 26(2), pp. 179–201.</w:t>
      </w:r>
    </w:p>
    <w:sectPr w:rsidR="00410D94">
      <w:headerReference w:type="even" r:id="rId23"/>
      <w:headerReference w:type="default" r:id="rId24"/>
      <w:footerReference w:type="even" r:id="rId25"/>
      <w:footerReference w:type="default" r:id="rId26"/>
      <w:headerReference w:type="first" r:id="rId27"/>
      <w:footerReference w:type="first" r:id="rId28"/>
      <w:pgSz w:w="11906" w:h="16838"/>
      <w:pgMar w:top="1080" w:right="1080" w:bottom="1080" w:left="108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80158F" w14:textId="77777777" w:rsidR="007D0142" w:rsidRDefault="007D0142">
      <w:pPr>
        <w:spacing w:line="240" w:lineRule="auto"/>
      </w:pPr>
      <w:r>
        <w:separator/>
      </w:r>
    </w:p>
  </w:endnote>
  <w:endnote w:type="continuationSeparator" w:id="0">
    <w:p w14:paraId="59C4DB60" w14:textId="77777777" w:rsidR="007D0142" w:rsidRDefault="007D014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hruti">
    <w:panose1 w:val="02000500000000000000"/>
    <w:charset w:val="00"/>
    <w:family w:val="swiss"/>
    <w:pitch w:val="variable"/>
    <w:sig w:usb0="00040003" w:usb1="00000000" w:usb2="00000000" w:usb3="00000000" w:csb0="00000001"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B53C48" w14:textId="77777777" w:rsidR="00574BF0" w:rsidRDefault="00574BF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055FDF" w14:textId="79471DD9" w:rsidR="00410D94" w:rsidRDefault="00574BF0">
    <w:pPr>
      <w:jc w:val="center"/>
    </w:pPr>
    <w:r>
      <w:rPr>
        <w:color w:val="5B6674"/>
        <w:sz w:val="18"/>
        <w:szCs w:val="18"/>
      </w:rPr>
      <w:t>Kathan Joshi</w:t>
    </w:r>
    <w:r w:rsidR="00000000">
      <w:rPr>
        <w:color w:val="5B6674"/>
        <w:sz w:val="18"/>
        <w:szCs w:val="18"/>
      </w:rPr>
      <w:t xml:space="preserve"> – 2538334 – LCMB7023</w:t>
    </w:r>
    <w:r w:rsidR="00000000">
      <w:tab/>
    </w:r>
    <w:r w:rsidR="00000000">
      <w:tab/>
      <w:t xml:space="preserve">Page </w:t>
    </w:r>
    <w:r w:rsidR="00000000">
      <w:rPr>
        <w:sz w:val="18"/>
        <w:szCs w:val="18"/>
      </w:rPr>
      <w:fldChar w:fldCharType="begin"/>
    </w:r>
    <w:r w:rsidR="00000000">
      <w:rPr>
        <w:sz w:val="18"/>
        <w:szCs w:val="18"/>
      </w:rPr>
      <w:instrText>PAGE</w:instrText>
    </w:r>
    <w:r w:rsidR="00000000">
      <w:rPr>
        <w:sz w:val="18"/>
        <w:szCs w:val="18"/>
      </w:rPr>
      <w:fldChar w:fldCharType="separate"/>
    </w:r>
    <w:r w:rsidR="007333CF">
      <w:rPr>
        <w:noProof/>
        <w:sz w:val="18"/>
        <w:szCs w:val="18"/>
      </w:rPr>
      <w:t>1</w:t>
    </w:r>
    <w:r w:rsidR="00000000">
      <w:rPr>
        <w:sz w:val="18"/>
        <w:szCs w:val="18"/>
      </w:rPr>
      <w:fldChar w:fldCharType="end"/>
    </w:r>
    <w:r w:rsidR="00000000">
      <w:t xml:space="preserve"> of </w:t>
    </w:r>
    <w:r w:rsidR="00000000">
      <w:rPr>
        <w:sz w:val="18"/>
        <w:szCs w:val="18"/>
      </w:rPr>
      <w:fldChar w:fldCharType="begin"/>
    </w:r>
    <w:r w:rsidR="00000000">
      <w:rPr>
        <w:sz w:val="18"/>
        <w:szCs w:val="18"/>
      </w:rPr>
      <w:instrText>NUMPAGES</w:instrText>
    </w:r>
    <w:r w:rsidR="00000000">
      <w:rPr>
        <w:sz w:val="18"/>
        <w:szCs w:val="18"/>
      </w:rPr>
      <w:fldChar w:fldCharType="separate"/>
    </w:r>
    <w:r w:rsidR="007333CF">
      <w:rPr>
        <w:noProof/>
        <w:sz w:val="18"/>
        <w:szCs w:val="18"/>
      </w:rPr>
      <w:t>2</w:t>
    </w:r>
    <w:r w:rsidR="00000000">
      <w:rPr>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09C9EC" w14:textId="77777777" w:rsidR="00574BF0" w:rsidRDefault="00574B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6A9305" w14:textId="77777777" w:rsidR="007D0142" w:rsidRDefault="007D0142">
      <w:pPr>
        <w:spacing w:line="240" w:lineRule="auto"/>
      </w:pPr>
      <w:r>
        <w:separator/>
      </w:r>
    </w:p>
  </w:footnote>
  <w:footnote w:type="continuationSeparator" w:id="0">
    <w:p w14:paraId="4EF79128" w14:textId="77777777" w:rsidR="007D0142" w:rsidRDefault="007D014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D06284" w14:textId="77777777" w:rsidR="00574BF0" w:rsidRDefault="00574BF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4C851A" w14:textId="77777777" w:rsidR="00574BF0" w:rsidRDefault="00574BF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0C4163" w14:textId="77777777" w:rsidR="00574BF0" w:rsidRDefault="00574BF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E195B21"/>
    <w:multiLevelType w:val="hybridMultilevel"/>
    <w:tmpl w:val="73D2C136"/>
    <w:lvl w:ilvl="0" w:tplc="E52691AA">
      <w:start w:val="1"/>
      <w:numFmt w:val="bullet"/>
      <w:lvlText w:val="●"/>
      <w:lvlJc w:val="left"/>
      <w:pPr>
        <w:ind w:left="720" w:hanging="360"/>
      </w:pPr>
    </w:lvl>
    <w:lvl w:ilvl="1" w:tplc="A5A2E248">
      <w:start w:val="1"/>
      <w:numFmt w:val="bullet"/>
      <w:lvlText w:val="○"/>
      <w:lvlJc w:val="left"/>
      <w:pPr>
        <w:ind w:left="1440" w:hanging="360"/>
      </w:pPr>
    </w:lvl>
    <w:lvl w:ilvl="2" w:tplc="6E9CDB04">
      <w:start w:val="1"/>
      <w:numFmt w:val="bullet"/>
      <w:lvlText w:val="■"/>
      <w:lvlJc w:val="left"/>
      <w:pPr>
        <w:ind w:left="2160" w:hanging="360"/>
      </w:pPr>
    </w:lvl>
    <w:lvl w:ilvl="3" w:tplc="E7380782">
      <w:start w:val="1"/>
      <w:numFmt w:val="bullet"/>
      <w:lvlText w:val="●"/>
      <w:lvlJc w:val="left"/>
      <w:pPr>
        <w:ind w:left="2880" w:hanging="360"/>
      </w:pPr>
    </w:lvl>
    <w:lvl w:ilvl="4" w:tplc="60D681BC">
      <w:start w:val="1"/>
      <w:numFmt w:val="bullet"/>
      <w:lvlText w:val="○"/>
      <w:lvlJc w:val="left"/>
      <w:pPr>
        <w:ind w:left="3600" w:hanging="360"/>
      </w:pPr>
    </w:lvl>
    <w:lvl w:ilvl="5" w:tplc="A06838DC">
      <w:start w:val="1"/>
      <w:numFmt w:val="bullet"/>
      <w:lvlText w:val="■"/>
      <w:lvlJc w:val="left"/>
      <w:pPr>
        <w:ind w:left="4320" w:hanging="360"/>
      </w:pPr>
    </w:lvl>
    <w:lvl w:ilvl="6" w:tplc="E1E0CC90">
      <w:start w:val="1"/>
      <w:numFmt w:val="bullet"/>
      <w:lvlText w:val="●"/>
      <w:lvlJc w:val="left"/>
      <w:pPr>
        <w:ind w:left="5040" w:hanging="360"/>
      </w:pPr>
    </w:lvl>
    <w:lvl w:ilvl="7" w:tplc="43907860">
      <w:start w:val="1"/>
      <w:numFmt w:val="bullet"/>
      <w:lvlText w:val="●"/>
      <w:lvlJc w:val="left"/>
      <w:pPr>
        <w:ind w:left="5760" w:hanging="360"/>
      </w:pPr>
    </w:lvl>
    <w:lvl w:ilvl="8" w:tplc="86781A0E">
      <w:start w:val="1"/>
      <w:numFmt w:val="bullet"/>
      <w:lvlText w:val="●"/>
      <w:lvlJc w:val="left"/>
      <w:pPr>
        <w:ind w:left="6480" w:hanging="360"/>
      </w:pPr>
    </w:lvl>
  </w:abstractNum>
  <w:abstractNum w:abstractNumId="1" w15:restartNumberingAfterBreak="0">
    <w:nsid w:val="678C2761"/>
    <w:multiLevelType w:val="hybridMultilevel"/>
    <w:tmpl w:val="D4E054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926649836">
    <w:abstractNumId w:val="0"/>
    <w:lvlOverride w:ilvl="0">
      <w:startOverride w:val="1"/>
    </w:lvlOverride>
  </w:num>
  <w:num w:numId="2" w16cid:durableId="3292135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0D94"/>
    <w:rsid w:val="00067918"/>
    <w:rsid w:val="00141236"/>
    <w:rsid w:val="00410D94"/>
    <w:rsid w:val="00574BF0"/>
    <w:rsid w:val="006475BE"/>
    <w:rsid w:val="007333CF"/>
    <w:rsid w:val="007D0142"/>
    <w:rsid w:val="008E3389"/>
    <w:rsid w:val="009A1623"/>
    <w:rsid w:val="00A265DA"/>
    <w:rsid w:val="00A558D4"/>
    <w:rsid w:val="00C12575"/>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556AC9"/>
  <w15:docId w15:val="{6817A6CB-4942-5143-85E7-4C011949D6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IN" w:eastAsia="en-GB"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360" w:after="200"/>
      <w:outlineLvl w:val="0"/>
    </w:pPr>
    <w:rPr>
      <w:b/>
      <w:bCs/>
      <w:color w:val="12294D"/>
      <w:sz w:val="30"/>
      <w:szCs w:val="30"/>
    </w:rPr>
  </w:style>
  <w:style w:type="paragraph" w:styleId="Heading2">
    <w:name w:val="heading 2"/>
    <w:uiPriority w:val="9"/>
    <w:unhideWhenUsed/>
    <w:qFormat/>
    <w:pPr>
      <w:spacing w:before="280" w:after="160"/>
      <w:outlineLvl w:val="1"/>
    </w:pPr>
    <w:rPr>
      <w:b/>
      <w:bCs/>
      <w:color w:val="2E6BB0"/>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line="240" w:lineRule="auto"/>
    </w:pPr>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line="240" w:lineRule="auto"/>
    </w:pPr>
    <w:rPr>
      <w:sz w:val="20"/>
      <w:szCs w:val="20"/>
    </w:rPr>
  </w:style>
  <w:style w:type="character" w:customStyle="1" w:styleId="EndnoteTextChar">
    <w:name w:val="Endnote Text Char"/>
    <w:link w:val="EndnoteText"/>
    <w:uiPriority w:val="99"/>
    <w:semiHidden/>
    <w:unhideWhenUsed/>
    <w:rPr>
      <w:sz w:val="20"/>
      <w:szCs w:val="20"/>
    </w:rPr>
  </w:style>
  <w:style w:type="paragraph" w:styleId="TOC1">
    <w:name w:val="toc 1"/>
    <w:basedOn w:val="Normal"/>
    <w:next w:val="Normal"/>
    <w:autoRedefine/>
    <w:uiPriority w:val="39"/>
    <w:unhideWhenUsed/>
    <w:rsid w:val="007333CF"/>
    <w:pPr>
      <w:spacing w:after="100"/>
    </w:pPr>
  </w:style>
  <w:style w:type="paragraph" w:styleId="TOC2">
    <w:name w:val="toc 2"/>
    <w:basedOn w:val="Normal"/>
    <w:next w:val="Normal"/>
    <w:autoRedefine/>
    <w:uiPriority w:val="39"/>
    <w:unhideWhenUsed/>
    <w:rsid w:val="007333CF"/>
    <w:pPr>
      <w:spacing w:after="100"/>
      <w:ind w:left="240"/>
    </w:pPr>
  </w:style>
  <w:style w:type="paragraph" w:styleId="Header">
    <w:name w:val="header"/>
    <w:basedOn w:val="Normal"/>
    <w:link w:val="HeaderChar"/>
    <w:uiPriority w:val="99"/>
    <w:unhideWhenUsed/>
    <w:rsid w:val="007333CF"/>
    <w:pPr>
      <w:tabs>
        <w:tab w:val="center" w:pos="4513"/>
        <w:tab w:val="right" w:pos="9026"/>
      </w:tabs>
      <w:spacing w:line="240" w:lineRule="auto"/>
    </w:pPr>
  </w:style>
  <w:style w:type="character" w:customStyle="1" w:styleId="HeaderChar">
    <w:name w:val="Header Char"/>
    <w:basedOn w:val="DefaultParagraphFont"/>
    <w:link w:val="Header"/>
    <w:uiPriority w:val="99"/>
    <w:rsid w:val="007333CF"/>
  </w:style>
  <w:style w:type="paragraph" w:styleId="Footer">
    <w:name w:val="footer"/>
    <w:basedOn w:val="Normal"/>
    <w:link w:val="FooterChar"/>
    <w:uiPriority w:val="99"/>
    <w:unhideWhenUsed/>
    <w:rsid w:val="007333CF"/>
    <w:pPr>
      <w:tabs>
        <w:tab w:val="center" w:pos="4513"/>
        <w:tab w:val="right" w:pos="9026"/>
      </w:tabs>
      <w:spacing w:line="240" w:lineRule="auto"/>
    </w:pPr>
  </w:style>
  <w:style w:type="character" w:customStyle="1" w:styleId="FooterChar">
    <w:name w:val="Footer Char"/>
    <w:basedOn w:val="DefaultParagraphFont"/>
    <w:link w:val="Footer"/>
    <w:uiPriority w:val="99"/>
    <w:rsid w:val="007333CF"/>
  </w:style>
  <w:style w:type="table" w:styleId="TableGrid">
    <w:name w:val="Table Grid"/>
    <w:basedOn w:val="TableNormal"/>
    <w:uiPriority w:val="39"/>
    <w:rsid w:val="007333C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1412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doi.org/10.1080/23311975.2024.2337957" TargetMode="External"/><Relationship Id="rId18" Type="http://schemas.openxmlformats.org/officeDocument/2006/relationships/hyperlink" Target="https://www.shrm.org/topics-tools/research/2025-talent-trends/ai-in-hr" TargetMode="External"/><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hyperlink" Target="https://www.linkedin.com/pulse/update-hr-business-partner-model-continuing-evolution-dave-ulrich-vqwoc/" TargetMode="External"/><Relationship Id="rId7" Type="http://schemas.openxmlformats.org/officeDocument/2006/relationships/image" Target="media/image1.png"/><Relationship Id="rId12" Type="http://schemas.openxmlformats.org/officeDocument/2006/relationships/hyperlink" Target="https://www2.deloitte.com/us/en/insights/topics/talent/skills-based-organizational-strategy.html" TargetMode="External"/><Relationship Id="rId17" Type="http://schemas.openxmlformats.org/officeDocument/2006/relationships/hyperlink" Target="https://selfdeterminationtheory.org/wp-content/uploads/2024/09/2024_OlafsenMarescauxKujanpaa_Crafting.pdf"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doi.org/10.1177/21582440241271125" TargetMode="External"/><Relationship Id="rId20" Type="http://schemas.openxmlformats.org/officeDocument/2006/relationships/hyperlink" Target="https://sajhrm.co.za/index.php/sajhrm/article/view/2856/4541"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02/sd.3052" TargetMode="External"/><Relationship Id="rId24"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yperlink" Target="https://doi.org/10.1007/s11846-025-00864-3"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hyperlink" Target="https://doi.org/10.1002/hrm.70008" TargetMode="External"/><Relationship Id="rId19" Type="http://schemas.openxmlformats.org/officeDocument/2006/relationships/hyperlink" Target="https://doi.org/10.1177/00812463221129067"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doi.org/10.1108/BPMJ-11-2023-0884" TargetMode="External"/><Relationship Id="rId22" Type="http://schemas.openxmlformats.org/officeDocument/2006/relationships/hyperlink" Target="https://www.weforum.org/publications/the-future-of-jobs-report-2025/" TargetMode="External"/><Relationship Id="rId27" Type="http://schemas.openxmlformats.org/officeDocument/2006/relationships/header" Target="header3.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648514F-6146-5042-8104-85E7AB14B5F1}">
  <we:reference id="wa200010453" version="1.0.0.1" store="en-US" storeType="OMEX"/>
  <we:alternateReferences>
    <we:reference id="WA200010453" version="1.0.0.1" store="" storeType="OMEX"/>
  </we:alternateReferences>
  <we:properties>
    <we:property name="claude.fileId" value="&quot;3dc2635a-faa3-49fd-a157-a557425acebc&quot;"/>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Normal.dotm</Template>
  <TotalTime>54</TotalTime>
  <Pages>12</Pages>
  <Words>3885</Words>
  <Characters>22151</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Designing a Human Capital Architecture for Strategic Renewal: The Case of Helios Urban Mobility</vt:lpstr>
    </vt:vector>
  </TitlesOfParts>
  <Company/>
  <LinksUpToDate>false</LinksUpToDate>
  <CharactersWithSpaces>25985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Designing a Human Capital Architecture for Strategic Renewal: The Case of Helios Urban Mobility</dc:title>
  <dc:creator>Pradeep Ranwa</dc:creator>
  <cp:lastModifiedBy>kathan joshi</cp:lastModifiedBy>
  <cp:revision>3</cp:revision>
  <dcterms:created xsi:type="dcterms:W3CDTF">2026-07-14T05:33:00Z</dcterms:created>
  <dcterms:modified xsi:type="dcterms:W3CDTF">2026-07-14T16:25:00Z</dcterms:modified>
</cp:coreProperties>
</file>