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75F65F" w14:textId="147965F8" w:rsidR="00473852" w:rsidRPr="00473852" w:rsidRDefault="00473852" w:rsidP="006274C9">
      <w:pPr>
        <w:tabs>
          <w:tab w:val="left" w:pos="2216"/>
        </w:tabs>
        <w:jc w:val="both"/>
        <w:rPr>
          <w:sz w:val="96"/>
          <w:szCs w:val="96"/>
        </w:rPr>
      </w:pPr>
      <w:r w:rsidRPr="00473852">
        <w:rPr>
          <w:sz w:val="96"/>
          <w:szCs w:val="96"/>
        </w:rPr>
        <w:t>Reflective commentary</w:t>
      </w:r>
    </w:p>
    <w:p w14:paraId="0DDF5429" w14:textId="10498B33" w:rsidR="00473852" w:rsidRDefault="00473852" w:rsidP="006274C9">
      <w:pPr>
        <w:tabs>
          <w:tab w:val="left" w:pos="2216"/>
        </w:tabs>
        <w:jc w:val="both"/>
      </w:pPr>
    </w:p>
    <w:p w14:paraId="706DEE87" w14:textId="4464AA6D" w:rsidR="00473852" w:rsidRDefault="00473852" w:rsidP="006274C9">
      <w:pPr>
        <w:tabs>
          <w:tab w:val="left" w:pos="2216"/>
        </w:tabs>
        <w:jc w:val="both"/>
      </w:pPr>
    </w:p>
    <w:p w14:paraId="64EAFB53" w14:textId="77777777" w:rsidR="00473852" w:rsidRDefault="00473852" w:rsidP="006274C9">
      <w:pPr>
        <w:tabs>
          <w:tab w:val="left" w:pos="2216"/>
        </w:tabs>
        <w:jc w:val="both"/>
      </w:pPr>
    </w:p>
    <w:p w14:paraId="171306F9" w14:textId="7E56658E" w:rsidR="0038249A" w:rsidRPr="00473852" w:rsidRDefault="3E76DC01" w:rsidP="3E76DC01">
      <w:pPr>
        <w:tabs>
          <w:tab w:val="left" w:pos="2216"/>
        </w:tabs>
        <w:spacing w:line="360" w:lineRule="auto"/>
        <w:jc w:val="both"/>
        <w:rPr>
          <w:sz w:val="24"/>
          <w:szCs w:val="24"/>
        </w:rPr>
      </w:pPr>
      <w:r w:rsidRPr="3E76DC01">
        <w:rPr>
          <w:sz w:val="24"/>
          <w:szCs w:val="24"/>
        </w:rPr>
        <w:t>This is a third-year psychology and counselling reflective commentary assessment that is accompanied by a 20-minute video recording that took place on 3</w:t>
      </w:r>
      <w:r w:rsidRPr="3E76DC01">
        <w:rPr>
          <w:sz w:val="24"/>
          <w:szCs w:val="24"/>
          <w:vertAlign w:val="superscript"/>
        </w:rPr>
        <w:t>rd</w:t>
      </w:r>
      <w:r w:rsidRPr="3E76DC01">
        <w:rPr>
          <w:sz w:val="24"/>
          <w:szCs w:val="24"/>
        </w:rPr>
        <w:t xml:space="preserve"> February 2021. </w:t>
      </w:r>
      <w:r w:rsidR="00FE3E75">
        <w:rPr>
          <w:sz w:val="24"/>
          <w:szCs w:val="24"/>
        </w:rPr>
        <w:t>I will be</w:t>
      </w:r>
      <w:r w:rsidR="00FE3E75" w:rsidRPr="3E76DC01">
        <w:rPr>
          <w:sz w:val="24"/>
          <w:szCs w:val="24"/>
        </w:rPr>
        <w:t xml:space="preserve"> utilis</w:t>
      </w:r>
      <w:r w:rsidR="00FE3E75">
        <w:rPr>
          <w:sz w:val="24"/>
          <w:szCs w:val="24"/>
        </w:rPr>
        <w:t>ing</w:t>
      </w:r>
      <w:r w:rsidR="00FE3E75" w:rsidRPr="3E76DC01">
        <w:rPr>
          <w:sz w:val="24"/>
          <w:szCs w:val="24"/>
        </w:rPr>
        <w:t xml:space="preserve"> Gibbs reflective</w:t>
      </w:r>
      <w:r w:rsidR="00FE3E75">
        <w:rPr>
          <w:sz w:val="24"/>
          <w:szCs w:val="24"/>
        </w:rPr>
        <w:t xml:space="preserve"> cycle </w:t>
      </w:r>
      <w:r w:rsidR="00FE3E75" w:rsidRPr="3E76DC01">
        <w:rPr>
          <w:sz w:val="24"/>
          <w:szCs w:val="24"/>
        </w:rPr>
        <w:t>(1988)</w:t>
      </w:r>
      <w:r w:rsidR="00FE3E75">
        <w:rPr>
          <w:sz w:val="24"/>
          <w:szCs w:val="24"/>
        </w:rPr>
        <w:t xml:space="preserve"> to guide my reflections by using descriptions, feelings evaluations, analysis’, conclusions and action plans.</w:t>
      </w:r>
      <w:r w:rsidR="00FE3E75" w:rsidRPr="3E76DC01">
        <w:rPr>
          <w:sz w:val="24"/>
          <w:szCs w:val="24"/>
        </w:rPr>
        <w:t xml:space="preserve"> </w:t>
      </w:r>
      <w:r w:rsidRPr="3E76DC01">
        <w:rPr>
          <w:sz w:val="24"/>
          <w:szCs w:val="24"/>
        </w:rPr>
        <w:t>The recording of a counselling practice skill session was performed with a fellow student in the reflexive counselling skills module. I will refer to her as “C” to maintain confidentiality in line with the BACP Ethical Framework for the Counselling Professions (BACP, 2018). This session had two observers, an additional classmate, and a lecturer, both of whom were under the same obligations of confidentiality which C was made aware of before and again at the beginning of the recording. Taking into consideration the current pandemic Microsoft teams was utilised during the practice counselling sessions and the final recorded session. Using teams has enabled effective communication “face to face” while avoiding physical contact, complying to the government’s guidelines to stay at home and socially distance (Gov.uk, 2021). This was the third session and comprised of an introduction and catch up, an exploration of current emotions and a wrap up in which I restate the issues that were touched upon during the session. The session came to close with a summarisation and a friendly farewell. The person-centred approach was used during all of the sessions between C and I (Rogers, 1979). Overall, it was a pleasant experience</w:t>
      </w:r>
      <w:r w:rsidRPr="3E76DC01">
        <w:rPr>
          <w:sz w:val="24"/>
          <w:szCs w:val="24"/>
        </w:rPr>
        <w:t>,</w:t>
      </w:r>
      <w:r w:rsidRPr="3E76DC01">
        <w:rPr>
          <w:sz w:val="24"/>
          <w:szCs w:val="24"/>
        </w:rPr>
        <w:t xml:space="preserve"> though the session had several opportunities for improvement it also demonstrated many of the skills that have been learned in the duration of this course. </w:t>
      </w:r>
    </w:p>
    <w:p w14:paraId="653049D0" w14:textId="512816D7" w:rsidR="007E50E6" w:rsidRPr="00473852" w:rsidRDefault="003165FA" w:rsidP="3E76DC01">
      <w:pPr>
        <w:tabs>
          <w:tab w:val="left" w:pos="2216"/>
        </w:tabs>
        <w:spacing w:line="360" w:lineRule="auto"/>
        <w:jc w:val="both"/>
        <w:rPr>
          <w:sz w:val="24"/>
          <w:szCs w:val="24"/>
        </w:rPr>
      </w:pPr>
      <w:r w:rsidRPr="3E76DC01">
        <w:rPr>
          <w:sz w:val="24"/>
          <w:szCs w:val="24"/>
        </w:rPr>
        <w:t>U</w:t>
      </w:r>
      <w:r w:rsidR="007E50E6" w:rsidRPr="3E76DC01">
        <w:rPr>
          <w:sz w:val="24"/>
          <w:szCs w:val="24"/>
        </w:rPr>
        <w:t xml:space="preserve">sing video </w:t>
      </w:r>
      <w:r w:rsidR="002047C6" w:rsidRPr="3E76DC01">
        <w:rPr>
          <w:sz w:val="24"/>
          <w:szCs w:val="24"/>
        </w:rPr>
        <w:t>interactions</w:t>
      </w:r>
      <w:r w:rsidR="007E50E6" w:rsidRPr="3E76DC01">
        <w:rPr>
          <w:sz w:val="24"/>
          <w:szCs w:val="24"/>
        </w:rPr>
        <w:t xml:space="preserve"> allow</w:t>
      </w:r>
      <w:r w:rsidR="006274C9" w:rsidRPr="3E76DC01">
        <w:rPr>
          <w:sz w:val="24"/>
          <w:szCs w:val="24"/>
        </w:rPr>
        <w:t>ed</w:t>
      </w:r>
      <w:r w:rsidR="007E50E6" w:rsidRPr="3E76DC01">
        <w:rPr>
          <w:sz w:val="24"/>
          <w:szCs w:val="24"/>
        </w:rPr>
        <w:t xml:space="preserve"> for</w:t>
      </w:r>
      <w:r w:rsidRPr="3E76DC01">
        <w:rPr>
          <w:sz w:val="24"/>
          <w:szCs w:val="24"/>
        </w:rPr>
        <w:t xml:space="preserve"> more</w:t>
      </w:r>
      <w:r w:rsidR="007E50E6" w:rsidRPr="3E76DC01">
        <w:rPr>
          <w:sz w:val="24"/>
          <w:szCs w:val="24"/>
        </w:rPr>
        <w:t xml:space="preserve"> </w:t>
      </w:r>
      <w:r w:rsidR="002047C6" w:rsidRPr="3E76DC01">
        <w:rPr>
          <w:sz w:val="24"/>
          <w:szCs w:val="24"/>
        </w:rPr>
        <w:t>nonverbal</w:t>
      </w:r>
      <w:r w:rsidR="007E50E6" w:rsidRPr="3E76DC01">
        <w:rPr>
          <w:sz w:val="24"/>
          <w:szCs w:val="24"/>
        </w:rPr>
        <w:t xml:space="preserve"> communication such as facial expressions and body language</w:t>
      </w:r>
      <w:r w:rsidR="007E50E6" w:rsidRPr="3E76DC01">
        <w:rPr>
          <w:sz w:val="24"/>
          <w:szCs w:val="24"/>
        </w:rPr>
        <w:t xml:space="preserve"> and</w:t>
      </w:r>
      <w:r w:rsidR="007E50E6" w:rsidRPr="3E76DC01">
        <w:rPr>
          <w:sz w:val="24"/>
          <w:szCs w:val="24"/>
        </w:rPr>
        <w:t xml:space="preserve"> while </w:t>
      </w:r>
      <w:r w:rsidR="002047C6" w:rsidRPr="3E76DC01">
        <w:rPr>
          <w:sz w:val="24"/>
          <w:szCs w:val="24"/>
        </w:rPr>
        <w:t>this may not be as adequate as physical face to face interaction it is a superior to simply communicating verbally</w:t>
      </w:r>
      <w:r w:rsidRPr="3E76DC01">
        <w:rPr>
          <w:sz w:val="24"/>
          <w:szCs w:val="24"/>
        </w:rPr>
        <w:t xml:space="preserve"> via </w:t>
      </w:r>
      <w:r w:rsidR="005763A7" w:rsidRPr="3E76DC01">
        <w:rPr>
          <w:sz w:val="24"/>
          <w:szCs w:val="24"/>
        </w:rPr>
        <w:t>a phone call for example</w:t>
      </w:r>
      <w:r w:rsidR="002047C6" w:rsidRPr="3E76DC01">
        <w:rPr>
          <w:sz w:val="24"/>
          <w:szCs w:val="24"/>
        </w:rPr>
        <w:t>. The use of Teams has also enabled me to make use of my body language to effectively communicate by engaging skills like SOLAR</w:t>
      </w:r>
      <w:r w:rsidR="005763A7" w:rsidRPr="3E76DC01">
        <w:rPr>
          <w:sz w:val="24"/>
          <w:szCs w:val="24"/>
        </w:rPr>
        <w:t xml:space="preserve"> though there were limitations to these </w:t>
      </w:r>
      <w:bookmarkStart w:id="0" w:name="_Hlk63537772"/>
      <w:r w:rsidR="005763A7" w:rsidRPr="3E76DC01">
        <w:rPr>
          <w:sz w:val="24"/>
          <w:szCs w:val="24"/>
        </w:rPr>
        <w:t>(Jenkins, Palmer &amp; Woolfe, 2000).</w:t>
      </w:r>
      <w:r w:rsidR="006274C9" w:rsidRPr="3E76DC01">
        <w:rPr>
          <w:sz w:val="24"/>
          <w:szCs w:val="24"/>
        </w:rPr>
        <w:t xml:space="preserve"> </w:t>
      </w:r>
      <w:bookmarkEnd w:id="0"/>
      <w:r w:rsidR="007C2E58" w:rsidRPr="3E76DC01">
        <w:rPr>
          <w:sz w:val="24"/>
          <w:szCs w:val="24"/>
        </w:rPr>
        <w:t xml:space="preserve">Due to the </w:t>
      </w:r>
      <w:r w:rsidR="006274C9" w:rsidRPr="3E76DC01">
        <w:rPr>
          <w:sz w:val="24"/>
          <w:szCs w:val="24"/>
        </w:rPr>
        <w:t xml:space="preserve">positioning of the camera </w:t>
      </w:r>
      <w:r w:rsidR="007C2E58" w:rsidRPr="3E76DC01">
        <w:rPr>
          <w:sz w:val="24"/>
          <w:szCs w:val="24"/>
        </w:rPr>
        <w:t xml:space="preserve">and how it </w:t>
      </w:r>
      <w:r w:rsidR="006274C9" w:rsidRPr="3E76DC01">
        <w:rPr>
          <w:sz w:val="24"/>
          <w:szCs w:val="24"/>
        </w:rPr>
        <w:t xml:space="preserve">differed from the </w:t>
      </w:r>
      <w:r w:rsidR="006274C9" w:rsidRPr="3E76DC01">
        <w:rPr>
          <w:sz w:val="24"/>
          <w:szCs w:val="24"/>
        </w:rPr>
        <w:lastRenderedPageBreak/>
        <w:t>displayed image of C</w:t>
      </w:r>
      <w:r w:rsidR="007C2E58" w:rsidRPr="3E76DC01">
        <w:rPr>
          <w:sz w:val="24"/>
          <w:szCs w:val="24"/>
        </w:rPr>
        <w:t>, I do not feel satisfied with the level of eye contact achieved</w:t>
      </w:r>
      <w:r w:rsidR="006274C9" w:rsidRPr="3E76DC01">
        <w:rPr>
          <w:sz w:val="24"/>
          <w:szCs w:val="24"/>
        </w:rPr>
        <w:t>, which could</w:t>
      </w:r>
      <w:r w:rsidR="007C2E58" w:rsidRPr="3E76DC01">
        <w:rPr>
          <w:sz w:val="24"/>
          <w:szCs w:val="24"/>
        </w:rPr>
        <w:t xml:space="preserve"> possibly</w:t>
      </w:r>
      <w:r w:rsidR="006274C9" w:rsidRPr="3E76DC01">
        <w:rPr>
          <w:sz w:val="24"/>
          <w:szCs w:val="24"/>
        </w:rPr>
        <w:t xml:space="preserve"> have </w:t>
      </w:r>
      <w:r w:rsidR="007C2E58" w:rsidRPr="3E76DC01">
        <w:rPr>
          <w:sz w:val="24"/>
          <w:szCs w:val="24"/>
        </w:rPr>
        <w:t xml:space="preserve">deterred from the communication of empathy and understanding </w:t>
      </w:r>
      <w:bookmarkStart w:id="1" w:name="_Hlk63859681"/>
      <w:r w:rsidR="007C2E58" w:rsidRPr="3E76DC01">
        <w:rPr>
          <w:sz w:val="24"/>
          <w:szCs w:val="24"/>
        </w:rPr>
        <w:t>(</w:t>
      </w:r>
      <w:r w:rsidR="007C2E58" w:rsidRPr="3E76DC01">
        <w:rPr>
          <w:sz w:val="24"/>
          <w:szCs w:val="24"/>
          <w:shd w:val="clear" w:color="auto" w:fill="FFFFFF"/>
        </w:rPr>
        <w:t>Dowell &amp; Berman, 2013)</w:t>
      </w:r>
      <w:bookmarkEnd w:id="1"/>
      <w:r w:rsidR="007C2E58" w:rsidRPr="3E76DC01">
        <w:rPr>
          <w:sz w:val="24"/>
          <w:szCs w:val="24"/>
          <w:shd w:val="clear" w:color="auto" w:fill="FFFFFF"/>
        </w:rPr>
        <w:t xml:space="preserve">. I do not personally feel this to be the case as I felt that a therapeutic alliance was established between C and I, as she felt at ease enough to discuss her feelings even in the precent of observers (Meissner, 1996). During previous counselling practice skills session as students, we have </w:t>
      </w:r>
      <w:r w:rsidR="00A1195E" w:rsidRPr="3E76DC01">
        <w:rPr>
          <w:sz w:val="24"/>
          <w:szCs w:val="24"/>
          <w:shd w:val="clear" w:color="auto" w:fill="FFFFFF"/>
        </w:rPr>
        <w:t xml:space="preserve">always </w:t>
      </w:r>
      <w:r w:rsidR="007C2E58" w:rsidRPr="3E76DC01">
        <w:rPr>
          <w:sz w:val="24"/>
          <w:szCs w:val="24"/>
          <w:shd w:val="clear" w:color="auto" w:fill="FFFFFF"/>
        </w:rPr>
        <w:t xml:space="preserve">been supplied with fake scenarios and I </w:t>
      </w:r>
      <w:r w:rsidR="00FE3E75">
        <w:rPr>
          <w:sz w:val="24"/>
          <w:szCs w:val="24"/>
          <w:shd w:val="clear" w:color="auto" w:fill="FFFFFF"/>
        </w:rPr>
        <w:t>was and still am</w:t>
      </w:r>
      <w:r w:rsidR="007C2E58" w:rsidRPr="3E76DC01">
        <w:rPr>
          <w:sz w:val="24"/>
          <w:szCs w:val="24"/>
          <w:shd w:val="clear" w:color="auto" w:fill="FFFFFF"/>
        </w:rPr>
        <w:t xml:space="preserve"> extremely humbled by C’s ability to share under the circumstances. </w:t>
      </w:r>
    </w:p>
    <w:p w14:paraId="76C5F6C7" w14:textId="39BCFEEF" w:rsidR="0011668B" w:rsidRPr="00473852" w:rsidRDefault="002047C6" w:rsidP="3E76DC01">
      <w:pPr>
        <w:tabs>
          <w:tab w:val="left" w:pos="2216"/>
        </w:tabs>
        <w:spacing w:line="360" w:lineRule="auto"/>
        <w:jc w:val="both"/>
        <w:rPr>
          <w:sz w:val="24"/>
          <w:szCs w:val="24"/>
        </w:rPr>
      </w:pPr>
      <w:r w:rsidRPr="3E76DC01">
        <w:rPr>
          <w:sz w:val="24"/>
          <w:szCs w:val="24"/>
        </w:rPr>
        <w:t xml:space="preserve">During the </w:t>
      </w:r>
      <w:r w:rsidR="00A1195E" w:rsidRPr="3E76DC01">
        <w:rPr>
          <w:sz w:val="24"/>
          <w:szCs w:val="24"/>
        </w:rPr>
        <w:t xml:space="preserve">session C and I touched upon many different </w:t>
      </w:r>
      <w:r w:rsidR="00D153D1" w:rsidRPr="3E76DC01">
        <w:rPr>
          <w:sz w:val="24"/>
          <w:szCs w:val="24"/>
        </w:rPr>
        <w:t>topics,</w:t>
      </w:r>
      <w:r w:rsidRPr="3E76DC01">
        <w:rPr>
          <w:sz w:val="24"/>
          <w:szCs w:val="24"/>
        </w:rPr>
        <w:t xml:space="preserve"> but this was not the first session we had </w:t>
      </w:r>
      <w:r w:rsidR="00036B9F" w:rsidRPr="3E76DC01">
        <w:rPr>
          <w:sz w:val="24"/>
          <w:szCs w:val="24"/>
        </w:rPr>
        <w:t>together,</w:t>
      </w:r>
      <w:r w:rsidR="00A1195E" w:rsidRPr="3E76DC01">
        <w:rPr>
          <w:sz w:val="24"/>
          <w:szCs w:val="24"/>
        </w:rPr>
        <w:t xml:space="preserve"> so some topics were mentioned to enquire how </w:t>
      </w:r>
      <w:r w:rsidR="00A1195E" w:rsidRPr="3E76DC01">
        <w:rPr>
          <w:sz w:val="24"/>
          <w:szCs w:val="24"/>
        </w:rPr>
        <w:t>she</w:t>
      </w:r>
      <w:r w:rsidR="00A1195E" w:rsidRPr="3E76DC01">
        <w:rPr>
          <w:sz w:val="24"/>
          <w:szCs w:val="24"/>
        </w:rPr>
        <w:t xml:space="preserve"> has coped in the time since we last met</w:t>
      </w:r>
      <w:r w:rsidRPr="3E76DC01">
        <w:rPr>
          <w:sz w:val="24"/>
          <w:szCs w:val="24"/>
        </w:rPr>
        <w:t xml:space="preserve">. </w:t>
      </w:r>
      <w:r w:rsidR="00A1195E" w:rsidRPr="3E76DC01">
        <w:rPr>
          <w:sz w:val="24"/>
          <w:szCs w:val="24"/>
        </w:rPr>
        <w:t>The session started with a brief stating of the confidentiality contract and made aware of the observes,</w:t>
      </w:r>
      <w:r w:rsidR="00CF23D5" w:rsidRPr="3E76DC01">
        <w:rPr>
          <w:sz w:val="24"/>
          <w:szCs w:val="24"/>
        </w:rPr>
        <w:t xml:space="preserve"> </w:t>
      </w:r>
      <w:r w:rsidR="00A1195E" w:rsidRPr="3E76DC01">
        <w:rPr>
          <w:sz w:val="24"/>
          <w:szCs w:val="24"/>
        </w:rPr>
        <w:t>informed that the re</w:t>
      </w:r>
      <w:r w:rsidR="00CF23D5" w:rsidRPr="3E76DC01">
        <w:rPr>
          <w:sz w:val="24"/>
          <w:szCs w:val="24"/>
        </w:rPr>
        <w:t xml:space="preserve">cording would be </w:t>
      </w:r>
      <w:r w:rsidR="00A1195E" w:rsidRPr="3E76DC01">
        <w:rPr>
          <w:sz w:val="24"/>
          <w:szCs w:val="24"/>
        </w:rPr>
        <w:t>deleted</w:t>
      </w:r>
      <w:r w:rsidR="00CF23D5" w:rsidRPr="3E76DC01">
        <w:rPr>
          <w:sz w:val="24"/>
          <w:szCs w:val="24"/>
        </w:rPr>
        <w:t xml:space="preserve"> upon completion of the assignment and that she would not be named in the written assessment. Since this was not the first </w:t>
      </w:r>
      <w:r w:rsidR="00A1195E" w:rsidRPr="3E76DC01">
        <w:rPr>
          <w:sz w:val="24"/>
          <w:szCs w:val="24"/>
        </w:rPr>
        <w:t>session,</w:t>
      </w:r>
      <w:r w:rsidR="00CF23D5" w:rsidRPr="3E76DC01">
        <w:rPr>
          <w:sz w:val="24"/>
          <w:szCs w:val="24"/>
        </w:rPr>
        <w:t xml:space="preserve"> I began by covering what we had talked about last week, this aided context for the recording, demonstrated that I paid attention </w:t>
      </w:r>
      <w:r w:rsidR="00A1195E" w:rsidRPr="3E76DC01">
        <w:rPr>
          <w:sz w:val="24"/>
          <w:szCs w:val="24"/>
        </w:rPr>
        <w:t xml:space="preserve">by </w:t>
      </w:r>
      <w:r w:rsidR="00CF23D5" w:rsidRPr="3E76DC01">
        <w:rPr>
          <w:sz w:val="24"/>
          <w:szCs w:val="24"/>
        </w:rPr>
        <w:t xml:space="preserve">remembered </w:t>
      </w:r>
      <w:r w:rsidR="00A1195E" w:rsidRPr="3E76DC01">
        <w:rPr>
          <w:sz w:val="24"/>
          <w:szCs w:val="24"/>
        </w:rPr>
        <w:t>past</w:t>
      </w:r>
      <w:r w:rsidR="00CF23D5" w:rsidRPr="3E76DC01">
        <w:rPr>
          <w:sz w:val="24"/>
          <w:szCs w:val="24"/>
        </w:rPr>
        <w:t xml:space="preserve"> topi</w:t>
      </w:r>
      <w:r w:rsidR="00A1195E" w:rsidRPr="3E76DC01">
        <w:rPr>
          <w:sz w:val="24"/>
          <w:szCs w:val="24"/>
        </w:rPr>
        <w:t>cs</w:t>
      </w:r>
      <w:r w:rsidR="00CF23D5" w:rsidRPr="3E76DC01">
        <w:rPr>
          <w:sz w:val="24"/>
          <w:szCs w:val="24"/>
        </w:rPr>
        <w:t xml:space="preserve"> and also reminded C of topics so she could let me know if some of the issues discussed are still present this week</w:t>
      </w:r>
      <w:r w:rsidR="003D3D94" w:rsidRPr="3E76DC01">
        <w:rPr>
          <w:sz w:val="24"/>
          <w:szCs w:val="24"/>
        </w:rPr>
        <w:t xml:space="preserve"> and we continued from there</w:t>
      </w:r>
      <w:r w:rsidR="00CF23D5" w:rsidRPr="3E76DC01">
        <w:rPr>
          <w:sz w:val="24"/>
          <w:szCs w:val="24"/>
        </w:rPr>
        <w:t>.</w:t>
      </w:r>
      <w:r w:rsidR="003D3D94" w:rsidRPr="3E76DC01">
        <w:rPr>
          <w:sz w:val="24"/>
          <w:szCs w:val="24"/>
        </w:rPr>
        <w:t xml:space="preserve"> </w:t>
      </w:r>
      <w:r w:rsidR="00D153D1" w:rsidRPr="3E76DC01">
        <w:rPr>
          <w:sz w:val="24"/>
          <w:szCs w:val="24"/>
        </w:rPr>
        <w:t>While I</w:t>
      </w:r>
      <w:r w:rsidR="003D3D94" w:rsidRPr="3E76DC01">
        <w:rPr>
          <w:sz w:val="24"/>
          <w:szCs w:val="24"/>
        </w:rPr>
        <w:t xml:space="preserve"> attempted to let her lead the sessions but looking back there were a few points that I failed to focus in on that </w:t>
      </w:r>
      <w:r w:rsidR="003D3D94" w:rsidRPr="3E76DC01">
        <w:rPr>
          <w:sz w:val="24"/>
          <w:szCs w:val="24"/>
        </w:rPr>
        <w:t>i</w:t>
      </w:r>
      <w:r w:rsidR="003D3D94" w:rsidRPr="3E76DC01">
        <w:rPr>
          <w:sz w:val="24"/>
          <w:szCs w:val="24"/>
        </w:rPr>
        <w:t xml:space="preserve">t would have been useful to explore more fully. For example, C stated that she felt “Torn” on two occasions and I had the opportunity to ask her to clarify why she was feeling torn. The difficulty that arises for me in this situation is that C is very good at assessing her own level of control, she is torn between how much time she spends with her children and how much time she spends on her university assignments. While this is evidently the dilemma that makes her feel torn, she also states that there is not much that she can do about it. I </w:t>
      </w:r>
      <w:r w:rsidR="00D153D1" w:rsidRPr="3E76DC01">
        <w:rPr>
          <w:sz w:val="24"/>
          <w:szCs w:val="24"/>
        </w:rPr>
        <w:t>was</w:t>
      </w:r>
      <w:r w:rsidR="003D3D94" w:rsidRPr="3E76DC01">
        <w:rPr>
          <w:sz w:val="24"/>
          <w:szCs w:val="24"/>
        </w:rPr>
        <w:t xml:space="preserve"> not needed to help her come to that conclusion, but I missed a good opportunity to allow her to express her possible frustration at this. I should therefore focus less on assuming my understanding and take more opportunities to ask for clarification. Especially when metaphors are used as they can be an integral part of the counselling process as they can hold connotations that can perhaps be just as revealing as speaking plainly (</w:t>
      </w:r>
      <w:r w:rsidR="003D3D94" w:rsidRPr="3E76DC01">
        <w:rPr>
          <w:sz w:val="24"/>
          <w:szCs w:val="24"/>
          <w:shd w:val="clear" w:color="auto" w:fill="FFFFFF"/>
        </w:rPr>
        <w:t>Berlin et al.</w:t>
      </w:r>
      <w:r w:rsidR="00D153D1" w:rsidRPr="3E76DC01">
        <w:rPr>
          <w:sz w:val="24"/>
          <w:szCs w:val="24"/>
          <w:shd w:val="clear" w:color="auto" w:fill="FFFFFF"/>
        </w:rPr>
        <w:t>,</w:t>
      </w:r>
      <w:r w:rsidR="003D3D94" w:rsidRPr="3E76DC01">
        <w:rPr>
          <w:sz w:val="24"/>
          <w:szCs w:val="24"/>
          <w:shd w:val="clear" w:color="auto" w:fill="FFFFFF"/>
        </w:rPr>
        <w:t xml:space="preserve"> 1991). </w:t>
      </w:r>
      <w:r w:rsidR="003D3D94" w:rsidRPr="3E76DC01">
        <w:rPr>
          <w:sz w:val="24"/>
          <w:szCs w:val="24"/>
        </w:rPr>
        <w:t xml:space="preserve">Another example of my failing to pick up on something C has said is when she stated that she was feeling “a mix of emotions at the moment” and in response </w:t>
      </w:r>
      <w:r w:rsidR="00507D57" w:rsidRPr="3E76DC01">
        <w:rPr>
          <w:sz w:val="24"/>
          <w:szCs w:val="24"/>
        </w:rPr>
        <w:t>I restated to create an open question</w:t>
      </w:r>
      <w:r w:rsidR="00D153D1" w:rsidRPr="3E76DC01">
        <w:rPr>
          <w:sz w:val="24"/>
          <w:szCs w:val="24"/>
        </w:rPr>
        <w:t xml:space="preserve"> </w:t>
      </w:r>
      <w:r w:rsidR="003D3D94" w:rsidRPr="3E76DC01">
        <w:rPr>
          <w:sz w:val="24"/>
          <w:szCs w:val="24"/>
        </w:rPr>
        <w:t xml:space="preserve">about one of the assessments she had due that was causing her stress. By doing this </w:t>
      </w:r>
      <w:r w:rsidR="003D3D94" w:rsidRPr="3E76DC01">
        <w:rPr>
          <w:sz w:val="24"/>
          <w:szCs w:val="24"/>
        </w:rPr>
        <w:lastRenderedPageBreak/>
        <w:t xml:space="preserve">I was choosing the situational stressor she had previously mentioned to focus on and not letting her lead the conversation. A more appropriate response would have been to ask her to clarify these emotions. I feel I understood her situation and was empathic to it though I did not prompt her to delve deeper into how she felt about them by encouraging the use of more emotive words. </w:t>
      </w:r>
      <w:r w:rsidR="00905272" w:rsidRPr="3E76DC01">
        <w:rPr>
          <w:sz w:val="24"/>
          <w:szCs w:val="24"/>
        </w:rPr>
        <w:t>My aim is to listen more and to take Carl</w:t>
      </w:r>
      <w:r w:rsidR="008E080B" w:rsidRPr="3E76DC01">
        <w:rPr>
          <w:sz w:val="24"/>
          <w:szCs w:val="24"/>
        </w:rPr>
        <w:t xml:space="preserve"> Roger’s advice to live in the moment and not try to lead the therapy </w:t>
      </w:r>
      <w:r w:rsidR="00905272" w:rsidRPr="3E76DC01">
        <w:rPr>
          <w:sz w:val="24"/>
          <w:szCs w:val="24"/>
        </w:rPr>
        <w:t>“to discover in that the present process whatever structure it appears to have” (Rogers, 1965, p189)</w:t>
      </w:r>
      <w:r w:rsidR="00282395" w:rsidRPr="3E76DC01">
        <w:rPr>
          <w:sz w:val="24"/>
          <w:szCs w:val="24"/>
        </w:rPr>
        <w:t>.</w:t>
      </w:r>
    </w:p>
    <w:p w14:paraId="7CB1A7E4" w14:textId="77777777" w:rsidR="003F6833" w:rsidRDefault="00FE3E75" w:rsidP="3E76DC01">
      <w:pPr>
        <w:tabs>
          <w:tab w:val="left" w:pos="2216"/>
        </w:tabs>
        <w:spacing w:line="360" w:lineRule="auto"/>
        <w:jc w:val="both"/>
        <w:rPr>
          <w:sz w:val="24"/>
          <w:szCs w:val="24"/>
        </w:rPr>
      </w:pPr>
      <w:r>
        <w:rPr>
          <w:sz w:val="24"/>
          <w:szCs w:val="24"/>
        </w:rPr>
        <w:t xml:space="preserve">To further </w:t>
      </w:r>
      <w:r w:rsidR="3E76DC01" w:rsidRPr="3E76DC01">
        <w:rPr>
          <w:sz w:val="24"/>
          <w:szCs w:val="24"/>
        </w:rPr>
        <w:t>the subject of areas that I aim to improve I would like to address my body language. On the day of this recording, I was in a very anxious state myself, in part due to the assessment but mostly due to life’s multitude of stressors. I am only human after all and am not immune to the pressures of circumstances, grief, or stress. Nor do I feel that I should be. These experiences aid me in a deeper understanding of a wider range of human emotions that will aid me in empathising with others. While I myself marvelled on the day at my fortitude to simple sit still for 20 minutes I can see, looking back at the recording that there are many tell-tale signs of my anxiety in my body language. While I resisted the urge to touch my face I on several occasions pursed my lips, stretched my chin and my eyes darted around occasionally. I also found myself distracted by my own image in the bottom of the screen, which is now part of the process with online counselling, but I should have taken the time to become more acquainted with the software. I also was not completely happy with the angle of the camera, I feel that it forced my eyes to be slightly downcast</w:t>
      </w:r>
      <w:r w:rsidR="003F6833">
        <w:rPr>
          <w:sz w:val="24"/>
          <w:szCs w:val="24"/>
        </w:rPr>
        <w:t xml:space="preserve"> which</w:t>
      </w:r>
      <w:r w:rsidR="3E76DC01" w:rsidRPr="3E76DC01">
        <w:rPr>
          <w:sz w:val="24"/>
          <w:szCs w:val="24"/>
        </w:rPr>
        <w:t xml:space="preserve"> I </w:t>
      </w:r>
      <w:r w:rsidR="003F6833">
        <w:rPr>
          <w:sz w:val="24"/>
          <w:szCs w:val="24"/>
        </w:rPr>
        <w:t>feel created a barrier to as our eyes did not meet on the same level and possibly negatively impacting on my ability to convey the empathy I was experiencing</w:t>
      </w:r>
      <w:r w:rsidR="3E76DC01" w:rsidRPr="3E76DC01">
        <w:rPr>
          <w:sz w:val="24"/>
          <w:szCs w:val="24"/>
        </w:rPr>
        <w:t xml:space="preserve"> (Dowell &amp; Berman, 2013). I do feel that I was able to convey empathy with my body language overall. </w:t>
      </w:r>
    </w:p>
    <w:p w14:paraId="2FE3F3CC" w14:textId="7B73C771" w:rsidR="000A4D9D" w:rsidRPr="00473852" w:rsidRDefault="003F6833" w:rsidP="3E76DC01">
      <w:pPr>
        <w:tabs>
          <w:tab w:val="left" w:pos="2216"/>
        </w:tabs>
        <w:spacing w:line="360" w:lineRule="auto"/>
        <w:jc w:val="both"/>
        <w:rPr>
          <w:sz w:val="24"/>
          <w:szCs w:val="24"/>
        </w:rPr>
      </w:pPr>
      <w:r>
        <w:rPr>
          <w:sz w:val="24"/>
          <w:szCs w:val="24"/>
        </w:rPr>
        <w:t>D</w:t>
      </w:r>
      <w:r w:rsidR="3E76DC01" w:rsidRPr="3E76DC01">
        <w:rPr>
          <w:sz w:val="24"/>
          <w:szCs w:val="24"/>
        </w:rPr>
        <w:t>ue to how close she was to the camera it is impossible to tell if I was mimicking her body language, I feel that I effectively mimicked her facial expressions</w:t>
      </w:r>
      <w:r w:rsidR="3E76DC01" w:rsidRPr="3E76DC01">
        <w:rPr>
          <w:sz w:val="24"/>
          <w:szCs w:val="24"/>
        </w:rPr>
        <w:t>,</w:t>
      </w:r>
      <w:r w:rsidR="3E76DC01" w:rsidRPr="3E76DC01">
        <w:rPr>
          <w:sz w:val="24"/>
          <w:szCs w:val="24"/>
        </w:rPr>
        <w:t xml:space="preserve"> where appropriate</w:t>
      </w:r>
      <w:r w:rsidR="3E76DC01" w:rsidRPr="3E76DC01">
        <w:rPr>
          <w:sz w:val="24"/>
          <w:szCs w:val="24"/>
        </w:rPr>
        <w:t>, a</w:t>
      </w:r>
      <w:r w:rsidR="3E76DC01" w:rsidRPr="3E76DC01">
        <w:rPr>
          <w:sz w:val="24"/>
          <w:szCs w:val="24"/>
        </w:rPr>
        <w:t xml:space="preserve">s I felt myself compelled to laugh when she did and mimicking her overall tones. I feel that I effectively embraced the core conditions in this way as I congruently displayed empathy and my unconditional positive regard for C as I felt a sense of openness and emotional closeness to C that may not have be possible otherwise (Rogers, 1957). Another issue that arose from observing my body language is the relentless nodding of my head and using my hands while trying to explain. I </w:t>
      </w:r>
      <w:r w:rsidR="00FE3E75" w:rsidRPr="3E76DC01">
        <w:rPr>
          <w:sz w:val="24"/>
          <w:szCs w:val="24"/>
        </w:rPr>
        <w:t>cannot</w:t>
      </w:r>
      <w:r w:rsidR="3E76DC01" w:rsidRPr="3E76DC01">
        <w:rPr>
          <w:sz w:val="24"/>
          <w:szCs w:val="24"/>
        </w:rPr>
        <w:t xml:space="preserve"> say for sure if this was a result of my excess anxious energy or my </w:t>
      </w:r>
      <w:r w:rsidR="3E76DC01" w:rsidRPr="3E76DC01">
        <w:rPr>
          <w:sz w:val="24"/>
          <w:szCs w:val="24"/>
        </w:rPr>
        <w:lastRenderedPageBreak/>
        <w:t>own personal form of expression. By showing my understanding and communicating that C had my attention I can recognise that it may have come across as distracting or off putting. It may even have conveyed that I was not genuinely listening as the movement became more repetitive. I feel that having not engaged in any practical counselling session within my studies for over a year may also have cause me to revert into a more conversational and laid-back approach to conveying my understanding as I do not recall this habit from past recorded assessments. Though I have always used my hand when expressing myself I do feel that it shows a lack of confidence as I use my hands more while I am searching for the right words. It could also be considered distracting to the client. Overall, I do not feel as though my body language completely betrayed my emotional state or made C feel uncomfortable. Though I do feel that at times I could have done a better job of appearing more relaxed and calmer. As overall body language is hard to convey through the camera and eye contact not always possible, I aim to try and incorporate SOLAR whenever possible without fidgeting so to bed create a relaxed atmosphere (Jenkins, Palmer &amp; Woolfe, 2000).</w:t>
      </w:r>
    </w:p>
    <w:p w14:paraId="264AB4BF" w14:textId="311E1EC6" w:rsidR="00241AFC" w:rsidRPr="00473852" w:rsidRDefault="000A4D9D" w:rsidP="00473852">
      <w:pPr>
        <w:tabs>
          <w:tab w:val="left" w:pos="2216"/>
        </w:tabs>
        <w:spacing w:line="360" w:lineRule="auto"/>
        <w:jc w:val="both"/>
        <w:rPr>
          <w:rFonts w:cstheme="minorHAnsi"/>
          <w:sz w:val="24"/>
          <w:szCs w:val="24"/>
        </w:rPr>
      </w:pPr>
      <w:r w:rsidRPr="00473852">
        <w:rPr>
          <w:rFonts w:cstheme="minorHAnsi"/>
          <w:sz w:val="24"/>
          <w:szCs w:val="24"/>
        </w:rPr>
        <w:t>There were a number of techniques I do feel that I did well during this session</w:t>
      </w:r>
      <w:r w:rsidR="00741861" w:rsidRPr="00473852">
        <w:rPr>
          <w:rFonts w:cstheme="minorHAnsi"/>
          <w:sz w:val="24"/>
          <w:szCs w:val="24"/>
        </w:rPr>
        <w:t xml:space="preserve"> for example I made good use of silence, when C fell silent, I was not in a rush to prompt her but allowed her time to evaluate what she has just said and where she would like the conversation to go.</w:t>
      </w:r>
      <w:r w:rsidRPr="00473852">
        <w:rPr>
          <w:rFonts w:cstheme="minorHAnsi"/>
          <w:sz w:val="24"/>
          <w:szCs w:val="24"/>
        </w:rPr>
        <w:t xml:space="preserve"> </w:t>
      </w:r>
      <w:r w:rsidR="00473852" w:rsidRPr="00473852">
        <w:rPr>
          <w:rFonts w:cstheme="minorHAnsi"/>
          <w:sz w:val="24"/>
          <w:szCs w:val="24"/>
        </w:rPr>
        <w:t>Fortunately</w:t>
      </w:r>
      <w:r w:rsidR="00473852">
        <w:rPr>
          <w:rFonts w:cstheme="minorHAnsi"/>
          <w:sz w:val="24"/>
          <w:szCs w:val="24"/>
        </w:rPr>
        <w:t>,</w:t>
      </w:r>
      <w:r w:rsidR="00473852" w:rsidRPr="00473852">
        <w:rPr>
          <w:rFonts w:cstheme="minorHAnsi"/>
          <w:sz w:val="24"/>
          <w:szCs w:val="24"/>
        </w:rPr>
        <w:t xml:space="preserve"> there was no issues with the sound</w:t>
      </w:r>
      <w:r w:rsidR="00473852">
        <w:rPr>
          <w:rFonts w:cstheme="minorHAnsi"/>
          <w:sz w:val="24"/>
          <w:szCs w:val="24"/>
        </w:rPr>
        <w:t xml:space="preserve"> quality</w:t>
      </w:r>
      <w:r w:rsidR="00473852" w:rsidRPr="00473852">
        <w:rPr>
          <w:rFonts w:cstheme="minorHAnsi"/>
          <w:sz w:val="24"/>
          <w:szCs w:val="24"/>
        </w:rPr>
        <w:t xml:space="preserve"> so I could communicate verbally without any problems and I feel that my tone was soft, friendly and reassuring. </w:t>
      </w:r>
      <w:r w:rsidR="00741861" w:rsidRPr="00473852">
        <w:rPr>
          <w:rFonts w:cstheme="minorHAnsi"/>
          <w:sz w:val="24"/>
          <w:szCs w:val="24"/>
        </w:rPr>
        <w:t xml:space="preserve">I was effective in </w:t>
      </w:r>
      <w:r w:rsidRPr="00473852">
        <w:rPr>
          <w:rFonts w:cstheme="minorHAnsi"/>
          <w:sz w:val="24"/>
          <w:szCs w:val="24"/>
        </w:rPr>
        <w:t>recalling past sessions</w:t>
      </w:r>
      <w:r w:rsidR="00741861" w:rsidRPr="00473852">
        <w:rPr>
          <w:rFonts w:cstheme="minorHAnsi"/>
          <w:sz w:val="24"/>
          <w:szCs w:val="24"/>
        </w:rPr>
        <w:t xml:space="preserve"> in a useful way to show understanding of her.</w:t>
      </w:r>
      <w:r w:rsidR="00241AFC" w:rsidRPr="00473852">
        <w:rPr>
          <w:rFonts w:cstheme="minorHAnsi"/>
          <w:sz w:val="24"/>
          <w:szCs w:val="24"/>
        </w:rPr>
        <w:t xml:space="preserve"> </w:t>
      </w:r>
      <w:r w:rsidR="00741861" w:rsidRPr="00473852">
        <w:rPr>
          <w:rFonts w:cstheme="minorHAnsi"/>
          <w:sz w:val="24"/>
          <w:szCs w:val="24"/>
        </w:rPr>
        <w:t xml:space="preserve">For </w:t>
      </w:r>
      <w:r w:rsidR="00473852" w:rsidRPr="00473852">
        <w:rPr>
          <w:rFonts w:cstheme="minorHAnsi"/>
          <w:sz w:val="24"/>
          <w:szCs w:val="24"/>
        </w:rPr>
        <w:t>example,</w:t>
      </w:r>
      <w:r w:rsidR="00741861" w:rsidRPr="00473852">
        <w:rPr>
          <w:rFonts w:cstheme="minorHAnsi"/>
          <w:sz w:val="24"/>
          <w:szCs w:val="24"/>
        </w:rPr>
        <w:t xml:space="preserve"> s</w:t>
      </w:r>
      <w:r w:rsidR="00241AFC" w:rsidRPr="00473852">
        <w:rPr>
          <w:rFonts w:cstheme="minorHAnsi"/>
          <w:sz w:val="24"/>
          <w:szCs w:val="24"/>
        </w:rPr>
        <w:t xml:space="preserve">ince the death of her father C feels as though she had to take control of her life and become very organised. When faced with the issue to feeling out of control due to not being able to organise her studies as she wished I brought back the subject. By doing this I not only showed that I was listening in previous </w:t>
      </w:r>
      <w:r w:rsidR="003F6833" w:rsidRPr="00473852">
        <w:rPr>
          <w:rFonts w:cstheme="minorHAnsi"/>
          <w:sz w:val="24"/>
          <w:szCs w:val="24"/>
        </w:rPr>
        <w:t>sessions,</w:t>
      </w:r>
      <w:r w:rsidR="00241AFC" w:rsidRPr="00473852">
        <w:rPr>
          <w:rFonts w:cstheme="minorHAnsi"/>
          <w:sz w:val="24"/>
          <w:szCs w:val="24"/>
        </w:rPr>
        <w:t xml:space="preserve"> but it also </w:t>
      </w:r>
      <w:r w:rsidR="00741861" w:rsidRPr="00473852">
        <w:rPr>
          <w:rFonts w:cstheme="minorHAnsi"/>
          <w:sz w:val="24"/>
          <w:szCs w:val="24"/>
        </w:rPr>
        <w:t>led</w:t>
      </w:r>
      <w:r w:rsidR="00241AFC" w:rsidRPr="00473852">
        <w:rPr>
          <w:rFonts w:cstheme="minorHAnsi"/>
          <w:sz w:val="24"/>
          <w:szCs w:val="24"/>
        </w:rPr>
        <w:t xml:space="preserve"> her to revealing that “It would be nice to be able to trust someone enough to get things done as I do them”. </w:t>
      </w:r>
      <w:r w:rsidR="00741861" w:rsidRPr="00473852">
        <w:rPr>
          <w:rFonts w:cstheme="minorHAnsi"/>
          <w:sz w:val="24"/>
          <w:szCs w:val="24"/>
        </w:rPr>
        <w:t>Which I feel is a very revealing thing for her to say. I also was able to make good</w:t>
      </w:r>
      <w:r w:rsidR="00473852" w:rsidRPr="00473852">
        <w:rPr>
          <w:rFonts w:cstheme="minorHAnsi"/>
          <w:sz w:val="24"/>
          <w:szCs w:val="24"/>
        </w:rPr>
        <w:t xml:space="preserve"> use</w:t>
      </w:r>
      <w:r w:rsidR="00741861" w:rsidRPr="00473852">
        <w:rPr>
          <w:rFonts w:cstheme="minorHAnsi"/>
          <w:sz w:val="24"/>
          <w:szCs w:val="24"/>
        </w:rPr>
        <w:t xml:space="preserve"> of my summarising</w:t>
      </w:r>
      <w:r w:rsidR="00C0059A">
        <w:rPr>
          <w:rFonts w:cstheme="minorHAnsi"/>
          <w:sz w:val="24"/>
          <w:szCs w:val="24"/>
        </w:rPr>
        <w:t xml:space="preserve"> and paraphrasing</w:t>
      </w:r>
      <w:r w:rsidR="00741861" w:rsidRPr="00473852">
        <w:rPr>
          <w:rFonts w:cstheme="minorHAnsi"/>
          <w:sz w:val="24"/>
          <w:szCs w:val="24"/>
        </w:rPr>
        <w:t xml:space="preserve"> skills at several point in the session but the one I am most happy with is my summarising of C’s guilt at not being able to care for her boys in all the ways that she wishes she could</w:t>
      </w:r>
      <w:r w:rsidR="00473852" w:rsidRPr="00473852">
        <w:rPr>
          <w:rFonts w:cstheme="minorHAnsi"/>
          <w:sz w:val="24"/>
          <w:szCs w:val="24"/>
        </w:rPr>
        <w:t xml:space="preserve"> though. I summarised </w:t>
      </w:r>
      <w:r w:rsidR="00741861" w:rsidRPr="00473852">
        <w:rPr>
          <w:rFonts w:cstheme="minorHAnsi"/>
          <w:sz w:val="24"/>
          <w:szCs w:val="24"/>
        </w:rPr>
        <w:t xml:space="preserve">that it sounds like this has more of an </w:t>
      </w:r>
      <w:r w:rsidR="003F6833" w:rsidRPr="00473852">
        <w:rPr>
          <w:rFonts w:cstheme="minorHAnsi"/>
          <w:sz w:val="24"/>
          <w:szCs w:val="24"/>
        </w:rPr>
        <w:t>effect</w:t>
      </w:r>
      <w:r w:rsidR="00741861" w:rsidRPr="00473852">
        <w:rPr>
          <w:rFonts w:cstheme="minorHAnsi"/>
          <w:sz w:val="24"/>
          <w:szCs w:val="24"/>
        </w:rPr>
        <w:t xml:space="preserve"> on her than on her “boys”. I feel that this was an accurate summary of what she was expressing and a positive way to do so. </w:t>
      </w:r>
    </w:p>
    <w:p w14:paraId="20973A8F" w14:textId="0DEB2FDD" w:rsidR="00241AFC" w:rsidRPr="00473852" w:rsidRDefault="3E76DC01" w:rsidP="3E76DC01">
      <w:pPr>
        <w:tabs>
          <w:tab w:val="left" w:pos="2216"/>
        </w:tabs>
        <w:spacing w:line="360" w:lineRule="auto"/>
        <w:jc w:val="both"/>
        <w:rPr>
          <w:sz w:val="24"/>
          <w:szCs w:val="24"/>
        </w:rPr>
      </w:pPr>
      <w:r w:rsidRPr="3E76DC01">
        <w:rPr>
          <w:sz w:val="24"/>
          <w:szCs w:val="24"/>
        </w:rPr>
        <w:lastRenderedPageBreak/>
        <w:t>In conclusions this session had its good and bad points. Some areas to be proud of and some to work on. I felt that I have a friendly and approachable manner, I spoke softly and made good use of silence, paraphrasing, and recalling information. Body language could be improved by concentrating more on my eye movements and closer monitoring of my fidgeting</w:t>
      </w:r>
      <w:r w:rsidR="003F6833">
        <w:rPr>
          <w:sz w:val="24"/>
          <w:szCs w:val="24"/>
        </w:rPr>
        <w:t xml:space="preserve"> which in future I will try to be more aware of</w:t>
      </w:r>
      <w:r w:rsidRPr="3E76DC01">
        <w:rPr>
          <w:sz w:val="24"/>
          <w:szCs w:val="24"/>
        </w:rPr>
        <w:t xml:space="preserve">. I missed a few opportunities to dig deeper but also was able to pick up on some good points also. There were a few issues regarding the new medium of the counselling skill sessions that could be improved on by becoming more familiar with the software, camera angles and lighting. Though I feel that the use of video communication while both client and counsellor where in their home environment made for a more relaxed and natural exchange even though the set up was foreign to us both. </w:t>
      </w:r>
      <w:r w:rsidRPr="3E76DC01">
        <w:rPr>
          <w:sz w:val="24"/>
          <w:szCs w:val="24"/>
        </w:rPr>
        <w:t>Overall,</w:t>
      </w:r>
      <w:r w:rsidRPr="3E76DC01">
        <w:rPr>
          <w:sz w:val="24"/>
          <w:szCs w:val="24"/>
        </w:rPr>
        <w:t xml:space="preserve"> I was able to engage in a relaxed conversation in which C and I were able to cover several sensitive topics that may not have been possible if I was not able to create and maintain a therapeutic environment. </w:t>
      </w:r>
    </w:p>
    <w:p w14:paraId="6C7E602A" w14:textId="4F25DC96" w:rsidR="008B1210" w:rsidRPr="00473852" w:rsidRDefault="008B1210" w:rsidP="00473852">
      <w:pPr>
        <w:tabs>
          <w:tab w:val="left" w:pos="2216"/>
        </w:tabs>
        <w:spacing w:line="360" w:lineRule="auto"/>
        <w:jc w:val="both"/>
        <w:rPr>
          <w:rFonts w:cstheme="minorHAnsi"/>
          <w:sz w:val="24"/>
          <w:szCs w:val="24"/>
        </w:rPr>
      </w:pPr>
    </w:p>
    <w:p w14:paraId="7A8C4E1D" w14:textId="3BB64557" w:rsidR="008B1210" w:rsidRDefault="008B1210" w:rsidP="00473852">
      <w:pPr>
        <w:tabs>
          <w:tab w:val="left" w:pos="2216"/>
        </w:tabs>
        <w:spacing w:line="360" w:lineRule="auto"/>
        <w:jc w:val="both"/>
        <w:rPr>
          <w:rFonts w:cstheme="minorHAnsi"/>
          <w:sz w:val="24"/>
          <w:szCs w:val="24"/>
        </w:rPr>
      </w:pPr>
    </w:p>
    <w:p w14:paraId="5A8EE010" w14:textId="3636AE43" w:rsidR="00C0059A" w:rsidRDefault="00C0059A" w:rsidP="00473852">
      <w:pPr>
        <w:tabs>
          <w:tab w:val="left" w:pos="2216"/>
        </w:tabs>
        <w:spacing w:line="360" w:lineRule="auto"/>
        <w:jc w:val="both"/>
        <w:rPr>
          <w:rFonts w:cstheme="minorHAnsi"/>
          <w:sz w:val="24"/>
          <w:szCs w:val="24"/>
        </w:rPr>
      </w:pPr>
    </w:p>
    <w:p w14:paraId="6AC8221E" w14:textId="1AD1DAAD" w:rsidR="00C0059A" w:rsidRDefault="00C0059A" w:rsidP="00473852">
      <w:pPr>
        <w:tabs>
          <w:tab w:val="left" w:pos="2216"/>
        </w:tabs>
        <w:spacing w:line="360" w:lineRule="auto"/>
        <w:jc w:val="both"/>
        <w:rPr>
          <w:rFonts w:cstheme="minorHAnsi"/>
          <w:sz w:val="24"/>
          <w:szCs w:val="24"/>
        </w:rPr>
      </w:pPr>
    </w:p>
    <w:p w14:paraId="7FBEE966" w14:textId="5A0CE3FE" w:rsidR="00C0059A" w:rsidRDefault="00C0059A" w:rsidP="00473852">
      <w:pPr>
        <w:tabs>
          <w:tab w:val="left" w:pos="2216"/>
        </w:tabs>
        <w:spacing w:line="360" w:lineRule="auto"/>
        <w:jc w:val="both"/>
        <w:rPr>
          <w:rFonts w:cstheme="minorHAnsi"/>
          <w:sz w:val="24"/>
          <w:szCs w:val="24"/>
        </w:rPr>
      </w:pPr>
    </w:p>
    <w:p w14:paraId="3B935D84" w14:textId="1F776D6B" w:rsidR="00C0059A" w:rsidRDefault="00C0059A" w:rsidP="00473852">
      <w:pPr>
        <w:tabs>
          <w:tab w:val="left" w:pos="2216"/>
        </w:tabs>
        <w:spacing w:line="360" w:lineRule="auto"/>
        <w:jc w:val="both"/>
        <w:rPr>
          <w:rFonts w:cstheme="minorHAnsi"/>
          <w:sz w:val="24"/>
          <w:szCs w:val="24"/>
        </w:rPr>
      </w:pPr>
    </w:p>
    <w:p w14:paraId="43AD5AE4" w14:textId="6C84BF6E" w:rsidR="00C0059A" w:rsidRDefault="00C0059A" w:rsidP="00473852">
      <w:pPr>
        <w:tabs>
          <w:tab w:val="left" w:pos="2216"/>
        </w:tabs>
        <w:spacing w:line="360" w:lineRule="auto"/>
        <w:jc w:val="both"/>
        <w:rPr>
          <w:rFonts w:cstheme="minorHAnsi"/>
          <w:sz w:val="24"/>
          <w:szCs w:val="24"/>
        </w:rPr>
      </w:pPr>
    </w:p>
    <w:p w14:paraId="3BB0E0AA" w14:textId="0BA79D6C" w:rsidR="00C0059A" w:rsidRDefault="00C0059A" w:rsidP="00473852">
      <w:pPr>
        <w:tabs>
          <w:tab w:val="left" w:pos="2216"/>
        </w:tabs>
        <w:spacing w:line="360" w:lineRule="auto"/>
        <w:jc w:val="both"/>
        <w:rPr>
          <w:rFonts w:cstheme="minorHAnsi"/>
          <w:sz w:val="24"/>
          <w:szCs w:val="24"/>
        </w:rPr>
      </w:pPr>
    </w:p>
    <w:p w14:paraId="384EEC89" w14:textId="46D5155E" w:rsidR="00C0059A" w:rsidRDefault="00C0059A" w:rsidP="00473852">
      <w:pPr>
        <w:tabs>
          <w:tab w:val="left" w:pos="2216"/>
        </w:tabs>
        <w:spacing w:line="360" w:lineRule="auto"/>
        <w:jc w:val="both"/>
        <w:rPr>
          <w:rFonts w:cstheme="minorHAnsi"/>
          <w:sz w:val="24"/>
          <w:szCs w:val="24"/>
        </w:rPr>
      </w:pPr>
    </w:p>
    <w:p w14:paraId="77A18991" w14:textId="0B277864" w:rsidR="00C0059A" w:rsidRDefault="00C0059A" w:rsidP="00473852">
      <w:pPr>
        <w:tabs>
          <w:tab w:val="left" w:pos="2216"/>
        </w:tabs>
        <w:spacing w:line="360" w:lineRule="auto"/>
        <w:jc w:val="both"/>
        <w:rPr>
          <w:rFonts w:cstheme="minorHAnsi"/>
          <w:sz w:val="24"/>
          <w:szCs w:val="24"/>
        </w:rPr>
      </w:pPr>
    </w:p>
    <w:p w14:paraId="0442396C" w14:textId="7BA19456" w:rsidR="00C0059A" w:rsidRDefault="00C0059A" w:rsidP="00473852">
      <w:pPr>
        <w:tabs>
          <w:tab w:val="left" w:pos="2216"/>
        </w:tabs>
        <w:spacing w:line="360" w:lineRule="auto"/>
        <w:jc w:val="both"/>
        <w:rPr>
          <w:rFonts w:cstheme="minorHAnsi"/>
          <w:sz w:val="24"/>
          <w:szCs w:val="24"/>
        </w:rPr>
      </w:pPr>
    </w:p>
    <w:p w14:paraId="00C4989D" w14:textId="111F6BC5" w:rsidR="00C0059A" w:rsidRDefault="00C0059A" w:rsidP="00473852">
      <w:pPr>
        <w:tabs>
          <w:tab w:val="left" w:pos="2216"/>
        </w:tabs>
        <w:spacing w:line="360" w:lineRule="auto"/>
        <w:jc w:val="both"/>
        <w:rPr>
          <w:rFonts w:cstheme="minorHAnsi"/>
          <w:sz w:val="24"/>
          <w:szCs w:val="24"/>
        </w:rPr>
      </w:pPr>
    </w:p>
    <w:p w14:paraId="7D7628E6" w14:textId="390BFE12" w:rsidR="00C0059A" w:rsidRDefault="00C0059A" w:rsidP="00473852">
      <w:pPr>
        <w:tabs>
          <w:tab w:val="left" w:pos="2216"/>
        </w:tabs>
        <w:spacing w:line="360" w:lineRule="auto"/>
        <w:jc w:val="both"/>
        <w:rPr>
          <w:rFonts w:cstheme="minorHAnsi"/>
          <w:sz w:val="24"/>
          <w:szCs w:val="24"/>
        </w:rPr>
      </w:pPr>
    </w:p>
    <w:p w14:paraId="1C1EDA2C" w14:textId="66A49775" w:rsidR="00C0059A" w:rsidRDefault="00C0059A" w:rsidP="00473852">
      <w:pPr>
        <w:tabs>
          <w:tab w:val="left" w:pos="2216"/>
        </w:tabs>
        <w:spacing w:line="360" w:lineRule="auto"/>
        <w:jc w:val="both"/>
        <w:rPr>
          <w:rFonts w:cstheme="minorHAnsi"/>
          <w:sz w:val="24"/>
          <w:szCs w:val="24"/>
        </w:rPr>
      </w:pPr>
    </w:p>
    <w:p w14:paraId="53535CA9" w14:textId="4016B495" w:rsidR="00C0059A" w:rsidRDefault="00C0059A" w:rsidP="00473852">
      <w:pPr>
        <w:tabs>
          <w:tab w:val="left" w:pos="2216"/>
        </w:tabs>
        <w:spacing w:line="360" w:lineRule="auto"/>
        <w:jc w:val="both"/>
        <w:rPr>
          <w:rFonts w:cstheme="minorHAnsi"/>
          <w:sz w:val="24"/>
          <w:szCs w:val="24"/>
        </w:rPr>
      </w:pPr>
    </w:p>
    <w:p w14:paraId="421A9544" w14:textId="10DD2314" w:rsidR="00C0059A" w:rsidRDefault="00C0059A" w:rsidP="00473852">
      <w:pPr>
        <w:tabs>
          <w:tab w:val="left" w:pos="2216"/>
        </w:tabs>
        <w:spacing w:line="360" w:lineRule="auto"/>
        <w:jc w:val="both"/>
        <w:rPr>
          <w:rFonts w:cstheme="minorHAnsi"/>
          <w:sz w:val="24"/>
          <w:szCs w:val="24"/>
        </w:rPr>
      </w:pPr>
    </w:p>
    <w:p w14:paraId="0E9773C9" w14:textId="63419E5D" w:rsidR="00C0059A" w:rsidRDefault="00C0059A" w:rsidP="00473852">
      <w:pPr>
        <w:tabs>
          <w:tab w:val="left" w:pos="2216"/>
        </w:tabs>
        <w:spacing w:line="360" w:lineRule="auto"/>
        <w:jc w:val="both"/>
        <w:rPr>
          <w:rFonts w:cstheme="minorHAnsi"/>
          <w:sz w:val="24"/>
          <w:szCs w:val="24"/>
        </w:rPr>
      </w:pPr>
    </w:p>
    <w:p w14:paraId="67654666" w14:textId="77777777" w:rsidR="00C0059A" w:rsidRPr="00473852" w:rsidRDefault="00C0059A" w:rsidP="00473852">
      <w:pPr>
        <w:tabs>
          <w:tab w:val="left" w:pos="2216"/>
        </w:tabs>
        <w:spacing w:line="360" w:lineRule="auto"/>
        <w:jc w:val="both"/>
        <w:rPr>
          <w:rFonts w:cstheme="minorHAnsi"/>
          <w:sz w:val="24"/>
          <w:szCs w:val="24"/>
        </w:rPr>
      </w:pPr>
    </w:p>
    <w:p w14:paraId="7C0B0A93" w14:textId="77777777" w:rsidR="00473852" w:rsidRDefault="00473852" w:rsidP="00473852">
      <w:pPr>
        <w:tabs>
          <w:tab w:val="left" w:pos="2216"/>
        </w:tabs>
        <w:spacing w:line="360" w:lineRule="auto"/>
        <w:jc w:val="both"/>
        <w:rPr>
          <w:rFonts w:cstheme="minorHAnsi"/>
          <w:sz w:val="24"/>
          <w:szCs w:val="24"/>
        </w:rPr>
      </w:pPr>
    </w:p>
    <w:p w14:paraId="42AD68F9" w14:textId="5D616275" w:rsidR="00473852" w:rsidRPr="00473852" w:rsidRDefault="00473852" w:rsidP="00473852">
      <w:pPr>
        <w:tabs>
          <w:tab w:val="left" w:pos="2216"/>
        </w:tabs>
        <w:spacing w:line="360" w:lineRule="auto"/>
        <w:jc w:val="both"/>
        <w:rPr>
          <w:rFonts w:cstheme="minorHAnsi"/>
          <w:sz w:val="24"/>
          <w:szCs w:val="24"/>
        </w:rPr>
      </w:pPr>
      <w:r>
        <w:rPr>
          <w:rFonts w:cstheme="minorHAnsi"/>
          <w:sz w:val="24"/>
          <w:szCs w:val="24"/>
        </w:rPr>
        <w:t>References:</w:t>
      </w:r>
    </w:p>
    <w:p w14:paraId="4B58C5DD" w14:textId="77777777" w:rsidR="00036B9F" w:rsidRPr="00473852" w:rsidRDefault="00036B9F" w:rsidP="00473852">
      <w:pPr>
        <w:tabs>
          <w:tab w:val="left" w:pos="2216"/>
        </w:tabs>
        <w:ind w:left="2217" w:hanging="2217"/>
        <w:rPr>
          <w:rFonts w:cstheme="minorHAnsi"/>
          <w:sz w:val="24"/>
          <w:szCs w:val="24"/>
        </w:rPr>
      </w:pPr>
      <w:r w:rsidRPr="00473852">
        <w:rPr>
          <w:rFonts w:cstheme="minorHAnsi"/>
          <w:sz w:val="24"/>
          <w:szCs w:val="24"/>
        </w:rPr>
        <w:t>BACP (2018) Ethical Framework for the Counselling Professions. Lutterworth: BACP.</w:t>
      </w:r>
    </w:p>
    <w:p w14:paraId="27AB8A06" w14:textId="77777777" w:rsidR="00036B9F" w:rsidRPr="00473852" w:rsidRDefault="00036B9F" w:rsidP="00473852">
      <w:pPr>
        <w:tabs>
          <w:tab w:val="left" w:pos="2216"/>
        </w:tabs>
        <w:ind w:left="2217" w:hanging="2217"/>
        <w:rPr>
          <w:rFonts w:cstheme="minorHAnsi"/>
          <w:sz w:val="24"/>
          <w:szCs w:val="24"/>
          <w:shd w:val="clear" w:color="auto" w:fill="FFFFFF"/>
        </w:rPr>
      </w:pPr>
      <w:r w:rsidRPr="00473852">
        <w:rPr>
          <w:rFonts w:cstheme="minorHAnsi"/>
          <w:sz w:val="24"/>
          <w:szCs w:val="24"/>
          <w:shd w:val="clear" w:color="auto" w:fill="FFFFFF"/>
        </w:rPr>
        <w:t>Berlin, R. M., Olson, M. E., Cano, C. E., &amp; Engel, S. (1991). Metaphor and psychotherapy. </w:t>
      </w:r>
      <w:r w:rsidRPr="00473852">
        <w:rPr>
          <w:rFonts w:cstheme="minorHAnsi"/>
          <w:i/>
          <w:iCs/>
          <w:sz w:val="24"/>
          <w:szCs w:val="24"/>
          <w:shd w:val="clear" w:color="auto" w:fill="FFFFFF"/>
        </w:rPr>
        <w:t>American Journal of Psychotherapy</w:t>
      </w:r>
      <w:r w:rsidRPr="00473852">
        <w:rPr>
          <w:rFonts w:cstheme="minorHAnsi"/>
          <w:sz w:val="24"/>
          <w:szCs w:val="24"/>
          <w:shd w:val="clear" w:color="auto" w:fill="FFFFFF"/>
        </w:rPr>
        <w:t>, </w:t>
      </w:r>
      <w:r w:rsidRPr="00473852">
        <w:rPr>
          <w:rFonts w:cstheme="minorHAnsi"/>
          <w:i/>
          <w:iCs/>
          <w:sz w:val="24"/>
          <w:szCs w:val="24"/>
          <w:shd w:val="clear" w:color="auto" w:fill="FFFFFF"/>
        </w:rPr>
        <w:t>45</w:t>
      </w:r>
      <w:r w:rsidRPr="00473852">
        <w:rPr>
          <w:rFonts w:cstheme="minorHAnsi"/>
          <w:sz w:val="24"/>
          <w:szCs w:val="24"/>
          <w:shd w:val="clear" w:color="auto" w:fill="FFFFFF"/>
        </w:rPr>
        <w:t>(3), 359-367.</w:t>
      </w:r>
    </w:p>
    <w:p w14:paraId="7ADAE0BE" w14:textId="77777777" w:rsidR="00036B9F" w:rsidRPr="00473852" w:rsidRDefault="00036B9F" w:rsidP="00473852">
      <w:pPr>
        <w:tabs>
          <w:tab w:val="left" w:pos="2216"/>
        </w:tabs>
        <w:ind w:left="2217" w:hanging="2217"/>
        <w:rPr>
          <w:rFonts w:cstheme="minorHAnsi"/>
          <w:sz w:val="24"/>
          <w:szCs w:val="24"/>
          <w:shd w:val="clear" w:color="auto" w:fill="FFFFFF"/>
        </w:rPr>
      </w:pPr>
      <w:r w:rsidRPr="00473852">
        <w:rPr>
          <w:rFonts w:cstheme="minorHAnsi"/>
          <w:sz w:val="24"/>
          <w:szCs w:val="24"/>
          <w:shd w:val="clear" w:color="auto" w:fill="FFFFFF"/>
        </w:rPr>
        <w:t>Dowell, N. M., &amp; Berman, J. S. (2013). Therapist nonverbal behavior and perceptions of empathy, alliance, and treatment credibility. </w:t>
      </w:r>
      <w:r w:rsidRPr="00473852">
        <w:rPr>
          <w:rFonts w:cstheme="minorHAnsi"/>
          <w:i/>
          <w:iCs/>
          <w:sz w:val="24"/>
          <w:szCs w:val="24"/>
          <w:shd w:val="clear" w:color="auto" w:fill="FFFFFF"/>
        </w:rPr>
        <w:t>Journal of Psychotherapy Integration</w:t>
      </w:r>
      <w:r w:rsidRPr="00473852">
        <w:rPr>
          <w:rFonts w:cstheme="minorHAnsi"/>
          <w:sz w:val="24"/>
          <w:szCs w:val="24"/>
          <w:shd w:val="clear" w:color="auto" w:fill="FFFFFF"/>
        </w:rPr>
        <w:t>, </w:t>
      </w:r>
      <w:r w:rsidRPr="00473852">
        <w:rPr>
          <w:rFonts w:cstheme="minorHAnsi"/>
          <w:i/>
          <w:iCs/>
          <w:sz w:val="24"/>
          <w:szCs w:val="24"/>
          <w:shd w:val="clear" w:color="auto" w:fill="FFFFFF"/>
        </w:rPr>
        <w:t>23</w:t>
      </w:r>
      <w:r w:rsidRPr="00473852">
        <w:rPr>
          <w:rFonts w:cstheme="minorHAnsi"/>
          <w:sz w:val="24"/>
          <w:szCs w:val="24"/>
          <w:shd w:val="clear" w:color="auto" w:fill="FFFFFF"/>
        </w:rPr>
        <w:t>(2), 158.</w:t>
      </w:r>
    </w:p>
    <w:p w14:paraId="39ECCDB0" w14:textId="77777777" w:rsidR="00036B9F" w:rsidRPr="00473852" w:rsidRDefault="00036B9F" w:rsidP="00473852">
      <w:pPr>
        <w:tabs>
          <w:tab w:val="left" w:pos="2216"/>
        </w:tabs>
        <w:ind w:left="2217" w:hanging="2217"/>
        <w:rPr>
          <w:rFonts w:cstheme="minorHAnsi"/>
          <w:sz w:val="24"/>
          <w:szCs w:val="24"/>
          <w:shd w:val="clear" w:color="auto" w:fill="FFFFFF"/>
        </w:rPr>
      </w:pPr>
      <w:r w:rsidRPr="00963920">
        <w:rPr>
          <w:rFonts w:cstheme="minorHAnsi"/>
          <w:sz w:val="24"/>
          <w:szCs w:val="24"/>
          <w:shd w:val="clear" w:color="auto" w:fill="FFFFFF"/>
        </w:rPr>
        <w:t>Gibbs G (1988). Learning by Doing: A guide to teaching and learning methods. Further Education Unit. Oxford Polytechnic: Oxford.</w:t>
      </w:r>
    </w:p>
    <w:p w14:paraId="4C9BABBC" w14:textId="77777777" w:rsidR="00036B9F" w:rsidRPr="00473852" w:rsidRDefault="00036B9F" w:rsidP="00473852">
      <w:pPr>
        <w:ind w:left="2217" w:hanging="2217"/>
        <w:rPr>
          <w:rFonts w:cstheme="minorHAnsi"/>
          <w:sz w:val="24"/>
          <w:szCs w:val="24"/>
          <w:lang w:val="en-US"/>
        </w:rPr>
      </w:pPr>
      <w:r w:rsidRPr="00473852">
        <w:rPr>
          <w:rFonts w:cstheme="minorHAnsi"/>
          <w:sz w:val="24"/>
          <w:szCs w:val="24"/>
          <w:lang w:val="en-US"/>
        </w:rPr>
        <w:t xml:space="preserve">Gov.uk, (2021, 4 January). </w:t>
      </w:r>
      <w:r w:rsidRPr="00473852">
        <w:rPr>
          <w:rFonts w:cstheme="minorHAnsi"/>
          <w:i/>
          <w:iCs/>
          <w:sz w:val="24"/>
          <w:szCs w:val="24"/>
          <w:lang w:val="en-US"/>
        </w:rPr>
        <w:t>National lockdown: stay at home.</w:t>
      </w:r>
      <w:r w:rsidRPr="00473852">
        <w:rPr>
          <w:rFonts w:cstheme="minorHAnsi"/>
          <w:sz w:val="24"/>
          <w:szCs w:val="24"/>
          <w:lang w:val="en-US"/>
        </w:rPr>
        <w:t xml:space="preserve"> </w:t>
      </w:r>
      <w:hyperlink r:id="rId5" w:history="1">
        <w:r w:rsidRPr="00473852">
          <w:rPr>
            <w:rStyle w:val="Hyperlink"/>
            <w:rFonts w:cstheme="minorHAnsi"/>
            <w:color w:val="auto"/>
            <w:sz w:val="24"/>
            <w:szCs w:val="24"/>
            <w:lang w:val="en-US"/>
          </w:rPr>
          <w:t>https://www.gov.uk/guidance/national-lockdown-stay-at-home</w:t>
        </w:r>
      </w:hyperlink>
      <w:r w:rsidRPr="00473852">
        <w:rPr>
          <w:rFonts w:cstheme="minorHAnsi"/>
          <w:sz w:val="24"/>
          <w:szCs w:val="24"/>
          <w:lang w:val="en-US"/>
        </w:rPr>
        <w:t xml:space="preserve">  </w:t>
      </w:r>
    </w:p>
    <w:p w14:paraId="0B181A20" w14:textId="77777777" w:rsidR="00036B9F" w:rsidRPr="00473852" w:rsidRDefault="00036B9F" w:rsidP="00473852">
      <w:pPr>
        <w:tabs>
          <w:tab w:val="left" w:pos="2216"/>
        </w:tabs>
        <w:ind w:left="2217" w:hanging="2217"/>
        <w:rPr>
          <w:rFonts w:cstheme="minorHAnsi"/>
          <w:sz w:val="24"/>
          <w:szCs w:val="24"/>
          <w:shd w:val="clear" w:color="auto" w:fill="FFFFFF"/>
        </w:rPr>
      </w:pPr>
      <w:r w:rsidRPr="00473852">
        <w:rPr>
          <w:rFonts w:cstheme="minorHAnsi"/>
          <w:sz w:val="24"/>
          <w:szCs w:val="24"/>
          <w:shd w:val="clear" w:color="auto" w:fill="FFFFFF"/>
        </w:rPr>
        <w:t>Jenkins, P., Palmer, S., &amp; Woolfe, R. (2000). Gerard Egan's skilled helper model. </w:t>
      </w:r>
      <w:r w:rsidRPr="00473852">
        <w:rPr>
          <w:rFonts w:cstheme="minorHAnsi"/>
          <w:i/>
          <w:iCs/>
          <w:sz w:val="24"/>
          <w:szCs w:val="24"/>
          <w:shd w:val="clear" w:color="auto" w:fill="FFFFFF"/>
        </w:rPr>
        <w:t>Integrative and eclectic counselling and psychotherapy</w:t>
      </w:r>
      <w:r w:rsidRPr="00473852">
        <w:rPr>
          <w:rFonts w:cstheme="minorHAnsi"/>
          <w:sz w:val="24"/>
          <w:szCs w:val="24"/>
          <w:shd w:val="clear" w:color="auto" w:fill="FFFFFF"/>
        </w:rPr>
        <w:t>, 163-180.</w:t>
      </w:r>
    </w:p>
    <w:p w14:paraId="36AEF466" w14:textId="77777777" w:rsidR="00036B9F" w:rsidRPr="00473852" w:rsidRDefault="00036B9F" w:rsidP="00473852">
      <w:pPr>
        <w:tabs>
          <w:tab w:val="left" w:pos="2216"/>
        </w:tabs>
        <w:ind w:left="2217" w:hanging="2217"/>
        <w:rPr>
          <w:rFonts w:cstheme="minorHAnsi"/>
          <w:sz w:val="24"/>
          <w:szCs w:val="24"/>
          <w:shd w:val="clear" w:color="auto" w:fill="FFFFFF"/>
        </w:rPr>
      </w:pPr>
      <w:r w:rsidRPr="00473852">
        <w:rPr>
          <w:rFonts w:cstheme="minorHAnsi"/>
          <w:sz w:val="24"/>
          <w:szCs w:val="24"/>
          <w:shd w:val="clear" w:color="auto" w:fill="FFFFFF"/>
        </w:rPr>
        <w:t>Kocsis, B. J., &amp; Yellowlees, P. (2018). Telepsychotherapy and the therapeutic relationship: Principles, advantages, and case examples. </w:t>
      </w:r>
      <w:r w:rsidRPr="00473852">
        <w:rPr>
          <w:rFonts w:cstheme="minorHAnsi"/>
          <w:i/>
          <w:iCs/>
          <w:sz w:val="24"/>
          <w:szCs w:val="24"/>
          <w:shd w:val="clear" w:color="auto" w:fill="FFFFFF"/>
        </w:rPr>
        <w:t>Telemedicine and e-Health</w:t>
      </w:r>
      <w:r w:rsidRPr="00473852">
        <w:rPr>
          <w:rFonts w:cstheme="minorHAnsi"/>
          <w:sz w:val="24"/>
          <w:szCs w:val="24"/>
          <w:shd w:val="clear" w:color="auto" w:fill="FFFFFF"/>
        </w:rPr>
        <w:t>, </w:t>
      </w:r>
      <w:r w:rsidRPr="00473852">
        <w:rPr>
          <w:rFonts w:cstheme="minorHAnsi"/>
          <w:i/>
          <w:iCs/>
          <w:sz w:val="24"/>
          <w:szCs w:val="24"/>
          <w:shd w:val="clear" w:color="auto" w:fill="FFFFFF"/>
        </w:rPr>
        <w:t>24</w:t>
      </w:r>
      <w:r w:rsidRPr="00473852">
        <w:rPr>
          <w:rFonts w:cstheme="minorHAnsi"/>
          <w:sz w:val="24"/>
          <w:szCs w:val="24"/>
          <w:shd w:val="clear" w:color="auto" w:fill="FFFFFF"/>
        </w:rPr>
        <w:t>(5), 329-334.</w:t>
      </w:r>
    </w:p>
    <w:p w14:paraId="70E2BE6D" w14:textId="77777777" w:rsidR="00036B9F" w:rsidRPr="00473852" w:rsidRDefault="00036B9F" w:rsidP="00473852">
      <w:pPr>
        <w:tabs>
          <w:tab w:val="left" w:pos="2216"/>
        </w:tabs>
        <w:ind w:left="2217" w:hanging="2217"/>
        <w:rPr>
          <w:rFonts w:cstheme="minorHAnsi"/>
          <w:sz w:val="24"/>
          <w:szCs w:val="24"/>
          <w:shd w:val="clear" w:color="auto" w:fill="FFFFFF"/>
        </w:rPr>
      </w:pPr>
      <w:r w:rsidRPr="00473852">
        <w:rPr>
          <w:rFonts w:cstheme="minorHAnsi"/>
          <w:sz w:val="24"/>
          <w:szCs w:val="24"/>
          <w:shd w:val="clear" w:color="auto" w:fill="FFFFFF"/>
        </w:rPr>
        <w:t>Meissner, W. W. (1996). </w:t>
      </w:r>
      <w:r w:rsidRPr="00473852">
        <w:rPr>
          <w:rFonts w:cstheme="minorHAnsi"/>
          <w:i/>
          <w:iCs/>
          <w:sz w:val="24"/>
          <w:szCs w:val="24"/>
          <w:shd w:val="clear" w:color="auto" w:fill="FFFFFF"/>
        </w:rPr>
        <w:t>The therapeutic alliance</w:t>
      </w:r>
      <w:r w:rsidRPr="00473852">
        <w:rPr>
          <w:rFonts w:cstheme="minorHAnsi"/>
          <w:sz w:val="24"/>
          <w:szCs w:val="24"/>
          <w:shd w:val="clear" w:color="auto" w:fill="FFFFFF"/>
        </w:rPr>
        <w:t>. Yale University Press.</w:t>
      </w:r>
    </w:p>
    <w:p w14:paraId="45B03F7A" w14:textId="77777777" w:rsidR="00036B9F" w:rsidRPr="00473852" w:rsidRDefault="00036B9F" w:rsidP="00473852">
      <w:pPr>
        <w:tabs>
          <w:tab w:val="left" w:pos="2216"/>
        </w:tabs>
        <w:ind w:left="2217" w:hanging="2217"/>
        <w:rPr>
          <w:rFonts w:cstheme="minorHAnsi"/>
          <w:sz w:val="24"/>
          <w:szCs w:val="24"/>
          <w:shd w:val="clear" w:color="auto" w:fill="FFFFFF"/>
        </w:rPr>
      </w:pPr>
      <w:r w:rsidRPr="00473852">
        <w:rPr>
          <w:rFonts w:cstheme="minorHAnsi"/>
          <w:sz w:val="24"/>
          <w:szCs w:val="24"/>
          <w:shd w:val="clear" w:color="auto" w:fill="FFFFFF"/>
        </w:rPr>
        <w:t>Rogers, C. (1957). </w:t>
      </w:r>
      <w:hyperlink r:id="rId6" w:tgtFrame="_blank" w:history="1">
        <w:r w:rsidRPr="00473852">
          <w:rPr>
            <w:rStyle w:val="Hyperlink"/>
            <w:rFonts w:cstheme="minorHAnsi"/>
            <w:color w:val="auto"/>
            <w:sz w:val="24"/>
            <w:szCs w:val="24"/>
            <w:u w:val="none"/>
            <w:shd w:val="clear" w:color="auto" w:fill="FFFFFF"/>
          </w:rPr>
          <w:t>The necessary and sufficient conditions of therapeutic personality change.</w:t>
        </w:r>
      </w:hyperlink>
      <w:r w:rsidRPr="00473852">
        <w:rPr>
          <w:rFonts w:cstheme="minorHAnsi"/>
          <w:sz w:val="24"/>
          <w:szCs w:val="24"/>
          <w:shd w:val="clear" w:color="auto" w:fill="FFFFFF"/>
        </w:rPr>
        <w:t> </w:t>
      </w:r>
      <w:r w:rsidRPr="00473852">
        <w:rPr>
          <w:rFonts w:cstheme="minorHAnsi"/>
          <w:i/>
          <w:iCs/>
          <w:sz w:val="24"/>
          <w:szCs w:val="24"/>
          <w:shd w:val="clear" w:color="auto" w:fill="FFFFFF"/>
        </w:rPr>
        <w:t>Journal of Consulting Psychology</w:t>
      </w:r>
      <w:r w:rsidRPr="00473852">
        <w:rPr>
          <w:rFonts w:cstheme="minorHAnsi"/>
          <w:sz w:val="24"/>
          <w:szCs w:val="24"/>
          <w:shd w:val="clear" w:color="auto" w:fill="FFFFFF"/>
        </w:rPr>
        <w:t>, Vol. 21(2), pp.95-103.</w:t>
      </w:r>
    </w:p>
    <w:p w14:paraId="15800A1C" w14:textId="77777777" w:rsidR="00036B9F" w:rsidRDefault="00036B9F" w:rsidP="00473852">
      <w:pPr>
        <w:tabs>
          <w:tab w:val="left" w:pos="2216"/>
        </w:tabs>
        <w:ind w:left="2217" w:hanging="2217"/>
        <w:rPr>
          <w:rFonts w:cstheme="minorHAnsi"/>
          <w:sz w:val="24"/>
          <w:szCs w:val="24"/>
          <w:shd w:val="clear" w:color="auto" w:fill="FFFFFF"/>
        </w:rPr>
      </w:pPr>
      <w:r w:rsidRPr="00036B9F">
        <w:rPr>
          <w:rFonts w:cstheme="minorHAnsi"/>
          <w:sz w:val="24"/>
          <w:szCs w:val="24"/>
          <w:shd w:val="clear" w:color="auto" w:fill="FFFFFF"/>
        </w:rPr>
        <w:t>Rogers, C. R. (1979). The foundations of the person-centered approach. Education, 100(2), 98-107.</w:t>
      </w:r>
    </w:p>
    <w:p w14:paraId="6C107F07" w14:textId="77777777" w:rsidR="00036B9F" w:rsidRDefault="00036B9F" w:rsidP="00473852">
      <w:pPr>
        <w:tabs>
          <w:tab w:val="left" w:pos="2216"/>
        </w:tabs>
        <w:ind w:left="2217" w:hanging="2217"/>
        <w:rPr>
          <w:rFonts w:cstheme="minorHAnsi"/>
          <w:sz w:val="24"/>
          <w:szCs w:val="24"/>
          <w:shd w:val="clear" w:color="auto" w:fill="FFFFFF"/>
        </w:rPr>
      </w:pPr>
      <w:r w:rsidRPr="00473852">
        <w:rPr>
          <w:rFonts w:cstheme="minorHAnsi"/>
          <w:sz w:val="24"/>
          <w:szCs w:val="24"/>
          <w:shd w:val="clear" w:color="auto" w:fill="FFFFFF"/>
        </w:rPr>
        <w:t>Rogers, C. R. (1995). </w:t>
      </w:r>
      <w:r w:rsidRPr="00473852">
        <w:rPr>
          <w:rFonts w:cstheme="minorHAnsi"/>
          <w:i/>
          <w:iCs/>
          <w:sz w:val="24"/>
          <w:szCs w:val="24"/>
          <w:shd w:val="clear" w:color="auto" w:fill="FFFFFF"/>
        </w:rPr>
        <w:t>On becoming a person: A therapist's view of psychotherapy</w:t>
      </w:r>
      <w:r w:rsidRPr="00473852">
        <w:rPr>
          <w:rFonts w:cstheme="minorHAnsi"/>
          <w:sz w:val="24"/>
          <w:szCs w:val="24"/>
          <w:shd w:val="clear" w:color="auto" w:fill="FFFFFF"/>
        </w:rPr>
        <w:t>. Houghton Mifflin Harcourt. P189)</w:t>
      </w:r>
    </w:p>
    <w:sectPr w:rsidR="00036B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80B"/>
    <w:rsid w:val="00036B9F"/>
    <w:rsid w:val="000A4D9D"/>
    <w:rsid w:val="0011668B"/>
    <w:rsid w:val="002047C6"/>
    <w:rsid w:val="00241AFC"/>
    <w:rsid w:val="00282395"/>
    <w:rsid w:val="002A218C"/>
    <w:rsid w:val="003165FA"/>
    <w:rsid w:val="0038249A"/>
    <w:rsid w:val="003A4A20"/>
    <w:rsid w:val="003D3D94"/>
    <w:rsid w:val="003F6833"/>
    <w:rsid w:val="00473852"/>
    <w:rsid w:val="004D72F2"/>
    <w:rsid w:val="00507D57"/>
    <w:rsid w:val="005763A7"/>
    <w:rsid w:val="006274C9"/>
    <w:rsid w:val="006874EE"/>
    <w:rsid w:val="00741861"/>
    <w:rsid w:val="00795237"/>
    <w:rsid w:val="007A3251"/>
    <w:rsid w:val="007C2E58"/>
    <w:rsid w:val="007E50E6"/>
    <w:rsid w:val="008A0A75"/>
    <w:rsid w:val="008B1210"/>
    <w:rsid w:val="008E080B"/>
    <w:rsid w:val="00905272"/>
    <w:rsid w:val="00963920"/>
    <w:rsid w:val="00A1195E"/>
    <w:rsid w:val="00A706AE"/>
    <w:rsid w:val="00AF5A76"/>
    <w:rsid w:val="00C0059A"/>
    <w:rsid w:val="00CC2B02"/>
    <w:rsid w:val="00CF23D5"/>
    <w:rsid w:val="00D153D1"/>
    <w:rsid w:val="00DB2B1D"/>
    <w:rsid w:val="00DC199F"/>
    <w:rsid w:val="00FE3E75"/>
    <w:rsid w:val="3E76D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0627D"/>
  <w15:chartTrackingRefBased/>
  <w15:docId w15:val="{25A503BB-367A-4A1A-81E5-3F453089A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A3251"/>
    <w:rPr>
      <w:color w:val="0000FF"/>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motamem.org/wp-content/uploads/2018/08/The-Necessary-and-Sufficient-Conditions-of-Therapeutic-Personality-Change-Carl-Rogers.pdf" TargetMode="External"/><Relationship Id="rId5" Type="http://schemas.openxmlformats.org/officeDocument/2006/relationships/hyperlink" Target="https://www.gov.uk/guidance/national-lockdown-stay-at-hom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792A3-B373-46B9-B68E-B0232190B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1999</Words>
  <Characters>11398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Boreham (1802704)</dc:creator>
  <cp:keywords/>
  <dc:description/>
  <cp:lastModifiedBy>Kelly Boreham (1802704)</cp:lastModifiedBy>
  <cp:revision>2</cp:revision>
  <dcterms:created xsi:type="dcterms:W3CDTF">2021-02-12T15:37:00Z</dcterms:created>
  <dcterms:modified xsi:type="dcterms:W3CDTF">2021-02-12T15:37:00Z</dcterms:modified>
</cp:coreProperties>
</file>