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D46DFC" w14:textId="458726D8" w:rsidR="00A85ABE" w:rsidRPr="00A85ABE" w:rsidRDefault="00A85ABE" w:rsidP="00A85ABE">
      <w:pPr>
        <w:rPr>
          <w:rFonts w:eastAsia="Times New Roman"/>
          <w:b/>
          <w:bCs/>
          <w:sz w:val="28"/>
          <w:szCs w:val="28"/>
        </w:rPr>
      </w:pPr>
      <w:r w:rsidRPr="00A85ABE">
        <w:rPr>
          <w:rFonts w:eastAsia="Times New Roman"/>
          <w:b/>
          <w:noProof/>
          <w:sz w:val="28"/>
          <w:szCs w:val="28"/>
          <w:lang w:val="en-US"/>
        </w:rPr>
        <w:drawing>
          <wp:inline distT="0" distB="0" distL="0" distR="0" wp14:anchorId="6787C66F" wp14:editId="4EC06247">
            <wp:extent cx="1943100" cy="55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43100" cy="552450"/>
                    </a:xfrm>
                    <a:prstGeom prst="rect">
                      <a:avLst/>
                    </a:prstGeom>
                    <a:noFill/>
                    <a:ln>
                      <a:noFill/>
                    </a:ln>
                  </pic:spPr>
                </pic:pic>
              </a:graphicData>
            </a:graphic>
          </wp:inline>
        </w:drawing>
      </w:r>
    </w:p>
    <w:p w14:paraId="168C3856" w14:textId="77777777" w:rsidR="00A85ABE" w:rsidRPr="00A85ABE" w:rsidRDefault="26D33F8D" w:rsidP="118F946D">
      <w:pPr>
        <w:rPr>
          <w:rFonts w:ascii="Arial" w:eastAsia="Arial" w:hAnsi="Arial" w:cs="Arial"/>
          <w:b/>
          <w:bCs/>
        </w:rPr>
      </w:pPr>
      <w:r w:rsidRPr="118F946D">
        <w:rPr>
          <w:rFonts w:ascii="Arial" w:eastAsia="Arial" w:hAnsi="Arial" w:cs="Arial"/>
          <w:b/>
          <w:bCs/>
        </w:rPr>
        <w:t>Student Assessment Submission and Declaration</w:t>
      </w:r>
    </w:p>
    <w:p w14:paraId="441618C3" w14:textId="0B778714" w:rsidR="00A85ABE" w:rsidRPr="00A85ABE" w:rsidRDefault="26D33F8D" w:rsidP="118F946D">
      <w:pPr>
        <w:rPr>
          <w:rFonts w:ascii="Arial" w:eastAsia="Arial" w:hAnsi="Arial" w:cs="Arial"/>
          <w:b/>
          <w:bCs/>
        </w:rPr>
      </w:pPr>
      <w:r w:rsidRPr="118F946D">
        <w:rPr>
          <w:rFonts w:ascii="Arial" w:eastAsia="Arial" w:hAnsi="Arial" w:cs="Arial"/>
          <w:b/>
          <w:bCs/>
        </w:rPr>
        <w:t>When submitting evidence for assessment, you must sign a declaration confirming that the work is your own.</w:t>
      </w:r>
    </w:p>
    <w:tbl>
      <w:tblPr>
        <w:tblStyle w:val="TableGrid"/>
        <w:tblW w:w="9135" w:type="dxa"/>
        <w:tblLayout w:type="fixed"/>
        <w:tblLook w:val="06A0" w:firstRow="1" w:lastRow="0" w:firstColumn="1" w:lastColumn="0" w:noHBand="1" w:noVBand="1"/>
      </w:tblPr>
      <w:tblGrid>
        <w:gridCol w:w="2730"/>
        <w:gridCol w:w="6405"/>
      </w:tblGrid>
      <w:tr w:rsidR="00A85ABE" w:rsidRPr="00A85ABE" w14:paraId="713F4BED" w14:textId="77777777" w:rsidTr="118F946D">
        <w:trPr>
          <w:trHeight w:val="761"/>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64E46A1D" w14:textId="3DE1573F" w:rsidR="00A85ABE" w:rsidRPr="00A85ABE" w:rsidRDefault="26D33F8D" w:rsidP="118F946D">
            <w:pPr>
              <w:spacing w:after="160" w:line="278" w:lineRule="auto"/>
              <w:rPr>
                <w:rFonts w:ascii="Arial" w:eastAsia="Arial" w:hAnsi="Arial" w:cs="Arial"/>
                <w:b/>
                <w:bCs/>
              </w:rPr>
            </w:pPr>
            <w:r w:rsidRPr="118F946D">
              <w:rPr>
                <w:rFonts w:ascii="Arial" w:eastAsia="Arial" w:hAnsi="Arial" w:cs="Arial"/>
                <w:b/>
                <w:bCs/>
              </w:rPr>
              <w:t>Student name:</w:t>
            </w:r>
          </w:p>
        </w:tc>
        <w:tc>
          <w:tcPr>
            <w:tcW w:w="64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9C7CE3A" w14:textId="1F53FE21" w:rsidR="00A85ABE" w:rsidRPr="00A85ABE" w:rsidRDefault="00B46E93" w:rsidP="118F946D">
            <w:pPr>
              <w:spacing w:after="160" w:line="278" w:lineRule="auto"/>
              <w:rPr>
                <w:rFonts w:ascii="Arial" w:eastAsia="Arial" w:hAnsi="Arial" w:cs="Arial"/>
                <w:b/>
                <w:bCs/>
              </w:rPr>
            </w:pPr>
            <w:r>
              <w:rPr>
                <w:rFonts w:ascii="Arial" w:eastAsia="Arial" w:hAnsi="Arial" w:cs="Arial"/>
                <w:b/>
                <w:bCs/>
              </w:rPr>
              <w:t>Eric Lerouge ANGWE NZE</w:t>
            </w:r>
          </w:p>
        </w:tc>
      </w:tr>
      <w:tr w:rsidR="00A85ABE" w:rsidRPr="00A85ABE" w14:paraId="1B517063" w14:textId="77777777" w:rsidTr="118F946D">
        <w:trPr>
          <w:trHeight w:val="300"/>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48F6D794" w14:textId="61AAA76D" w:rsidR="00A85ABE" w:rsidRPr="00A85ABE" w:rsidRDefault="26D33F8D" w:rsidP="118F946D">
            <w:pPr>
              <w:spacing w:after="160" w:line="278" w:lineRule="auto"/>
              <w:rPr>
                <w:rFonts w:ascii="Arial" w:eastAsia="Arial" w:hAnsi="Arial" w:cs="Arial"/>
                <w:b/>
                <w:bCs/>
              </w:rPr>
            </w:pPr>
            <w:r w:rsidRPr="118F946D">
              <w:rPr>
                <w:rFonts w:ascii="Arial" w:eastAsia="Arial" w:hAnsi="Arial" w:cs="Arial"/>
                <w:b/>
                <w:bCs/>
              </w:rPr>
              <w:t xml:space="preserve">Student ID: </w:t>
            </w:r>
          </w:p>
        </w:tc>
        <w:tc>
          <w:tcPr>
            <w:tcW w:w="64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B92F1E" w14:textId="21E048D5" w:rsidR="00A85ABE" w:rsidRPr="00A85ABE" w:rsidRDefault="00B46E93" w:rsidP="118F946D">
            <w:pPr>
              <w:spacing w:after="160" w:line="278" w:lineRule="auto"/>
              <w:rPr>
                <w:rFonts w:ascii="Arial" w:eastAsia="Arial" w:hAnsi="Arial" w:cs="Arial"/>
                <w:b/>
                <w:bCs/>
              </w:rPr>
            </w:pPr>
            <w:r>
              <w:rPr>
                <w:rFonts w:ascii="Arial" w:eastAsia="Arial" w:hAnsi="Arial" w:cs="Arial"/>
                <w:b/>
                <w:bCs/>
              </w:rPr>
              <w:t>2417255</w:t>
            </w:r>
          </w:p>
        </w:tc>
      </w:tr>
      <w:tr w:rsidR="00A85ABE" w:rsidRPr="00A85ABE" w14:paraId="593A77E0" w14:textId="77777777" w:rsidTr="118F946D">
        <w:trPr>
          <w:trHeight w:val="300"/>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2D5D527E" w14:textId="69788013" w:rsidR="00A85ABE" w:rsidRPr="00A85ABE" w:rsidRDefault="26D33F8D" w:rsidP="118F946D">
            <w:pPr>
              <w:spacing w:after="160" w:line="278" w:lineRule="auto"/>
              <w:rPr>
                <w:rFonts w:ascii="Arial" w:eastAsia="Arial" w:hAnsi="Arial" w:cs="Arial"/>
                <w:b/>
                <w:bCs/>
              </w:rPr>
            </w:pPr>
            <w:r w:rsidRPr="118F946D">
              <w:rPr>
                <w:rFonts w:ascii="Arial" w:eastAsia="Arial" w:hAnsi="Arial" w:cs="Arial"/>
                <w:b/>
                <w:bCs/>
              </w:rPr>
              <w:t>Programme:</w:t>
            </w:r>
          </w:p>
        </w:tc>
        <w:tc>
          <w:tcPr>
            <w:tcW w:w="64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326ADC" w14:textId="26A72A1C" w:rsidR="00A85ABE" w:rsidRPr="00A85ABE" w:rsidRDefault="00B46E93" w:rsidP="118F946D">
            <w:pPr>
              <w:spacing w:after="160" w:line="278" w:lineRule="auto"/>
              <w:rPr>
                <w:rFonts w:ascii="Arial" w:eastAsia="Arial" w:hAnsi="Arial" w:cs="Arial"/>
                <w:b/>
                <w:bCs/>
              </w:rPr>
            </w:pPr>
            <w:r>
              <w:rPr>
                <w:rFonts w:ascii="Arial" w:eastAsia="Arial" w:hAnsi="Arial" w:cs="Arial"/>
                <w:b/>
                <w:bCs/>
              </w:rPr>
              <w:t>BSc (Hons)</w:t>
            </w:r>
            <w:proofErr w:type="gramStart"/>
            <w:r>
              <w:rPr>
                <w:rFonts w:ascii="Arial" w:eastAsia="Arial" w:hAnsi="Arial" w:cs="Arial"/>
                <w:b/>
                <w:bCs/>
              </w:rPr>
              <w:t>Health  and</w:t>
            </w:r>
            <w:proofErr w:type="gramEnd"/>
            <w:r>
              <w:rPr>
                <w:rFonts w:ascii="Arial" w:eastAsia="Arial" w:hAnsi="Arial" w:cs="Arial"/>
                <w:b/>
                <w:bCs/>
              </w:rPr>
              <w:t xml:space="preserve"> Social Care</w:t>
            </w:r>
          </w:p>
        </w:tc>
      </w:tr>
      <w:tr w:rsidR="00A85ABE" w:rsidRPr="00A85ABE" w14:paraId="10A7F5F5" w14:textId="77777777" w:rsidTr="118F946D">
        <w:trPr>
          <w:trHeight w:val="330"/>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628A8726" w14:textId="6D3AEFE8" w:rsidR="00A85ABE" w:rsidRPr="00A85ABE" w:rsidRDefault="26D33F8D" w:rsidP="118F946D">
            <w:pPr>
              <w:spacing w:after="160" w:line="278" w:lineRule="auto"/>
              <w:rPr>
                <w:rFonts w:ascii="Arial" w:eastAsia="Arial" w:hAnsi="Arial" w:cs="Arial"/>
                <w:b/>
                <w:bCs/>
              </w:rPr>
            </w:pPr>
            <w:r w:rsidRPr="118F946D">
              <w:rPr>
                <w:rFonts w:ascii="Arial" w:eastAsia="Arial" w:hAnsi="Arial" w:cs="Arial"/>
                <w:b/>
                <w:bCs/>
              </w:rPr>
              <w:t>Module name and code:</w:t>
            </w:r>
          </w:p>
        </w:tc>
        <w:tc>
          <w:tcPr>
            <w:tcW w:w="64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E4BF45B" w14:textId="77777777" w:rsidR="00A85ABE" w:rsidRDefault="00B46E93" w:rsidP="118F946D">
            <w:pPr>
              <w:spacing w:after="160" w:line="278" w:lineRule="auto"/>
              <w:rPr>
                <w:rFonts w:ascii="Arial" w:eastAsia="Arial" w:hAnsi="Arial" w:cs="Arial"/>
                <w:b/>
                <w:bCs/>
              </w:rPr>
            </w:pPr>
            <w:r>
              <w:rPr>
                <w:rFonts w:ascii="Arial" w:eastAsia="Arial" w:hAnsi="Arial" w:cs="Arial"/>
                <w:b/>
                <w:bCs/>
              </w:rPr>
              <w:t>Principles of Health and Social Care Practice</w:t>
            </w:r>
          </w:p>
          <w:p w14:paraId="776FA208" w14:textId="7C5C3333" w:rsidR="00B46E93" w:rsidRPr="00A85ABE" w:rsidRDefault="00B46E93" w:rsidP="118F946D">
            <w:pPr>
              <w:spacing w:after="160" w:line="278" w:lineRule="auto"/>
              <w:rPr>
                <w:rFonts w:ascii="Arial" w:eastAsia="Arial" w:hAnsi="Arial" w:cs="Arial"/>
                <w:b/>
                <w:bCs/>
              </w:rPr>
            </w:pPr>
            <w:r>
              <w:rPr>
                <w:rFonts w:ascii="Arial" w:eastAsia="Arial" w:hAnsi="Arial" w:cs="Arial"/>
                <w:b/>
                <w:bCs/>
              </w:rPr>
              <w:t>BMHP5016</w:t>
            </w:r>
          </w:p>
        </w:tc>
      </w:tr>
      <w:tr w:rsidR="00A85ABE" w:rsidRPr="00A85ABE" w14:paraId="2EC1F1F2" w14:textId="77777777" w:rsidTr="118F946D">
        <w:trPr>
          <w:trHeight w:val="330"/>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34607363" w14:textId="2165AE54" w:rsidR="00A85ABE" w:rsidRPr="00A85ABE" w:rsidRDefault="26D33F8D" w:rsidP="118F946D">
            <w:pPr>
              <w:spacing w:after="160" w:line="278" w:lineRule="auto"/>
              <w:rPr>
                <w:rFonts w:ascii="Arial" w:eastAsia="Arial" w:hAnsi="Arial" w:cs="Arial"/>
                <w:b/>
                <w:bCs/>
              </w:rPr>
            </w:pPr>
            <w:r w:rsidRPr="118F946D">
              <w:rPr>
                <w:rFonts w:ascii="Arial" w:eastAsia="Arial" w:hAnsi="Arial" w:cs="Arial"/>
                <w:b/>
                <w:bCs/>
              </w:rPr>
              <w:t xml:space="preserve">Lecture's name: </w:t>
            </w:r>
          </w:p>
        </w:tc>
        <w:tc>
          <w:tcPr>
            <w:tcW w:w="64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3376245" w14:textId="290ED374" w:rsidR="00A85ABE" w:rsidRPr="00A85ABE" w:rsidRDefault="00B46E93" w:rsidP="118F946D">
            <w:pPr>
              <w:spacing w:after="160" w:line="278" w:lineRule="auto"/>
              <w:rPr>
                <w:rFonts w:ascii="Arial" w:eastAsia="Arial" w:hAnsi="Arial" w:cs="Arial"/>
                <w:b/>
                <w:bCs/>
              </w:rPr>
            </w:pPr>
            <w:r>
              <w:rPr>
                <w:rFonts w:ascii="Arial" w:eastAsia="Arial" w:hAnsi="Arial" w:cs="Arial"/>
                <w:b/>
                <w:bCs/>
              </w:rPr>
              <w:t>Dr Farah Wiita</w:t>
            </w:r>
          </w:p>
        </w:tc>
      </w:tr>
    </w:tbl>
    <w:p w14:paraId="772FA610" w14:textId="65FFEB20" w:rsidR="00A85ABE" w:rsidRPr="00A85ABE" w:rsidRDefault="26D33F8D" w:rsidP="118F946D">
      <w:pPr>
        <w:rPr>
          <w:rFonts w:ascii="Arial" w:eastAsia="Arial" w:hAnsi="Arial" w:cs="Arial"/>
          <w:b/>
          <w:bCs/>
        </w:rPr>
      </w:pPr>
      <w:r w:rsidRPr="118F946D">
        <w:rPr>
          <w:rFonts w:ascii="Arial" w:eastAsia="Arial" w:hAnsi="Arial" w:cs="Arial"/>
          <w:b/>
          <w:bCs/>
        </w:rPr>
        <w:t>Plagiarism</w:t>
      </w:r>
    </w:p>
    <w:p w14:paraId="53849D6D" w14:textId="01D0D7B2" w:rsidR="00A85ABE" w:rsidRPr="00A85ABE" w:rsidRDefault="26D33F8D" w:rsidP="118F946D">
      <w:pPr>
        <w:rPr>
          <w:rFonts w:ascii="Arial" w:eastAsia="Arial" w:hAnsi="Arial" w:cs="Arial"/>
        </w:rPr>
      </w:pPr>
      <w:r w:rsidRPr="118F946D">
        <w:rPr>
          <w:rFonts w:ascii="Arial" w:eastAsia="Arial" w:hAnsi="Arial" w:cs="Arial"/>
        </w:rPr>
        <w:t>Plagiarism is a form of cheating. Plagiarism must be avoided at all costs and students who break the rules, however innocently, may be penalised.  It is your responsibility to ensure that you understand correct referencing practices.  As a university level student, you are expected to use appropriate references throughout and keep carefully detailed notes of all your sources of materials for material you have used in your work, including any material downloaded from the Internet. Please consult the relevant unit lecturer or your course tutor if you need any further advice.</w:t>
      </w:r>
    </w:p>
    <w:tbl>
      <w:tblPr>
        <w:tblStyle w:val="TableGrid"/>
        <w:tblW w:w="9438" w:type="dxa"/>
        <w:tblLook w:val="04A0" w:firstRow="1" w:lastRow="0" w:firstColumn="1" w:lastColumn="0" w:noHBand="0" w:noVBand="1"/>
      </w:tblPr>
      <w:tblGrid>
        <w:gridCol w:w="4158"/>
        <w:gridCol w:w="5280"/>
      </w:tblGrid>
      <w:tr w:rsidR="00A85ABE" w:rsidRPr="00A85ABE" w14:paraId="6A8A65EB" w14:textId="77777777" w:rsidTr="118F946D">
        <w:trPr>
          <w:trHeight w:val="1412"/>
        </w:trPr>
        <w:tc>
          <w:tcPr>
            <w:tcW w:w="94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67A8B322" w14:textId="179A8C22" w:rsidR="00A85ABE" w:rsidRPr="00A85ABE" w:rsidRDefault="26D33F8D" w:rsidP="118F946D">
            <w:pPr>
              <w:spacing w:after="160" w:line="278" w:lineRule="auto"/>
              <w:rPr>
                <w:rFonts w:ascii="Arial" w:eastAsia="Arial" w:hAnsi="Arial" w:cs="Arial"/>
                <w:b/>
                <w:bCs/>
              </w:rPr>
            </w:pPr>
            <w:r w:rsidRPr="118F946D">
              <w:rPr>
                <w:rFonts w:ascii="Arial" w:eastAsia="Arial" w:hAnsi="Arial" w:cs="Arial"/>
                <w:b/>
                <w:bCs/>
              </w:rPr>
              <w:t>Student declaration</w:t>
            </w:r>
          </w:p>
          <w:p w14:paraId="1AC3F493" w14:textId="34676050" w:rsidR="00A85ABE" w:rsidRPr="00A85ABE" w:rsidRDefault="26D33F8D" w:rsidP="118F946D">
            <w:pPr>
              <w:spacing w:after="160" w:line="278" w:lineRule="auto"/>
              <w:rPr>
                <w:rFonts w:ascii="Arial" w:eastAsia="Arial" w:hAnsi="Arial" w:cs="Arial"/>
                <w:b/>
                <w:bCs/>
              </w:rPr>
            </w:pPr>
            <w:r w:rsidRPr="118F946D">
              <w:rPr>
                <w:rFonts w:ascii="Arial" w:eastAsia="Arial" w:hAnsi="Arial" w:cs="Arial"/>
                <w:b/>
                <w:bCs/>
              </w:rPr>
              <w:t>I certify that the assignment submission is entirely my own work. I fully understand the consequences of plagiarism. I understand that making a false declaration is a form of malpractice.</w:t>
            </w:r>
          </w:p>
        </w:tc>
      </w:tr>
      <w:tr w:rsidR="00A85ABE" w:rsidRPr="00A85ABE" w14:paraId="7A79510D" w14:textId="77777777" w:rsidTr="118F946D">
        <w:trPr>
          <w:trHeight w:val="480"/>
        </w:trPr>
        <w:tc>
          <w:tcPr>
            <w:tcW w:w="415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hideMark/>
          </w:tcPr>
          <w:p w14:paraId="5A74E341" w14:textId="77777777" w:rsidR="00A85ABE" w:rsidRPr="00A85ABE" w:rsidRDefault="26D33F8D" w:rsidP="118F946D">
            <w:pPr>
              <w:spacing w:after="160" w:line="278" w:lineRule="auto"/>
              <w:rPr>
                <w:rFonts w:ascii="Arial" w:eastAsia="Arial" w:hAnsi="Arial" w:cs="Arial"/>
                <w:b/>
                <w:bCs/>
              </w:rPr>
            </w:pPr>
            <w:r w:rsidRPr="118F946D">
              <w:rPr>
                <w:rFonts w:ascii="Arial" w:eastAsia="Arial" w:hAnsi="Arial" w:cs="Arial"/>
                <w:b/>
                <w:bCs/>
              </w:rPr>
              <w:t>Student signature:</w:t>
            </w:r>
          </w:p>
        </w:tc>
        <w:tc>
          <w:tcPr>
            <w:tcW w:w="52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3F0A41" w14:textId="255B06DD" w:rsidR="00A85ABE" w:rsidRPr="00A85ABE" w:rsidRDefault="00B46E93" w:rsidP="118F946D">
            <w:pPr>
              <w:spacing w:after="160" w:line="278" w:lineRule="auto"/>
              <w:rPr>
                <w:rFonts w:ascii="Arial" w:eastAsia="Arial" w:hAnsi="Arial" w:cs="Arial"/>
                <w:b/>
                <w:bCs/>
              </w:rPr>
            </w:pPr>
            <w:r>
              <w:rPr>
                <w:rFonts w:ascii="Arial" w:eastAsia="Arial" w:hAnsi="Arial" w:cs="Arial"/>
                <w:b/>
                <w:bCs/>
              </w:rPr>
              <w:t>Eric Lerouge ANGWE NZE</w:t>
            </w:r>
          </w:p>
        </w:tc>
      </w:tr>
      <w:tr w:rsidR="00A85ABE" w:rsidRPr="00A85ABE" w14:paraId="48F38A9C" w14:textId="77777777" w:rsidTr="118F946D">
        <w:trPr>
          <w:trHeight w:val="480"/>
        </w:trPr>
        <w:tc>
          <w:tcPr>
            <w:tcW w:w="415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hideMark/>
          </w:tcPr>
          <w:p w14:paraId="1B276014" w14:textId="77777777" w:rsidR="00A85ABE" w:rsidRPr="00A85ABE" w:rsidRDefault="26D33F8D" w:rsidP="118F946D">
            <w:pPr>
              <w:spacing w:after="160" w:line="278" w:lineRule="auto"/>
              <w:rPr>
                <w:rFonts w:ascii="Arial" w:eastAsia="Arial" w:hAnsi="Arial" w:cs="Arial"/>
                <w:b/>
                <w:bCs/>
              </w:rPr>
            </w:pPr>
            <w:proofErr w:type="gramStart"/>
            <w:r w:rsidRPr="118F946D">
              <w:rPr>
                <w:rFonts w:ascii="Arial" w:eastAsia="Arial" w:hAnsi="Arial" w:cs="Arial"/>
                <w:b/>
                <w:bCs/>
              </w:rPr>
              <w:t>Date :</w:t>
            </w:r>
            <w:proofErr w:type="gramEnd"/>
            <w:r w:rsidRPr="118F946D">
              <w:rPr>
                <w:rFonts w:ascii="Arial" w:eastAsia="Arial" w:hAnsi="Arial" w:cs="Arial"/>
                <w:b/>
                <w:bCs/>
              </w:rPr>
              <w:t xml:space="preserve"> </w:t>
            </w:r>
          </w:p>
        </w:tc>
        <w:tc>
          <w:tcPr>
            <w:tcW w:w="52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09D9896" w14:textId="20FD2367" w:rsidR="00A85ABE" w:rsidRPr="00A85ABE" w:rsidRDefault="00B46E93" w:rsidP="118F946D">
            <w:pPr>
              <w:spacing w:after="160" w:line="278" w:lineRule="auto"/>
              <w:rPr>
                <w:rFonts w:ascii="Arial" w:eastAsia="Arial" w:hAnsi="Arial" w:cs="Arial"/>
                <w:b/>
                <w:bCs/>
              </w:rPr>
            </w:pPr>
            <w:r>
              <w:rPr>
                <w:rFonts w:ascii="Arial" w:eastAsia="Arial" w:hAnsi="Arial" w:cs="Arial"/>
                <w:b/>
                <w:bCs/>
              </w:rPr>
              <w:t>28.04.2026</w:t>
            </w:r>
          </w:p>
        </w:tc>
      </w:tr>
    </w:tbl>
    <w:p w14:paraId="52AB8131" w14:textId="24EE18DF" w:rsidR="65285CB6" w:rsidRDefault="65285CB6" w:rsidP="65285CB6">
      <w:pPr>
        <w:rPr>
          <w:rFonts w:eastAsia="Times New Roman"/>
          <w:b/>
          <w:bCs/>
          <w:sz w:val="28"/>
          <w:szCs w:val="28"/>
          <w:u w:val="single"/>
        </w:rPr>
      </w:pPr>
    </w:p>
    <w:p w14:paraId="59DA2B43" w14:textId="3F81ACF8" w:rsidR="65285CB6" w:rsidRDefault="65285CB6" w:rsidP="65285CB6">
      <w:pPr>
        <w:rPr>
          <w:rFonts w:eastAsia="Times New Roman"/>
          <w:b/>
          <w:bCs/>
          <w:sz w:val="28"/>
          <w:szCs w:val="28"/>
          <w:u w:val="single"/>
        </w:rPr>
      </w:pPr>
    </w:p>
    <w:p w14:paraId="106EE943" w14:textId="10CD244A" w:rsidR="118F946D" w:rsidRDefault="118F946D" w:rsidP="118F946D">
      <w:pPr>
        <w:rPr>
          <w:rFonts w:eastAsia="Times New Roman"/>
          <w:b/>
          <w:bCs/>
          <w:sz w:val="28"/>
          <w:szCs w:val="28"/>
          <w:u w:val="single"/>
        </w:rPr>
      </w:pPr>
    </w:p>
    <w:p w14:paraId="405A31C6" w14:textId="3D5B04E3" w:rsidR="118F946D" w:rsidRDefault="118F946D" w:rsidP="118F946D">
      <w:pPr>
        <w:rPr>
          <w:rFonts w:eastAsia="Times New Roman"/>
          <w:b/>
          <w:bCs/>
          <w:sz w:val="28"/>
          <w:szCs w:val="28"/>
          <w:u w:val="single"/>
        </w:rPr>
      </w:pPr>
    </w:p>
    <w:p w14:paraId="18160A08" w14:textId="4DC090D5" w:rsidR="61B08A53" w:rsidRDefault="0CBC2AAE" w:rsidP="118F946D">
      <w:pPr>
        <w:jc w:val="center"/>
        <w:rPr>
          <w:rFonts w:eastAsia="Times New Roman"/>
          <w:b/>
          <w:bCs/>
          <w:sz w:val="28"/>
          <w:szCs w:val="28"/>
          <w:u w:val="single"/>
        </w:rPr>
      </w:pPr>
      <w:r w:rsidRPr="50CCE1BD">
        <w:rPr>
          <w:rFonts w:eastAsia="Times New Roman"/>
          <w:b/>
          <w:bCs/>
          <w:sz w:val="28"/>
          <w:szCs w:val="28"/>
          <w:u w:val="single"/>
        </w:rPr>
        <w:t xml:space="preserve">Table of content </w:t>
      </w:r>
    </w:p>
    <w:sdt>
      <w:sdtPr>
        <w:id w:val="1643680652"/>
        <w:docPartObj>
          <w:docPartGallery w:val="Table of Contents"/>
          <w:docPartUnique/>
        </w:docPartObj>
      </w:sdtPr>
      <w:sdtContent>
        <w:p w14:paraId="2A3CE2CE" w14:textId="192BF51C" w:rsidR="50CCE1BD" w:rsidRDefault="50CCE1BD" w:rsidP="50CCE1BD">
          <w:pPr>
            <w:pStyle w:val="TOC1"/>
            <w:tabs>
              <w:tab w:val="right" w:leader="dot" w:pos="9360"/>
            </w:tabs>
            <w:rPr>
              <w:rStyle w:val="Hyperlink"/>
            </w:rPr>
          </w:pPr>
          <w:r>
            <w:fldChar w:fldCharType="begin"/>
          </w:r>
          <w:r>
            <w:instrText>TOC \o "1-9" \z \u \h</w:instrText>
          </w:r>
          <w:r>
            <w:fldChar w:fldCharType="separate"/>
          </w:r>
          <w:hyperlink w:anchor="_Toc475062437">
            <w:r w:rsidRPr="50CCE1BD">
              <w:rPr>
                <w:rStyle w:val="Hyperlink"/>
              </w:rPr>
              <w:t>Introduction</w:t>
            </w:r>
            <w:r>
              <w:tab/>
            </w:r>
            <w:r>
              <w:fldChar w:fldCharType="begin"/>
            </w:r>
            <w:r>
              <w:instrText>PAGEREF _Toc475062437 \h</w:instrText>
            </w:r>
            <w:r>
              <w:fldChar w:fldCharType="separate"/>
            </w:r>
            <w:r w:rsidRPr="50CCE1BD">
              <w:rPr>
                <w:rStyle w:val="Hyperlink"/>
              </w:rPr>
              <w:t>2</w:t>
            </w:r>
            <w:r>
              <w:fldChar w:fldCharType="end"/>
            </w:r>
          </w:hyperlink>
        </w:p>
        <w:p w14:paraId="0566C705" w14:textId="1DAB5E1B" w:rsidR="50CCE1BD" w:rsidRDefault="50CCE1BD" w:rsidP="50CCE1BD">
          <w:pPr>
            <w:pStyle w:val="TOC1"/>
            <w:tabs>
              <w:tab w:val="right" w:leader="dot" w:pos="9360"/>
            </w:tabs>
            <w:rPr>
              <w:rStyle w:val="Hyperlink"/>
            </w:rPr>
          </w:pPr>
          <w:hyperlink w:anchor="_Toc107334984">
            <w:r w:rsidRPr="50CCE1BD">
              <w:rPr>
                <w:rStyle w:val="Hyperlink"/>
              </w:rPr>
              <w:t>Origins and Key Principles of Ethics of Care</w:t>
            </w:r>
            <w:r>
              <w:tab/>
            </w:r>
            <w:r>
              <w:fldChar w:fldCharType="begin"/>
            </w:r>
            <w:r>
              <w:instrText>PAGEREF _Toc107334984 \h</w:instrText>
            </w:r>
            <w:r>
              <w:fldChar w:fldCharType="separate"/>
            </w:r>
            <w:r w:rsidRPr="50CCE1BD">
              <w:rPr>
                <w:rStyle w:val="Hyperlink"/>
              </w:rPr>
              <w:t>3</w:t>
            </w:r>
            <w:r>
              <w:fldChar w:fldCharType="end"/>
            </w:r>
          </w:hyperlink>
        </w:p>
        <w:p w14:paraId="68C1D4F7" w14:textId="7EB12C6E" w:rsidR="50CCE1BD" w:rsidRDefault="50CCE1BD" w:rsidP="50CCE1BD">
          <w:pPr>
            <w:pStyle w:val="TOC1"/>
            <w:tabs>
              <w:tab w:val="right" w:leader="dot" w:pos="9360"/>
            </w:tabs>
            <w:rPr>
              <w:rStyle w:val="Hyperlink"/>
            </w:rPr>
          </w:pPr>
          <w:hyperlink w:anchor="_Toc1051554144">
            <w:r w:rsidRPr="50CCE1BD">
              <w:rPr>
                <w:rStyle w:val="Hyperlink"/>
              </w:rPr>
              <w:t>Comparison with Traditional Ethical Theories</w:t>
            </w:r>
            <w:r>
              <w:tab/>
            </w:r>
            <w:r>
              <w:fldChar w:fldCharType="begin"/>
            </w:r>
            <w:r>
              <w:instrText>PAGEREF _Toc1051554144 \h</w:instrText>
            </w:r>
            <w:r>
              <w:fldChar w:fldCharType="separate"/>
            </w:r>
            <w:r w:rsidRPr="50CCE1BD">
              <w:rPr>
                <w:rStyle w:val="Hyperlink"/>
              </w:rPr>
              <w:t>3</w:t>
            </w:r>
            <w:r>
              <w:fldChar w:fldCharType="end"/>
            </w:r>
          </w:hyperlink>
        </w:p>
        <w:p w14:paraId="337263C7" w14:textId="1B4F691A" w:rsidR="50CCE1BD" w:rsidRDefault="50CCE1BD" w:rsidP="50CCE1BD">
          <w:pPr>
            <w:pStyle w:val="TOC1"/>
            <w:tabs>
              <w:tab w:val="right" w:leader="dot" w:pos="9360"/>
            </w:tabs>
            <w:rPr>
              <w:rStyle w:val="Hyperlink"/>
            </w:rPr>
          </w:pPr>
          <w:hyperlink w:anchor="_Toc639363880">
            <w:r w:rsidRPr="50CCE1BD">
              <w:rPr>
                <w:rStyle w:val="Hyperlink"/>
              </w:rPr>
              <w:t>Application in Health and Social Care Practice</w:t>
            </w:r>
            <w:r>
              <w:tab/>
            </w:r>
            <w:r>
              <w:fldChar w:fldCharType="begin"/>
            </w:r>
            <w:r>
              <w:instrText>PAGEREF _Toc639363880 \h</w:instrText>
            </w:r>
            <w:r>
              <w:fldChar w:fldCharType="separate"/>
            </w:r>
            <w:r w:rsidRPr="50CCE1BD">
              <w:rPr>
                <w:rStyle w:val="Hyperlink"/>
              </w:rPr>
              <w:t>4</w:t>
            </w:r>
            <w:r>
              <w:fldChar w:fldCharType="end"/>
            </w:r>
          </w:hyperlink>
        </w:p>
        <w:p w14:paraId="2AE3D557" w14:textId="75234402" w:rsidR="50CCE1BD" w:rsidRDefault="50CCE1BD" w:rsidP="50CCE1BD">
          <w:pPr>
            <w:pStyle w:val="TOC1"/>
            <w:tabs>
              <w:tab w:val="right" w:leader="dot" w:pos="9360"/>
            </w:tabs>
            <w:rPr>
              <w:rStyle w:val="Hyperlink"/>
            </w:rPr>
          </w:pPr>
          <w:hyperlink w:anchor="_Toc388443858">
            <w:r w:rsidRPr="50CCE1BD">
              <w:rPr>
                <w:rStyle w:val="Hyperlink"/>
              </w:rPr>
              <w:t>Criticisms and Limitations of Ethics of Care</w:t>
            </w:r>
            <w:r>
              <w:tab/>
            </w:r>
            <w:r>
              <w:fldChar w:fldCharType="begin"/>
            </w:r>
            <w:r>
              <w:instrText>PAGEREF _Toc388443858 \h</w:instrText>
            </w:r>
            <w:r>
              <w:fldChar w:fldCharType="separate"/>
            </w:r>
            <w:r w:rsidRPr="50CCE1BD">
              <w:rPr>
                <w:rStyle w:val="Hyperlink"/>
              </w:rPr>
              <w:t>5</w:t>
            </w:r>
            <w:r>
              <w:fldChar w:fldCharType="end"/>
            </w:r>
          </w:hyperlink>
        </w:p>
        <w:p w14:paraId="5F58BE93" w14:textId="1CD564A7" w:rsidR="50CCE1BD" w:rsidRDefault="50CCE1BD" w:rsidP="50CCE1BD">
          <w:pPr>
            <w:pStyle w:val="TOC1"/>
            <w:tabs>
              <w:tab w:val="right" w:leader="dot" w:pos="9360"/>
            </w:tabs>
            <w:rPr>
              <w:rStyle w:val="Hyperlink"/>
            </w:rPr>
          </w:pPr>
          <w:hyperlink w:anchor="_Toc633498363">
            <w:r w:rsidRPr="50CCE1BD">
              <w:rPr>
                <w:rStyle w:val="Hyperlink"/>
              </w:rPr>
              <w:t>Barriers to Implementation</w:t>
            </w:r>
            <w:r>
              <w:tab/>
            </w:r>
            <w:r>
              <w:fldChar w:fldCharType="begin"/>
            </w:r>
            <w:r>
              <w:instrText>PAGEREF _Toc633498363 \h</w:instrText>
            </w:r>
            <w:r>
              <w:fldChar w:fldCharType="separate"/>
            </w:r>
            <w:r w:rsidRPr="50CCE1BD">
              <w:rPr>
                <w:rStyle w:val="Hyperlink"/>
              </w:rPr>
              <w:t>6</w:t>
            </w:r>
            <w:r>
              <w:fldChar w:fldCharType="end"/>
            </w:r>
          </w:hyperlink>
        </w:p>
        <w:p w14:paraId="646E687B" w14:textId="3809F4E6" w:rsidR="50CCE1BD" w:rsidRDefault="50CCE1BD" w:rsidP="50CCE1BD">
          <w:pPr>
            <w:pStyle w:val="TOC1"/>
            <w:tabs>
              <w:tab w:val="right" w:leader="dot" w:pos="9360"/>
            </w:tabs>
            <w:rPr>
              <w:rStyle w:val="Hyperlink"/>
            </w:rPr>
          </w:pPr>
          <w:hyperlink w:anchor="_Toc1795403336">
            <w:r w:rsidRPr="50CCE1BD">
              <w:rPr>
                <w:rStyle w:val="Hyperlink"/>
              </w:rPr>
              <w:t>Conclusion</w:t>
            </w:r>
            <w:r>
              <w:tab/>
            </w:r>
            <w:r>
              <w:fldChar w:fldCharType="begin"/>
            </w:r>
            <w:r>
              <w:instrText>PAGEREF _Toc1795403336 \h</w:instrText>
            </w:r>
            <w:r>
              <w:fldChar w:fldCharType="separate"/>
            </w:r>
            <w:r w:rsidRPr="50CCE1BD">
              <w:rPr>
                <w:rStyle w:val="Hyperlink"/>
              </w:rPr>
              <w:t>6</w:t>
            </w:r>
            <w:r>
              <w:fldChar w:fldCharType="end"/>
            </w:r>
          </w:hyperlink>
        </w:p>
        <w:p w14:paraId="3D27965B" w14:textId="66F559CC" w:rsidR="50CCE1BD" w:rsidRDefault="50CCE1BD" w:rsidP="50CCE1BD">
          <w:pPr>
            <w:pStyle w:val="TOC1"/>
            <w:tabs>
              <w:tab w:val="right" w:leader="dot" w:pos="9360"/>
            </w:tabs>
            <w:rPr>
              <w:rStyle w:val="Hyperlink"/>
            </w:rPr>
          </w:pPr>
          <w:hyperlink w:anchor="_Toc90825489">
            <w:r w:rsidRPr="50CCE1BD">
              <w:rPr>
                <w:rStyle w:val="Hyperlink"/>
              </w:rPr>
              <w:t>References</w:t>
            </w:r>
            <w:r>
              <w:tab/>
            </w:r>
            <w:r>
              <w:fldChar w:fldCharType="begin"/>
            </w:r>
            <w:r>
              <w:instrText>PAGEREF _Toc90825489 \h</w:instrText>
            </w:r>
            <w:r>
              <w:fldChar w:fldCharType="separate"/>
            </w:r>
            <w:r w:rsidRPr="50CCE1BD">
              <w:rPr>
                <w:rStyle w:val="Hyperlink"/>
              </w:rPr>
              <w:t>7</w:t>
            </w:r>
            <w:r>
              <w:fldChar w:fldCharType="end"/>
            </w:r>
          </w:hyperlink>
        </w:p>
        <w:p w14:paraId="29144FBC" w14:textId="63FB6798" w:rsidR="50CCE1BD" w:rsidRDefault="50CCE1BD">
          <w:r>
            <w:fldChar w:fldCharType="end"/>
          </w:r>
        </w:p>
      </w:sdtContent>
    </w:sdt>
    <w:p w14:paraId="3AA493DE" w14:textId="56DEEC84" w:rsidR="118F946D" w:rsidRDefault="118F946D" w:rsidP="118F946D">
      <w:pPr>
        <w:jc w:val="center"/>
        <w:rPr>
          <w:rFonts w:eastAsia="Times New Roman"/>
          <w:b/>
          <w:bCs/>
          <w:sz w:val="28"/>
          <w:szCs w:val="28"/>
          <w:u w:val="single"/>
        </w:rPr>
      </w:pPr>
    </w:p>
    <w:p w14:paraId="12CC817D" w14:textId="7F7DBA29" w:rsidR="61B08A53" w:rsidRDefault="61B08A53" w:rsidP="61B08A53">
      <w:pPr>
        <w:jc w:val="center"/>
        <w:rPr>
          <w:rFonts w:eastAsia="Times New Roman"/>
          <w:b/>
          <w:bCs/>
          <w:sz w:val="28"/>
          <w:szCs w:val="28"/>
        </w:rPr>
      </w:pPr>
    </w:p>
    <w:p w14:paraId="251B172D" w14:textId="55F41ABA" w:rsidR="61B08A53" w:rsidRDefault="61B08A53" w:rsidP="61B08A53">
      <w:pPr>
        <w:jc w:val="center"/>
        <w:rPr>
          <w:rFonts w:eastAsia="Times New Roman"/>
          <w:b/>
          <w:bCs/>
          <w:sz w:val="28"/>
          <w:szCs w:val="28"/>
        </w:rPr>
      </w:pPr>
    </w:p>
    <w:p w14:paraId="37653B53" w14:textId="1F348737" w:rsidR="61B08A53" w:rsidRDefault="61B08A53" w:rsidP="61B08A53">
      <w:pPr>
        <w:jc w:val="center"/>
        <w:rPr>
          <w:rFonts w:eastAsia="Times New Roman"/>
          <w:b/>
          <w:bCs/>
          <w:sz w:val="28"/>
          <w:szCs w:val="28"/>
        </w:rPr>
      </w:pPr>
    </w:p>
    <w:p w14:paraId="0C86ADE5" w14:textId="361B592D" w:rsidR="61B08A53" w:rsidRDefault="61B08A53" w:rsidP="61B08A53">
      <w:pPr>
        <w:jc w:val="center"/>
        <w:rPr>
          <w:rFonts w:eastAsia="Times New Roman"/>
          <w:b/>
          <w:bCs/>
          <w:sz w:val="28"/>
          <w:szCs w:val="28"/>
        </w:rPr>
      </w:pPr>
    </w:p>
    <w:p w14:paraId="267B4604" w14:textId="5E1820C5" w:rsidR="61B08A53" w:rsidRDefault="61B08A53" w:rsidP="61B08A53">
      <w:pPr>
        <w:jc w:val="center"/>
        <w:rPr>
          <w:rFonts w:eastAsia="Times New Roman"/>
          <w:b/>
          <w:bCs/>
          <w:sz w:val="28"/>
          <w:szCs w:val="28"/>
        </w:rPr>
      </w:pPr>
    </w:p>
    <w:p w14:paraId="15D4DF87" w14:textId="06F808D2" w:rsidR="61B08A53" w:rsidRDefault="61B08A53" w:rsidP="61B08A53">
      <w:pPr>
        <w:jc w:val="center"/>
        <w:rPr>
          <w:rFonts w:eastAsia="Times New Roman"/>
          <w:b/>
          <w:bCs/>
          <w:sz w:val="28"/>
          <w:szCs w:val="28"/>
        </w:rPr>
      </w:pPr>
    </w:p>
    <w:p w14:paraId="1215B0D4" w14:textId="2BCFB475" w:rsidR="61B08A53" w:rsidRDefault="61B08A53" w:rsidP="61B08A53">
      <w:pPr>
        <w:jc w:val="center"/>
        <w:rPr>
          <w:rFonts w:eastAsia="Times New Roman"/>
          <w:b/>
          <w:bCs/>
          <w:sz w:val="28"/>
          <w:szCs w:val="28"/>
        </w:rPr>
      </w:pPr>
    </w:p>
    <w:p w14:paraId="222BCE7D" w14:textId="5F1A8136" w:rsidR="61B08A53" w:rsidRDefault="61B08A53" w:rsidP="61B08A53">
      <w:pPr>
        <w:jc w:val="center"/>
        <w:rPr>
          <w:rFonts w:eastAsia="Times New Roman"/>
          <w:b/>
          <w:bCs/>
          <w:sz w:val="28"/>
          <w:szCs w:val="28"/>
        </w:rPr>
      </w:pPr>
    </w:p>
    <w:p w14:paraId="3D928CD9" w14:textId="21896298" w:rsidR="61B08A53" w:rsidRDefault="61B08A53" w:rsidP="61B08A53">
      <w:pPr>
        <w:jc w:val="center"/>
        <w:rPr>
          <w:rFonts w:eastAsia="Times New Roman"/>
          <w:b/>
          <w:bCs/>
          <w:sz w:val="28"/>
          <w:szCs w:val="28"/>
        </w:rPr>
      </w:pPr>
    </w:p>
    <w:p w14:paraId="4678B63A" w14:textId="50556A1B" w:rsidR="61B08A53" w:rsidRDefault="61B08A53" w:rsidP="61B08A53">
      <w:pPr>
        <w:jc w:val="center"/>
        <w:rPr>
          <w:rFonts w:eastAsia="Times New Roman"/>
          <w:b/>
          <w:bCs/>
          <w:sz w:val="28"/>
          <w:szCs w:val="28"/>
        </w:rPr>
      </w:pPr>
    </w:p>
    <w:p w14:paraId="0B6EA141" w14:textId="2F68B8C2" w:rsidR="61B08A53" w:rsidRDefault="61B08A53" w:rsidP="61B08A53">
      <w:pPr>
        <w:jc w:val="center"/>
        <w:rPr>
          <w:rFonts w:eastAsia="Times New Roman"/>
          <w:b/>
          <w:bCs/>
          <w:sz w:val="28"/>
          <w:szCs w:val="28"/>
        </w:rPr>
      </w:pPr>
    </w:p>
    <w:p w14:paraId="51794D3D" w14:textId="40C5A71C" w:rsidR="61B08A53" w:rsidRDefault="61B08A53" w:rsidP="61B08A53">
      <w:pPr>
        <w:jc w:val="center"/>
        <w:rPr>
          <w:rFonts w:eastAsia="Times New Roman"/>
          <w:b/>
          <w:bCs/>
          <w:sz w:val="28"/>
          <w:szCs w:val="28"/>
        </w:rPr>
      </w:pPr>
    </w:p>
    <w:p w14:paraId="7139F21D" w14:textId="039C1219" w:rsidR="118F946D" w:rsidRDefault="118F946D" w:rsidP="118F946D">
      <w:pPr>
        <w:jc w:val="center"/>
        <w:rPr>
          <w:rFonts w:eastAsia="Times New Roman"/>
          <w:b/>
          <w:bCs/>
          <w:sz w:val="28"/>
          <w:szCs w:val="28"/>
        </w:rPr>
      </w:pPr>
    </w:p>
    <w:p w14:paraId="7216FD23" w14:textId="441593B8" w:rsidR="1233DFD1" w:rsidRDefault="1DAE524A" w:rsidP="118F946D">
      <w:pPr>
        <w:pStyle w:val="Heading1"/>
        <w:rPr>
          <w:rFonts w:ascii="Arial" w:eastAsia="Arial" w:hAnsi="Arial" w:cs="Arial"/>
        </w:rPr>
      </w:pPr>
      <w:bookmarkStart w:id="0" w:name="_Toc475062437"/>
      <w:bookmarkStart w:id="1" w:name="_Toc1649824394"/>
      <w:r w:rsidRPr="50CCE1BD">
        <w:rPr>
          <w:rFonts w:ascii="Arial" w:eastAsia="Arial" w:hAnsi="Arial" w:cs="Arial"/>
        </w:rPr>
        <w:lastRenderedPageBreak/>
        <w:t>Introduction</w:t>
      </w:r>
      <w:bookmarkEnd w:id="0"/>
      <w:r w:rsidRPr="50CCE1BD">
        <w:rPr>
          <w:rFonts w:ascii="Arial" w:eastAsia="Arial" w:hAnsi="Arial" w:cs="Arial"/>
        </w:rPr>
        <w:t xml:space="preserve"> </w:t>
      </w:r>
      <w:bookmarkEnd w:id="1"/>
    </w:p>
    <w:p w14:paraId="774743A7" w14:textId="4E686221" w:rsidR="04EB7212" w:rsidRDefault="04EB7212" w:rsidP="50CCE1BD">
      <w:pPr>
        <w:spacing w:line="360" w:lineRule="auto"/>
        <w:jc w:val="both"/>
        <w:rPr>
          <w:rFonts w:ascii="Arial" w:eastAsia="Arial" w:hAnsi="Arial" w:cs="Arial"/>
          <w:sz w:val="22"/>
          <w:szCs w:val="22"/>
        </w:rPr>
      </w:pPr>
      <w:r w:rsidRPr="50CCE1BD">
        <w:rPr>
          <w:rFonts w:ascii="Arial" w:eastAsia="Arial" w:hAnsi="Arial" w:cs="Arial"/>
          <w:sz w:val="22"/>
          <w:szCs w:val="22"/>
        </w:rPr>
        <w:t>Individualised care is a key principle of health and social care, focusing on the need to understand people's individual needs, preferences and values. A theoretical framework that is closely related to this is the Ethics of Care. The Ethics of Care is a relational approach which emphasises empathy, compassion and the moral importance of care relationships, rather than abstract rules and principles</w:t>
      </w:r>
      <w:r w:rsidR="43DF2F3C" w:rsidRPr="50CCE1BD">
        <w:rPr>
          <w:rFonts w:ascii="Arial" w:eastAsia="Arial" w:hAnsi="Arial" w:cs="Arial"/>
          <w:sz w:val="22"/>
          <w:szCs w:val="22"/>
        </w:rPr>
        <w:t xml:space="preserve"> (Gilligan, 1982; </w:t>
      </w:r>
      <w:proofErr w:type="spellStart"/>
      <w:r w:rsidR="43DF2F3C" w:rsidRPr="50CCE1BD">
        <w:rPr>
          <w:rFonts w:ascii="Arial" w:eastAsia="Arial" w:hAnsi="Arial" w:cs="Arial"/>
          <w:sz w:val="22"/>
          <w:szCs w:val="22"/>
        </w:rPr>
        <w:t>Noddings</w:t>
      </w:r>
      <w:proofErr w:type="spellEnd"/>
      <w:r w:rsidR="43DF2F3C" w:rsidRPr="50CCE1BD">
        <w:rPr>
          <w:rFonts w:ascii="Arial" w:eastAsia="Arial" w:hAnsi="Arial" w:cs="Arial"/>
          <w:sz w:val="22"/>
          <w:szCs w:val="22"/>
        </w:rPr>
        <w:t>, 1984)</w:t>
      </w:r>
      <w:r w:rsidRPr="50CCE1BD">
        <w:rPr>
          <w:rFonts w:ascii="Arial" w:eastAsia="Arial" w:hAnsi="Arial" w:cs="Arial"/>
          <w:sz w:val="22"/>
          <w:szCs w:val="22"/>
        </w:rPr>
        <w:t xml:space="preserve">. Drawing on the work of Carol Gilligan and Nel Noddings, this approach challenges more conventional ethical theories by emphasising interconnectedness and the responsiveness to others in particular contexts. The Ethics of Care informs health and social care practices that emphasise respect, trust and engagement with service users. But despite its relevance, there are challenges associated with its use, especially within complex and constrained systems. </w:t>
      </w:r>
      <w:r w:rsidR="181D8DCE" w:rsidRPr="50CCE1BD">
        <w:rPr>
          <w:rFonts w:ascii="Arial" w:eastAsia="Arial" w:hAnsi="Arial" w:cs="Arial"/>
          <w:sz w:val="22"/>
          <w:szCs w:val="22"/>
        </w:rPr>
        <w:t>This essay critically explores</w:t>
      </w:r>
      <w:r w:rsidRPr="50CCE1BD">
        <w:rPr>
          <w:rFonts w:ascii="Arial" w:eastAsia="Arial" w:hAnsi="Arial" w:cs="Arial"/>
          <w:sz w:val="22"/>
          <w:szCs w:val="22"/>
        </w:rPr>
        <w:t xml:space="preserve"> the core principles of the Ethics of Care, assess its role in person-centred care and the difficulties of incorporating the Ethics of Care into practice in modern health and social care. </w:t>
      </w:r>
      <w:r w:rsidR="2D008785" w:rsidRPr="50CCE1BD">
        <w:rPr>
          <w:rFonts w:ascii="Arial" w:eastAsia="Arial" w:hAnsi="Arial" w:cs="Arial"/>
          <w:sz w:val="22"/>
          <w:szCs w:val="22"/>
        </w:rPr>
        <w:t>However, while Ethics of Care offers a valuable relational approach, its effectiveness within structured health and social care systems remains contested due to issues of consistency and accountability</w:t>
      </w:r>
      <w:r w:rsidR="301B8994" w:rsidRPr="50CCE1BD">
        <w:rPr>
          <w:rFonts w:ascii="Arial" w:eastAsia="Arial" w:hAnsi="Arial" w:cs="Arial"/>
          <w:sz w:val="22"/>
          <w:szCs w:val="22"/>
        </w:rPr>
        <w:t xml:space="preserve"> (Held, 2006).</w:t>
      </w:r>
    </w:p>
    <w:p w14:paraId="6A8B4553" w14:textId="2D06A0F1" w:rsidR="080D8754" w:rsidRDefault="080D8754" w:rsidP="50CCE1BD">
      <w:pPr>
        <w:pStyle w:val="Heading1"/>
      </w:pPr>
      <w:bookmarkStart w:id="2" w:name="_Toc107334984"/>
      <w:r w:rsidRPr="50CCE1BD">
        <w:t>Origins and Key Principles of Ethics of Care</w:t>
      </w:r>
      <w:bookmarkEnd w:id="2"/>
    </w:p>
    <w:p w14:paraId="5749DB41" w14:textId="63064622" w:rsidR="34BFB97E" w:rsidRDefault="34BFB97E" w:rsidP="50CCE1BD">
      <w:pPr>
        <w:spacing w:line="360" w:lineRule="auto"/>
        <w:jc w:val="both"/>
        <w:rPr>
          <w:rFonts w:ascii="Arial" w:eastAsia="Arial" w:hAnsi="Arial" w:cs="Arial"/>
          <w:sz w:val="22"/>
          <w:szCs w:val="22"/>
        </w:rPr>
      </w:pPr>
      <w:r w:rsidRPr="50CCE1BD">
        <w:rPr>
          <w:rFonts w:ascii="Arial" w:eastAsia="Arial" w:hAnsi="Arial" w:cs="Arial"/>
          <w:sz w:val="22"/>
          <w:szCs w:val="22"/>
        </w:rPr>
        <w:t xml:space="preserve">The Ethics of Care emerged in the late 20th century as part of feminist challenges to conventional moral theories, which tended to emphasise abstract moral principles like justice, autonomy and impartiality. Pioneering work by Carol Gilligan critiqued existing theories of moral development for their neglect of relationships, care and context in moral decision-making. This was followed by the work of Nel </w:t>
      </w:r>
      <w:proofErr w:type="spellStart"/>
      <w:r w:rsidRPr="50CCE1BD">
        <w:rPr>
          <w:rFonts w:ascii="Arial" w:eastAsia="Arial" w:hAnsi="Arial" w:cs="Arial"/>
          <w:sz w:val="22"/>
          <w:szCs w:val="22"/>
        </w:rPr>
        <w:t>Noddings</w:t>
      </w:r>
      <w:proofErr w:type="spellEnd"/>
      <w:r w:rsidRPr="50CCE1BD">
        <w:rPr>
          <w:rFonts w:ascii="Arial" w:eastAsia="Arial" w:hAnsi="Arial" w:cs="Arial"/>
          <w:sz w:val="22"/>
          <w:szCs w:val="22"/>
        </w:rPr>
        <w:t xml:space="preserve"> who elaborated on the importance of caring relationships and meeting the needs of others as morally relevant</w:t>
      </w:r>
      <w:r w:rsidR="26E3F628" w:rsidRPr="50CCE1BD">
        <w:rPr>
          <w:rFonts w:ascii="Arial" w:eastAsia="Arial" w:hAnsi="Arial" w:cs="Arial"/>
          <w:sz w:val="22"/>
          <w:szCs w:val="22"/>
        </w:rPr>
        <w:t xml:space="preserve"> (</w:t>
      </w:r>
      <w:proofErr w:type="spellStart"/>
      <w:r w:rsidR="26E3F628" w:rsidRPr="50CCE1BD">
        <w:rPr>
          <w:rFonts w:ascii="Arial" w:eastAsia="Arial" w:hAnsi="Arial" w:cs="Arial"/>
          <w:sz w:val="22"/>
          <w:szCs w:val="22"/>
        </w:rPr>
        <w:t>Noddings</w:t>
      </w:r>
      <w:proofErr w:type="spellEnd"/>
      <w:r w:rsidR="26E3F628" w:rsidRPr="50CCE1BD">
        <w:rPr>
          <w:rFonts w:ascii="Arial" w:eastAsia="Arial" w:hAnsi="Arial" w:cs="Arial"/>
          <w:sz w:val="22"/>
          <w:szCs w:val="22"/>
        </w:rPr>
        <w:t>, 1984)</w:t>
      </w:r>
      <w:r w:rsidRPr="50CCE1BD">
        <w:rPr>
          <w:rFonts w:ascii="Arial" w:eastAsia="Arial" w:hAnsi="Arial" w:cs="Arial"/>
          <w:sz w:val="22"/>
          <w:szCs w:val="22"/>
        </w:rPr>
        <w:t>. Instead of relying on rules and principles, the Ethics of Care considers morality to be rooted in personal experiences and relationships. Moral decision-making is seen as nuanced and needing to take account of the context of the individual situation rather than following rules. This goes hand in hand with the focus on responsiveness and empathy, in which ethical behaviour is about responding to others' needs. Finally, the principle of interdependence complicates notions of individuals as self-sufficient, by acknowledging human dependence, for example within the care environment</w:t>
      </w:r>
      <w:r w:rsidR="6596E3C5" w:rsidRPr="50CCE1BD">
        <w:rPr>
          <w:rFonts w:ascii="Arial" w:eastAsia="Arial" w:hAnsi="Arial" w:cs="Arial"/>
          <w:sz w:val="22"/>
          <w:szCs w:val="22"/>
        </w:rPr>
        <w:t xml:space="preserve"> (</w:t>
      </w:r>
      <w:proofErr w:type="spellStart"/>
      <w:r w:rsidR="6596E3C5" w:rsidRPr="50CCE1BD">
        <w:rPr>
          <w:rFonts w:ascii="Arial" w:eastAsia="Arial" w:hAnsi="Arial" w:cs="Arial"/>
          <w:sz w:val="22"/>
          <w:szCs w:val="22"/>
        </w:rPr>
        <w:t>Tronto</w:t>
      </w:r>
      <w:proofErr w:type="spellEnd"/>
      <w:r w:rsidR="6596E3C5" w:rsidRPr="50CCE1BD">
        <w:rPr>
          <w:rFonts w:ascii="Arial" w:eastAsia="Arial" w:hAnsi="Arial" w:cs="Arial"/>
          <w:sz w:val="22"/>
          <w:szCs w:val="22"/>
        </w:rPr>
        <w:t>, 1993)</w:t>
      </w:r>
      <w:r w:rsidRPr="50CCE1BD">
        <w:rPr>
          <w:rFonts w:ascii="Arial" w:eastAsia="Arial" w:hAnsi="Arial" w:cs="Arial"/>
          <w:sz w:val="22"/>
          <w:szCs w:val="22"/>
        </w:rPr>
        <w:t xml:space="preserve">. These insights are very important for health and social care practice, as it deals with individuals in complex situations, often involving vulnerability. </w:t>
      </w:r>
      <w:r w:rsidR="78EE4D1E" w:rsidRPr="50CCE1BD">
        <w:rPr>
          <w:rFonts w:ascii="Arial" w:eastAsia="Arial" w:hAnsi="Arial" w:cs="Arial"/>
          <w:sz w:val="22"/>
          <w:szCs w:val="22"/>
        </w:rPr>
        <w:t xml:space="preserve">Nevertheless, its focus on relational morality also creates challenges when applied within standardised healthcare systems that rely on protocols, targets and accountability frameworks, which may not always accommodate flexible ethical judgement. </w:t>
      </w:r>
      <w:r w:rsidRPr="50CCE1BD">
        <w:rPr>
          <w:rFonts w:ascii="Arial" w:eastAsia="Arial" w:hAnsi="Arial" w:cs="Arial"/>
          <w:sz w:val="22"/>
          <w:szCs w:val="22"/>
        </w:rPr>
        <w:t xml:space="preserve">The emphasis on understanding and empathy </w:t>
      </w:r>
      <w:r w:rsidRPr="50CCE1BD">
        <w:rPr>
          <w:rFonts w:ascii="Arial" w:eastAsia="Arial" w:hAnsi="Arial" w:cs="Arial"/>
          <w:sz w:val="22"/>
          <w:szCs w:val="22"/>
        </w:rPr>
        <w:lastRenderedPageBreak/>
        <w:t xml:space="preserve">encourages more individualised and compassionate care, which is integral to person-centred care. </w:t>
      </w:r>
      <w:r w:rsidR="746900F1" w:rsidRPr="50CCE1BD">
        <w:rPr>
          <w:rFonts w:ascii="Arial" w:eastAsia="Arial" w:hAnsi="Arial" w:cs="Arial"/>
          <w:sz w:val="22"/>
          <w:szCs w:val="22"/>
        </w:rPr>
        <w:t>A</w:t>
      </w:r>
      <w:r w:rsidRPr="50CCE1BD">
        <w:rPr>
          <w:rFonts w:ascii="Arial" w:eastAsia="Arial" w:hAnsi="Arial" w:cs="Arial"/>
          <w:sz w:val="22"/>
          <w:szCs w:val="22"/>
        </w:rPr>
        <w:t>lthough</w:t>
      </w:r>
      <w:r w:rsidR="411C483C" w:rsidRPr="50CCE1BD">
        <w:rPr>
          <w:rFonts w:ascii="Arial" w:eastAsia="Arial" w:hAnsi="Arial" w:cs="Arial"/>
          <w:sz w:val="22"/>
          <w:szCs w:val="22"/>
        </w:rPr>
        <w:t>,</w:t>
      </w:r>
      <w:r w:rsidRPr="50CCE1BD">
        <w:rPr>
          <w:rFonts w:ascii="Arial" w:eastAsia="Arial" w:hAnsi="Arial" w:cs="Arial"/>
          <w:sz w:val="22"/>
          <w:szCs w:val="22"/>
        </w:rPr>
        <w:t xml:space="preserve"> the Ethics of Care provides a more care-focused and compassionate approach, its emphasis on judgement can also lead to inconsistencies. This implies that while the model is important, it may need to be complemented with more formal methods of care provision to ensure equitable and consistent patient care.</w:t>
      </w:r>
      <w:r w:rsidR="5265EF26" w:rsidRPr="50CCE1BD">
        <w:rPr>
          <w:rFonts w:ascii="Arial" w:eastAsia="Arial" w:hAnsi="Arial" w:cs="Arial"/>
          <w:sz w:val="22"/>
          <w:szCs w:val="22"/>
        </w:rPr>
        <w:t xml:space="preserve"> </w:t>
      </w:r>
    </w:p>
    <w:p w14:paraId="1F40AC09" w14:textId="7A847E94" w:rsidR="5C6EC458" w:rsidRDefault="5C6EC458" w:rsidP="50CCE1BD">
      <w:pPr>
        <w:pStyle w:val="Heading1"/>
        <w:rPr>
          <w:rFonts w:ascii="Arial" w:eastAsia="Arial" w:hAnsi="Arial" w:cs="Arial"/>
        </w:rPr>
      </w:pPr>
      <w:bookmarkStart w:id="3" w:name="_Toc1051554144"/>
      <w:r w:rsidRPr="50CCE1BD">
        <w:rPr>
          <w:rFonts w:ascii="Arial" w:eastAsia="Arial" w:hAnsi="Arial" w:cs="Arial"/>
        </w:rPr>
        <w:t>Comparison with Traditional Ethical Theories</w:t>
      </w:r>
      <w:bookmarkEnd w:id="3"/>
    </w:p>
    <w:p w14:paraId="399C9753" w14:textId="519235B3" w:rsidR="702E7FB9" w:rsidRDefault="702E7FB9" w:rsidP="50CCE1BD">
      <w:pPr>
        <w:spacing w:before="240" w:after="240" w:line="360" w:lineRule="auto"/>
        <w:jc w:val="both"/>
        <w:rPr>
          <w:rFonts w:ascii="Arial" w:eastAsia="Arial" w:hAnsi="Arial" w:cs="Arial"/>
          <w:sz w:val="22"/>
          <w:szCs w:val="22"/>
        </w:rPr>
      </w:pPr>
      <w:r w:rsidRPr="50CCE1BD">
        <w:rPr>
          <w:rFonts w:ascii="Arial" w:eastAsia="Arial" w:hAnsi="Arial" w:cs="Arial"/>
          <w:sz w:val="22"/>
          <w:szCs w:val="22"/>
        </w:rPr>
        <w:t>The Ethics of Care can be critically evaluated alongside traditional ethical frameworks, such as justice-based ethics and biomedical ethics, that emphasise principles like autonomy, rights, fairness and universal rules</w:t>
      </w:r>
      <w:r w:rsidR="399BFDFC" w:rsidRPr="50CCE1BD">
        <w:rPr>
          <w:rFonts w:ascii="Arial" w:eastAsia="Arial" w:hAnsi="Arial" w:cs="Arial"/>
          <w:sz w:val="22"/>
          <w:szCs w:val="22"/>
        </w:rPr>
        <w:t xml:space="preserve"> (Beauchamp and Childress, 2019)</w:t>
      </w:r>
      <w:r w:rsidRPr="50CCE1BD">
        <w:rPr>
          <w:rFonts w:ascii="Arial" w:eastAsia="Arial" w:hAnsi="Arial" w:cs="Arial"/>
          <w:sz w:val="22"/>
          <w:szCs w:val="22"/>
        </w:rPr>
        <w:t xml:space="preserve">. Justice-based ethics, or "justice ethics", which are sometimes applied in healthcare (such as </w:t>
      </w:r>
      <w:r w:rsidR="1AD99FD3" w:rsidRPr="50CCE1BD">
        <w:rPr>
          <w:rFonts w:ascii="Arial" w:eastAsia="Arial" w:hAnsi="Arial" w:cs="Arial"/>
          <w:sz w:val="22"/>
          <w:szCs w:val="22"/>
        </w:rPr>
        <w:t>principles</w:t>
      </w:r>
      <w:r w:rsidRPr="50CCE1BD">
        <w:rPr>
          <w:rFonts w:ascii="Arial" w:eastAsia="Arial" w:hAnsi="Arial" w:cs="Arial"/>
          <w:sz w:val="22"/>
          <w:szCs w:val="22"/>
        </w:rPr>
        <w:t xml:space="preserve">) prioritise fairness, objectivity and the use of formal principles in decision-making. </w:t>
      </w:r>
      <w:r w:rsidR="515E0FAE" w:rsidRPr="50CCE1BD">
        <w:rPr>
          <w:rFonts w:ascii="Arial" w:eastAsia="Arial" w:hAnsi="Arial" w:cs="Arial"/>
          <w:sz w:val="22"/>
          <w:szCs w:val="22"/>
        </w:rPr>
        <w:t>However, justice-based approaches provide clear rules and legal defensibility, which are essential in safeguarding consistency and fairness across large healthcare systems.</w:t>
      </w:r>
      <w:r w:rsidR="4382DB9A" w:rsidRPr="50CCE1BD">
        <w:rPr>
          <w:rFonts w:ascii="Arial" w:eastAsia="Arial" w:hAnsi="Arial" w:cs="Arial"/>
          <w:sz w:val="22"/>
          <w:szCs w:val="22"/>
        </w:rPr>
        <w:t xml:space="preserve"> This is particularly important in health and social care, where practitioners must justify decisions within legal and safeguarding frameworks, making consistency a necessary requirement in practice.</w:t>
      </w:r>
      <w:r w:rsidR="515E0FAE" w:rsidRPr="50CCE1BD">
        <w:rPr>
          <w:rFonts w:ascii="Arial" w:eastAsia="Arial" w:hAnsi="Arial" w:cs="Arial"/>
          <w:sz w:val="22"/>
          <w:szCs w:val="22"/>
        </w:rPr>
        <w:t xml:space="preserve"> </w:t>
      </w:r>
      <w:r w:rsidRPr="50CCE1BD">
        <w:rPr>
          <w:rFonts w:ascii="Arial" w:eastAsia="Arial" w:hAnsi="Arial" w:cs="Arial"/>
          <w:sz w:val="22"/>
          <w:szCs w:val="22"/>
        </w:rPr>
        <w:t>Likewise, biomedical ethics is often based on principles of autonomy, beneficence, non-maleficence and justice. These models offer well-defined frameworks for ethical decision-making, but they may fail to consider relationship-based and emotional aspects of caring. In contrast, the Ethics of Care offers a more flexible and context-sensitive approach. Its strength is its focus on relationships, responsiveness and empathy, which enables care to be responsive to individual needs. This can be especially helpful in health and social care contexts, where applying rules in a strict manner can overlook individual complexities. For instance, focusing on empathy and trust can improve patient satisfaction and quality of care, as well as being consistent with person-centred approaches</w:t>
      </w:r>
      <w:r w:rsidR="31C0F7E8" w:rsidRPr="50CCE1BD">
        <w:rPr>
          <w:rFonts w:ascii="Arial" w:eastAsia="Arial" w:hAnsi="Arial" w:cs="Arial"/>
          <w:sz w:val="22"/>
          <w:szCs w:val="22"/>
        </w:rPr>
        <w:t xml:space="preserve"> (NHS England, 2017)</w:t>
      </w:r>
      <w:r w:rsidRPr="50CCE1BD">
        <w:rPr>
          <w:rFonts w:ascii="Arial" w:eastAsia="Arial" w:hAnsi="Arial" w:cs="Arial"/>
          <w:sz w:val="22"/>
          <w:szCs w:val="22"/>
        </w:rPr>
        <w:t xml:space="preserve">. But there are also potential drawbacks to the Ethics of Care overrule-based approaches. The reliance on judgement can lead to a lack of consistency, possibly leading to disparities in care.  Also, the focus on relationships may lead to bias as practitioners may favour some people over others. Thus, although the Ethics of Care offers a useful counterbalance to the shortcomings of classic ethical theories by personalising care, it does not render the need for procedurally based reasoning redundant. </w:t>
      </w:r>
      <w:r w:rsidR="7447CA78" w:rsidRPr="50CCE1BD">
        <w:rPr>
          <w:rFonts w:ascii="Arial" w:eastAsia="Arial" w:hAnsi="Arial" w:cs="Arial"/>
          <w:sz w:val="22"/>
          <w:szCs w:val="22"/>
        </w:rPr>
        <w:t xml:space="preserve">Therefore, neither approach is sufficient alone, as healthcare requires both relational sensitivity and rule-based consistency to ensure ethical and equitable practice. </w:t>
      </w:r>
      <w:r w:rsidRPr="50CCE1BD">
        <w:rPr>
          <w:rFonts w:ascii="Arial" w:eastAsia="Arial" w:hAnsi="Arial" w:cs="Arial"/>
          <w:sz w:val="22"/>
          <w:szCs w:val="22"/>
        </w:rPr>
        <w:t xml:space="preserve">A blend of the two approaches might be the best approach to ethical decision-making in health and social care. </w:t>
      </w:r>
    </w:p>
    <w:p w14:paraId="7978E147" w14:textId="513E6358" w:rsidR="48FF43CF" w:rsidRDefault="48FF43CF" w:rsidP="50CCE1BD">
      <w:pPr>
        <w:pStyle w:val="Heading1"/>
        <w:rPr>
          <w:rFonts w:ascii="Arial" w:eastAsia="Arial" w:hAnsi="Arial" w:cs="Arial"/>
        </w:rPr>
      </w:pPr>
      <w:bookmarkStart w:id="4" w:name="_Toc639363880"/>
      <w:r w:rsidRPr="50CCE1BD">
        <w:rPr>
          <w:rFonts w:ascii="Arial" w:eastAsia="Arial" w:hAnsi="Arial" w:cs="Arial"/>
        </w:rPr>
        <w:lastRenderedPageBreak/>
        <w:t>Application in Health and Social Care Practice</w:t>
      </w:r>
      <w:bookmarkEnd w:id="4"/>
    </w:p>
    <w:p w14:paraId="5F87F0C8" w14:textId="5390219F" w:rsidR="46C17CA5" w:rsidRDefault="46C17CA5" w:rsidP="50CCE1BD">
      <w:pPr>
        <w:spacing w:line="360" w:lineRule="auto"/>
        <w:jc w:val="both"/>
        <w:rPr>
          <w:rFonts w:ascii="Arial" w:eastAsia="Arial" w:hAnsi="Arial" w:cs="Arial"/>
          <w:sz w:val="22"/>
          <w:szCs w:val="22"/>
        </w:rPr>
      </w:pPr>
      <w:r w:rsidRPr="50CCE1BD">
        <w:rPr>
          <w:rFonts w:ascii="Arial" w:eastAsia="Arial" w:hAnsi="Arial" w:cs="Arial"/>
          <w:sz w:val="22"/>
          <w:szCs w:val="22"/>
        </w:rPr>
        <w:t xml:space="preserve">The Ethics of Care is very relevant in health and social care, and to the delivery of person-centred care. The emphasis on relationships, empathy and responsiveness means those working in health and social care understand people as co-workers and not objects. This is consistent with the principles of person-centred care, which involves decision-making with service users, based on their needs, preferences, values and experiences. One aspect of the Ethics of Care is in communication and trust-building. Good communication is not just about sharing information, but also listening, being sensitive to feelings and needs. For instance, a nurse caring for an older adult patient might spend more time listening to their concerns about treatment, rather than just the medical aspects. This type of care promotes trust, which is critical for promoting openness and collaboration in health care. This, in turn, can lead to better compliance with treatment and improve quality of life. The Ethics of Care also promotes personalised care planning by acknowledging that individuals have different needs, given their individual circumstances. Care workers are asked to consider care practices in relation to 'fit' rather than prescriptive norms. For example, in social care, a support worker might adapt daily schedules to align with a service user's cultural background or habits, thus empowering and dignifying them. In addition, care and dignity are a key focus of this approach. People receiving health and social care services often feel vulnerable, anxious or impaired in their independence. This approach with empathy and compassion helps to maintain dignity and </w:t>
      </w:r>
      <w:proofErr w:type="spellStart"/>
      <w:r w:rsidRPr="50CCE1BD">
        <w:rPr>
          <w:rFonts w:ascii="Arial" w:eastAsia="Arial" w:hAnsi="Arial" w:cs="Arial"/>
          <w:sz w:val="22"/>
          <w:szCs w:val="22"/>
        </w:rPr>
        <w:t>instill</w:t>
      </w:r>
      <w:proofErr w:type="spellEnd"/>
      <w:r w:rsidRPr="50CCE1BD">
        <w:rPr>
          <w:rFonts w:ascii="Arial" w:eastAsia="Arial" w:hAnsi="Arial" w:cs="Arial"/>
          <w:sz w:val="22"/>
          <w:szCs w:val="22"/>
        </w:rPr>
        <w:t xml:space="preserve"> confidence. For instance, providing psychological support to someone with a distressing diagnosis recognises their need for emotional support, as well as their medical needs. But, though the Ethics of Care improves interactions and enables holistic care, it is time, resource and labour intensive. This raises the challenges of making relational ethics work in practice. </w:t>
      </w:r>
      <w:r w:rsidR="17B298C8" w:rsidRPr="50CCE1BD">
        <w:rPr>
          <w:rFonts w:ascii="Arial" w:eastAsia="Arial" w:hAnsi="Arial" w:cs="Arial"/>
          <w:sz w:val="22"/>
          <w:szCs w:val="22"/>
        </w:rPr>
        <w:t xml:space="preserve">Healthcare systems prioritise efficiency, documentation and risk management, </w:t>
      </w:r>
      <w:r w:rsidR="03E81E8D" w:rsidRPr="50CCE1BD">
        <w:rPr>
          <w:rFonts w:ascii="Arial" w:eastAsia="Arial" w:hAnsi="Arial" w:cs="Arial"/>
          <w:sz w:val="22"/>
          <w:szCs w:val="22"/>
        </w:rPr>
        <w:t xml:space="preserve">(Department of Health and Social Care, 2014), </w:t>
      </w:r>
      <w:r w:rsidR="17B298C8" w:rsidRPr="50CCE1BD">
        <w:rPr>
          <w:rFonts w:ascii="Arial" w:eastAsia="Arial" w:hAnsi="Arial" w:cs="Arial"/>
          <w:sz w:val="22"/>
          <w:szCs w:val="22"/>
        </w:rPr>
        <w:t xml:space="preserve">which can limit the extent to which relational, person-centred approaches are consistently implemented across services. </w:t>
      </w:r>
    </w:p>
    <w:p w14:paraId="3F2D8CB2" w14:textId="37F4227B" w:rsidR="6A5EA127" w:rsidRDefault="6A5EA127" w:rsidP="50CCE1BD">
      <w:pPr>
        <w:pStyle w:val="Heading1"/>
      </w:pPr>
      <w:bookmarkStart w:id="5" w:name="_Toc388443858"/>
      <w:r w:rsidRPr="50CCE1BD">
        <w:t>Criticisms and Limitations of Ethics of Care</w:t>
      </w:r>
      <w:bookmarkEnd w:id="5"/>
    </w:p>
    <w:p w14:paraId="635F8364" w14:textId="665EFE25" w:rsidR="64451A25" w:rsidRDefault="64451A25" w:rsidP="50CCE1BD">
      <w:pPr>
        <w:spacing w:line="360" w:lineRule="auto"/>
        <w:jc w:val="both"/>
        <w:rPr>
          <w:rFonts w:ascii="Arial" w:eastAsia="Arial" w:hAnsi="Arial" w:cs="Arial"/>
          <w:sz w:val="22"/>
          <w:szCs w:val="22"/>
        </w:rPr>
      </w:pPr>
      <w:r w:rsidRPr="50CCE1BD">
        <w:rPr>
          <w:rFonts w:ascii="Arial" w:eastAsia="Arial" w:hAnsi="Arial" w:cs="Arial"/>
          <w:sz w:val="22"/>
          <w:szCs w:val="22"/>
        </w:rPr>
        <w:t xml:space="preserve">Although the Ethics of Care has several strengths, it has also attracted many criticisms, particularly as to its application in the complexity of health and social care. It has been criticised as being too subjective and emotional. With its emphasis on empathy, relationships and context, ethical practice might differ between individuals. This approach can result in inconsistent treatment, with a patient receiving different treatment based on the personal biases, beliefs or feelings of the practitioner. This can be coupled with bias or favouritism. The focus on relationships may inadvertently encourage practitioners to prioritise people with whom they feel more of an </w:t>
      </w:r>
      <w:r w:rsidRPr="50CCE1BD">
        <w:rPr>
          <w:rFonts w:ascii="Arial" w:eastAsia="Arial" w:hAnsi="Arial" w:cs="Arial"/>
          <w:sz w:val="22"/>
          <w:szCs w:val="22"/>
        </w:rPr>
        <w:lastRenderedPageBreak/>
        <w:t xml:space="preserve">attachment. In the complex and busy world of health care, this may translate to preferential treatment of some service users, at the expense of others who may be less interactive or engaging. These practices run counter to the fundamental principles of health care including equality and </w:t>
      </w:r>
      <w:r w:rsidR="152A75A9" w:rsidRPr="50CCE1BD">
        <w:rPr>
          <w:rFonts w:ascii="Arial" w:eastAsia="Arial" w:hAnsi="Arial" w:cs="Arial"/>
          <w:sz w:val="22"/>
          <w:szCs w:val="22"/>
        </w:rPr>
        <w:t>justice and</w:t>
      </w:r>
      <w:r w:rsidRPr="50CCE1BD">
        <w:rPr>
          <w:rFonts w:ascii="Arial" w:eastAsia="Arial" w:hAnsi="Arial" w:cs="Arial"/>
          <w:sz w:val="22"/>
          <w:szCs w:val="22"/>
        </w:rPr>
        <w:t xml:space="preserve"> </w:t>
      </w:r>
      <w:proofErr w:type="gramStart"/>
      <w:r w:rsidRPr="50CCE1BD">
        <w:rPr>
          <w:rFonts w:ascii="Arial" w:eastAsia="Arial" w:hAnsi="Arial" w:cs="Arial"/>
          <w:sz w:val="22"/>
          <w:szCs w:val="22"/>
        </w:rPr>
        <w:t>open up</w:t>
      </w:r>
      <w:proofErr w:type="gramEnd"/>
      <w:r w:rsidRPr="50CCE1BD">
        <w:rPr>
          <w:rFonts w:ascii="Arial" w:eastAsia="Arial" w:hAnsi="Arial" w:cs="Arial"/>
          <w:sz w:val="22"/>
          <w:szCs w:val="22"/>
        </w:rPr>
        <w:t xml:space="preserve"> questions about whether the Ethics of Care approach can be applied to ensure that all people are treated fairly. A further challenge is the ability to apply the approach within complex, large-scale and resource-limited systems. Health and social care services often face tight time constraints, staffing and protocol constraints. Here, it may be unrealistic to expect practitioners to consistently provide highly relational and emotional care. Action-based approaches to care may be prioritised, reducing the possibility of implementing care-based ethics. The Ethics of Care also lacks generalisable rules and guidelines, which may make it difficult for practitioners to justify their actions in certain contexts, such as in situations of legal or ethical tension. It lacks procedural guidance, unlike rule-based approaches, which could contribute to confusion. Thus, while the Ethics of Care offers insights into compassionate care, its shortcomings indicate it cannot be relied upon as a sole ethical framework for health and social care. </w:t>
      </w:r>
      <w:r w:rsidR="2AC1BB58" w:rsidRPr="50CCE1BD">
        <w:rPr>
          <w:rFonts w:ascii="Arial" w:eastAsia="Arial" w:hAnsi="Arial" w:cs="Arial"/>
          <w:sz w:val="22"/>
          <w:szCs w:val="22"/>
        </w:rPr>
        <w:t xml:space="preserve">This suggests that while the Ethics of Care is morally compelling, it may lack the structural clarity required for reliable application across diverse healthcare contexts. </w:t>
      </w:r>
    </w:p>
    <w:p w14:paraId="02FAED9A" w14:textId="4CE10ABB" w:rsidR="738F2CEC" w:rsidRDefault="738F2CEC" w:rsidP="50CCE1BD">
      <w:pPr>
        <w:pStyle w:val="Heading1"/>
        <w:rPr>
          <w:rFonts w:ascii="Arial" w:eastAsia="Arial" w:hAnsi="Arial" w:cs="Arial"/>
        </w:rPr>
      </w:pPr>
      <w:bookmarkStart w:id="6" w:name="_Toc633498363"/>
      <w:r w:rsidRPr="50CCE1BD">
        <w:rPr>
          <w:rFonts w:ascii="Arial" w:eastAsia="Arial" w:hAnsi="Arial" w:cs="Arial"/>
        </w:rPr>
        <w:t>Barriers to Implementation</w:t>
      </w:r>
      <w:bookmarkEnd w:id="6"/>
    </w:p>
    <w:p w14:paraId="65750260" w14:textId="46688A30" w:rsidR="0A85BA93" w:rsidRDefault="0A85BA93" w:rsidP="50CCE1BD">
      <w:pPr>
        <w:spacing w:line="360" w:lineRule="auto"/>
        <w:jc w:val="both"/>
        <w:rPr>
          <w:rFonts w:ascii="Arial" w:eastAsia="Arial" w:hAnsi="Arial" w:cs="Arial"/>
          <w:sz w:val="22"/>
          <w:szCs w:val="22"/>
        </w:rPr>
      </w:pPr>
      <w:r w:rsidRPr="50CCE1BD">
        <w:rPr>
          <w:rFonts w:ascii="Arial" w:eastAsia="Arial" w:hAnsi="Arial" w:cs="Arial"/>
          <w:sz w:val="22"/>
          <w:szCs w:val="22"/>
        </w:rPr>
        <w:t xml:space="preserve">While the Ethics of Care has merits theoretically, the practice of health care and social care can be limited by </w:t>
      </w:r>
      <w:proofErr w:type="gramStart"/>
      <w:r w:rsidRPr="50CCE1BD">
        <w:rPr>
          <w:rFonts w:ascii="Arial" w:eastAsia="Arial" w:hAnsi="Arial" w:cs="Arial"/>
          <w:sz w:val="22"/>
          <w:szCs w:val="22"/>
        </w:rPr>
        <w:t>a number of</w:t>
      </w:r>
      <w:proofErr w:type="gramEnd"/>
      <w:r w:rsidRPr="50CCE1BD">
        <w:rPr>
          <w:rFonts w:ascii="Arial" w:eastAsia="Arial" w:hAnsi="Arial" w:cs="Arial"/>
          <w:sz w:val="22"/>
          <w:szCs w:val="22"/>
        </w:rPr>
        <w:t xml:space="preserve"> organisational factors. A key factor is the factor of time. Health and social care practitioners often have heavy caseloads and short timeframes in which to complete tasks, with an emphasis on efficiency and productivity. This is an obstacle to the Ethics of Care, which require engagement, listening and empathy. This may therefore restrict the possibility of providing person-centred care. This is compounded by staffing problems. With understaffing, health-care providers may be required to focus on core clinical care, rather than relationship building and emotional support. This may result in a task-oriented approach to care, where individuals are cared for based on procedures rather than as individuals with </w:t>
      </w:r>
      <w:r w:rsidR="7E73A20C" w:rsidRPr="50CCE1BD">
        <w:rPr>
          <w:rFonts w:ascii="Arial" w:eastAsia="Arial" w:hAnsi="Arial" w:cs="Arial"/>
          <w:sz w:val="22"/>
          <w:szCs w:val="22"/>
        </w:rPr>
        <w:t>preferences</w:t>
      </w:r>
      <w:r w:rsidRPr="50CCE1BD">
        <w:rPr>
          <w:rFonts w:ascii="Arial" w:eastAsia="Arial" w:hAnsi="Arial" w:cs="Arial"/>
          <w:sz w:val="22"/>
          <w:szCs w:val="22"/>
        </w:rPr>
        <w:t xml:space="preserve"> and values. As a result, care may become de-personalised, detracting from the individualised care espoused by the Ethics of Care. Organisational systems are also important. Many health and social care agencies have established systems that focus on protocols, risk mitigation and outcomes. These systems are essential for ensuring safety and accountability but can limit the flexibility needed to adapt to individual circumstances. This results in a policy-practice gap.</w:t>
      </w:r>
      <w:r w:rsidR="30C693AE" w:rsidRPr="50CCE1BD">
        <w:rPr>
          <w:rFonts w:ascii="Arial" w:eastAsia="Arial" w:hAnsi="Arial" w:cs="Arial"/>
          <w:sz w:val="22"/>
          <w:szCs w:val="22"/>
        </w:rPr>
        <w:t xml:space="preserve"> This gap is a key issue in contemporary health and social care, where person-centred values are strongly promoted in policy but are often difficult to operationalise in practice due to systemic </w:t>
      </w:r>
      <w:r w:rsidR="30C693AE" w:rsidRPr="50CCE1BD">
        <w:rPr>
          <w:rFonts w:ascii="Arial" w:eastAsia="Arial" w:hAnsi="Arial" w:cs="Arial"/>
          <w:sz w:val="22"/>
          <w:szCs w:val="22"/>
        </w:rPr>
        <w:lastRenderedPageBreak/>
        <w:t>pressures.</w:t>
      </w:r>
      <w:r w:rsidRPr="50CCE1BD">
        <w:rPr>
          <w:rFonts w:ascii="Arial" w:eastAsia="Arial" w:hAnsi="Arial" w:cs="Arial"/>
          <w:sz w:val="22"/>
          <w:szCs w:val="22"/>
        </w:rPr>
        <w:t xml:space="preserve"> This forms part of a broader policy–practice gap. While person-centred care is advocated for in policy, the context needed to put it into practice is not always there. This underscores the challenges of incorporating relational ethics in systems that are geared towards efficiency and standardisation. </w:t>
      </w:r>
      <w:r w:rsidR="5E4951CD" w:rsidRPr="50CCE1BD">
        <w:rPr>
          <w:rFonts w:ascii="Arial" w:eastAsia="Arial" w:hAnsi="Arial" w:cs="Arial"/>
          <w:sz w:val="22"/>
          <w:szCs w:val="22"/>
        </w:rPr>
        <w:t>This reflects a systemic prioritisation of efficiency and risk management over relational care, highlighting a structural limitation rather than an individual practitioner issue.</w:t>
      </w:r>
    </w:p>
    <w:p w14:paraId="3D3435AC" w14:textId="3E6F7306" w:rsidR="3E23C130" w:rsidRDefault="3E23C130" w:rsidP="50CCE1BD">
      <w:pPr>
        <w:pStyle w:val="Heading1"/>
        <w:rPr>
          <w:rFonts w:ascii="Arial" w:eastAsia="Arial" w:hAnsi="Arial" w:cs="Arial"/>
        </w:rPr>
      </w:pPr>
      <w:r w:rsidRPr="50CCE1BD">
        <w:t>Recommendations for Practice</w:t>
      </w:r>
    </w:p>
    <w:p w14:paraId="27765609" w14:textId="160A6702" w:rsidR="3E23C130" w:rsidRDefault="3E23C130" w:rsidP="50CCE1BD">
      <w:pPr>
        <w:spacing w:line="360" w:lineRule="auto"/>
        <w:jc w:val="both"/>
        <w:rPr>
          <w:rFonts w:ascii="Arial" w:eastAsia="Arial" w:hAnsi="Arial" w:cs="Arial"/>
          <w:sz w:val="22"/>
          <w:szCs w:val="22"/>
        </w:rPr>
      </w:pPr>
      <w:r w:rsidRPr="50CCE1BD">
        <w:rPr>
          <w:rFonts w:ascii="Arial" w:eastAsia="Arial" w:hAnsi="Arial" w:cs="Arial"/>
          <w:sz w:val="22"/>
          <w:szCs w:val="22"/>
        </w:rPr>
        <w:t xml:space="preserve">To enhance the use of the Ethics of Care in health and social care, there are five improvements that can be made. Firstly, health and social care organisations should include training in relational and person-centred ethics, to guide practitioners in balancing compassion with boundaries to reduce bias and inconsistencies in care. Secondly, health providers should use a blended ethical approach that combines Ethics of Care with other principle-based ethics such as biomedical ethics to ensure both care and justice in decision making. Thirdly, staff should be given time to engage with service users as relational care cannot be provided under time constraints. Finally, better staffing ratios should be offered to minimise task-based care and enable relationship continuity. Lastly, supervisors should support reflective practice to help practitioners reflect critically on their practice and remain ethically vigilant. This would enhance consistency, dignity and person-centred care, while safeguarding ethical practice. </w:t>
      </w:r>
    </w:p>
    <w:p w14:paraId="165A2120" w14:textId="72F44D4D" w:rsidR="7462C0C9" w:rsidRDefault="7462C0C9" w:rsidP="50CCE1BD">
      <w:pPr>
        <w:pStyle w:val="Heading1"/>
        <w:rPr>
          <w:rFonts w:ascii="Arial" w:eastAsia="Arial" w:hAnsi="Arial" w:cs="Arial"/>
        </w:rPr>
      </w:pPr>
      <w:bookmarkStart w:id="7" w:name="_Toc1795403336"/>
      <w:r w:rsidRPr="50CCE1BD">
        <w:rPr>
          <w:rFonts w:ascii="Arial" w:eastAsia="Arial" w:hAnsi="Arial" w:cs="Arial"/>
        </w:rPr>
        <w:t>Conclusion</w:t>
      </w:r>
      <w:bookmarkEnd w:id="7"/>
    </w:p>
    <w:p w14:paraId="366B933A" w14:textId="29E64F0F" w:rsidR="2AB40D25" w:rsidRDefault="2AB40D25" w:rsidP="50CCE1BD">
      <w:pPr>
        <w:spacing w:line="360" w:lineRule="auto"/>
        <w:jc w:val="both"/>
        <w:rPr>
          <w:rFonts w:ascii="Arial" w:eastAsia="Arial" w:hAnsi="Arial" w:cs="Arial"/>
          <w:sz w:val="22"/>
          <w:szCs w:val="22"/>
        </w:rPr>
      </w:pPr>
      <w:r w:rsidRPr="50CCE1BD">
        <w:rPr>
          <w:rFonts w:ascii="Arial" w:eastAsia="Arial" w:hAnsi="Arial" w:cs="Arial"/>
          <w:sz w:val="22"/>
          <w:szCs w:val="22"/>
        </w:rPr>
        <w:t>To conclude, this essay has critically examined the Ethics of Care as a key theoretical framework underpinning person-centred care in health and social care practice. With respect to LO1, the discussion shows how care ethics emerged as an alternative to principle-based theories like biomedical ethics that focus on relational, contextual and empathetic considerations in moral decision-making. But it also demonstrates that problems of consistency, bias and ambiguity in process hinder its full integration into formalised health and social care systems. In relation to LO2, the discussion highlights that while Ethics of Care is highly supportive of person-centred care, through better communication, dignity and support, it is limited in its application in health and social care environments by organisational demands on time, staffing and policy. And overall, the best approach is not to work with Ethics of Care in isolation but to work with an integrated model of relational ethics and principle-based ethics, such as biomedical ethics, to achieve compassion and justice. This model is ideal for ethical, consistent and sustainable care practice in contemporary health and social care</w:t>
      </w:r>
      <w:r w:rsidR="0580EB26" w:rsidRPr="50CCE1BD">
        <w:rPr>
          <w:rFonts w:ascii="Arial" w:eastAsia="Arial" w:hAnsi="Arial" w:cs="Arial"/>
          <w:sz w:val="22"/>
          <w:szCs w:val="22"/>
        </w:rPr>
        <w:t xml:space="preserve">. </w:t>
      </w:r>
    </w:p>
    <w:p w14:paraId="508366F6" w14:textId="5F42D4F6" w:rsidR="50CCE1BD" w:rsidRDefault="50CCE1BD" w:rsidP="50CCE1BD">
      <w:pPr>
        <w:spacing w:line="360" w:lineRule="auto"/>
        <w:jc w:val="both"/>
        <w:rPr>
          <w:rFonts w:ascii="Arial" w:eastAsia="Arial" w:hAnsi="Arial" w:cs="Arial"/>
          <w:sz w:val="22"/>
          <w:szCs w:val="22"/>
        </w:rPr>
      </w:pPr>
    </w:p>
    <w:p w14:paraId="66E6502B" w14:textId="4E52CEC5" w:rsidR="50CCE1BD" w:rsidRDefault="50CCE1BD" w:rsidP="50CCE1BD">
      <w:pPr>
        <w:spacing w:line="360" w:lineRule="auto"/>
        <w:jc w:val="both"/>
        <w:rPr>
          <w:rFonts w:ascii="Arial" w:eastAsia="Arial" w:hAnsi="Arial" w:cs="Arial"/>
          <w:sz w:val="22"/>
          <w:szCs w:val="22"/>
        </w:rPr>
      </w:pPr>
    </w:p>
    <w:p w14:paraId="794954E1" w14:textId="78492CB2" w:rsidR="783270CC" w:rsidRDefault="783270CC" w:rsidP="50CCE1BD">
      <w:pPr>
        <w:pStyle w:val="Heading1"/>
        <w:rPr>
          <w:rFonts w:ascii="Arial" w:eastAsia="Arial" w:hAnsi="Arial" w:cs="Arial"/>
        </w:rPr>
      </w:pPr>
      <w:bookmarkStart w:id="8" w:name="_Toc90825489"/>
      <w:r w:rsidRPr="50CCE1BD">
        <w:rPr>
          <w:rFonts w:ascii="Arial" w:eastAsia="Arial" w:hAnsi="Arial" w:cs="Arial"/>
        </w:rPr>
        <w:t>References</w:t>
      </w:r>
      <w:bookmarkEnd w:id="8"/>
    </w:p>
    <w:p w14:paraId="6EB519E1" w14:textId="45F297B8" w:rsidR="6662167C" w:rsidRDefault="6662167C" w:rsidP="50CCE1BD">
      <w:pPr>
        <w:spacing w:before="240" w:after="240"/>
        <w:jc w:val="both"/>
      </w:pPr>
      <w:r w:rsidRPr="50CCE1BD">
        <w:rPr>
          <w:rFonts w:ascii="Arial" w:eastAsia="Arial" w:hAnsi="Arial" w:cs="Arial"/>
          <w:sz w:val="22"/>
          <w:szCs w:val="22"/>
        </w:rPr>
        <w:t xml:space="preserve">Gilligan, C. (1982) </w:t>
      </w:r>
      <w:r w:rsidRPr="50CCE1BD">
        <w:rPr>
          <w:rFonts w:ascii="Arial" w:eastAsia="Arial" w:hAnsi="Arial" w:cs="Arial"/>
          <w:i/>
          <w:iCs/>
          <w:sz w:val="22"/>
          <w:szCs w:val="22"/>
        </w:rPr>
        <w:t>In a Different Voice: Psychological Theory and Women’s Development</w:t>
      </w:r>
      <w:r w:rsidRPr="50CCE1BD">
        <w:rPr>
          <w:rFonts w:ascii="Arial" w:eastAsia="Arial" w:hAnsi="Arial" w:cs="Arial"/>
          <w:sz w:val="22"/>
          <w:szCs w:val="22"/>
        </w:rPr>
        <w:t>. Cambridge, MA: Harvard University Press.</w:t>
      </w:r>
    </w:p>
    <w:p w14:paraId="5359B2CB" w14:textId="23DB4283" w:rsidR="6662167C" w:rsidRDefault="6662167C" w:rsidP="50CCE1BD">
      <w:pPr>
        <w:spacing w:before="240" w:after="240"/>
        <w:jc w:val="both"/>
      </w:pPr>
      <w:proofErr w:type="spellStart"/>
      <w:r w:rsidRPr="50CCE1BD">
        <w:rPr>
          <w:rFonts w:ascii="Arial" w:eastAsia="Arial" w:hAnsi="Arial" w:cs="Arial"/>
          <w:sz w:val="22"/>
          <w:szCs w:val="22"/>
        </w:rPr>
        <w:t>Noddings</w:t>
      </w:r>
      <w:proofErr w:type="spellEnd"/>
      <w:r w:rsidRPr="50CCE1BD">
        <w:rPr>
          <w:rFonts w:ascii="Arial" w:eastAsia="Arial" w:hAnsi="Arial" w:cs="Arial"/>
          <w:sz w:val="22"/>
          <w:szCs w:val="22"/>
        </w:rPr>
        <w:t xml:space="preserve">, N. (1984) </w:t>
      </w:r>
      <w:r w:rsidRPr="50CCE1BD">
        <w:rPr>
          <w:rFonts w:ascii="Arial" w:eastAsia="Arial" w:hAnsi="Arial" w:cs="Arial"/>
          <w:i/>
          <w:iCs/>
          <w:sz w:val="22"/>
          <w:szCs w:val="22"/>
        </w:rPr>
        <w:t>Caring: A Feminine Approach to Ethics and Moral Education</w:t>
      </w:r>
      <w:r w:rsidRPr="50CCE1BD">
        <w:rPr>
          <w:rFonts w:ascii="Arial" w:eastAsia="Arial" w:hAnsi="Arial" w:cs="Arial"/>
          <w:sz w:val="22"/>
          <w:szCs w:val="22"/>
        </w:rPr>
        <w:t>. Berkeley: University of California Press.</w:t>
      </w:r>
    </w:p>
    <w:p w14:paraId="421DF0BE" w14:textId="42E570B0" w:rsidR="6662167C" w:rsidRDefault="6662167C" w:rsidP="50CCE1BD">
      <w:pPr>
        <w:spacing w:before="240" w:after="240"/>
        <w:jc w:val="both"/>
      </w:pPr>
      <w:r w:rsidRPr="50CCE1BD">
        <w:rPr>
          <w:rFonts w:ascii="Arial" w:eastAsia="Arial" w:hAnsi="Arial" w:cs="Arial"/>
          <w:sz w:val="22"/>
          <w:szCs w:val="22"/>
        </w:rPr>
        <w:t xml:space="preserve">Held, V. (2006) </w:t>
      </w:r>
      <w:r w:rsidRPr="50CCE1BD">
        <w:rPr>
          <w:rFonts w:ascii="Arial" w:eastAsia="Arial" w:hAnsi="Arial" w:cs="Arial"/>
          <w:i/>
          <w:iCs/>
          <w:sz w:val="22"/>
          <w:szCs w:val="22"/>
        </w:rPr>
        <w:t>The Ethics of Care: Personal, Political, and Global</w:t>
      </w:r>
      <w:r w:rsidRPr="50CCE1BD">
        <w:rPr>
          <w:rFonts w:ascii="Arial" w:eastAsia="Arial" w:hAnsi="Arial" w:cs="Arial"/>
          <w:sz w:val="22"/>
          <w:szCs w:val="22"/>
        </w:rPr>
        <w:t>. Oxford: Oxford University Press.</w:t>
      </w:r>
    </w:p>
    <w:p w14:paraId="309F135A" w14:textId="2D29543F" w:rsidR="6662167C" w:rsidRDefault="6662167C" w:rsidP="50CCE1BD">
      <w:pPr>
        <w:spacing w:before="240" w:after="240"/>
        <w:jc w:val="both"/>
      </w:pPr>
      <w:proofErr w:type="spellStart"/>
      <w:r w:rsidRPr="50CCE1BD">
        <w:rPr>
          <w:rFonts w:ascii="Arial" w:eastAsia="Arial" w:hAnsi="Arial" w:cs="Arial"/>
          <w:sz w:val="22"/>
          <w:szCs w:val="22"/>
        </w:rPr>
        <w:t>Tronto</w:t>
      </w:r>
      <w:proofErr w:type="spellEnd"/>
      <w:r w:rsidRPr="50CCE1BD">
        <w:rPr>
          <w:rFonts w:ascii="Arial" w:eastAsia="Arial" w:hAnsi="Arial" w:cs="Arial"/>
          <w:sz w:val="22"/>
          <w:szCs w:val="22"/>
        </w:rPr>
        <w:t xml:space="preserve">, J.C. (1993) </w:t>
      </w:r>
      <w:r w:rsidRPr="50CCE1BD">
        <w:rPr>
          <w:rFonts w:ascii="Arial" w:eastAsia="Arial" w:hAnsi="Arial" w:cs="Arial"/>
          <w:i/>
          <w:iCs/>
          <w:sz w:val="22"/>
          <w:szCs w:val="22"/>
        </w:rPr>
        <w:t>Moral Boundaries: A Political Argument for an Ethic of Care</w:t>
      </w:r>
      <w:r w:rsidRPr="50CCE1BD">
        <w:rPr>
          <w:rFonts w:ascii="Arial" w:eastAsia="Arial" w:hAnsi="Arial" w:cs="Arial"/>
          <w:sz w:val="22"/>
          <w:szCs w:val="22"/>
        </w:rPr>
        <w:t>. New York: Routledge.</w:t>
      </w:r>
    </w:p>
    <w:p w14:paraId="51EC15D9" w14:textId="68DE147F" w:rsidR="6662167C" w:rsidRDefault="6662167C" w:rsidP="50CCE1BD">
      <w:pPr>
        <w:spacing w:before="240" w:after="240"/>
        <w:jc w:val="both"/>
      </w:pPr>
      <w:proofErr w:type="spellStart"/>
      <w:r w:rsidRPr="50CCE1BD">
        <w:rPr>
          <w:rFonts w:ascii="Arial" w:eastAsia="Arial" w:hAnsi="Arial" w:cs="Arial"/>
          <w:sz w:val="22"/>
          <w:szCs w:val="22"/>
        </w:rPr>
        <w:t>Engster</w:t>
      </w:r>
      <w:proofErr w:type="spellEnd"/>
      <w:r w:rsidRPr="50CCE1BD">
        <w:rPr>
          <w:rFonts w:ascii="Arial" w:eastAsia="Arial" w:hAnsi="Arial" w:cs="Arial"/>
          <w:sz w:val="22"/>
          <w:szCs w:val="22"/>
        </w:rPr>
        <w:t xml:space="preserve">, D. (2007) </w:t>
      </w:r>
      <w:r w:rsidRPr="50CCE1BD">
        <w:rPr>
          <w:rFonts w:ascii="Arial" w:eastAsia="Arial" w:hAnsi="Arial" w:cs="Arial"/>
          <w:i/>
          <w:iCs/>
          <w:sz w:val="22"/>
          <w:szCs w:val="22"/>
        </w:rPr>
        <w:t>The Heart of Justice: Care Ethics and Political Theory</w:t>
      </w:r>
      <w:r w:rsidRPr="50CCE1BD">
        <w:rPr>
          <w:rFonts w:ascii="Arial" w:eastAsia="Arial" w:hAnsi="Arial" w:cs="Arial"/>
          <w:sz w:val="22"/>
          <w:szCs w:val="22"/>
        </w:rPr>
        <w:t>. Oxford: Oxford University Press.</w:t>
      </w:r>
    </w:p>
    <w:p w14:paraId="57CF6D4B" w14:textId="13B18B04" w:rsidR="6662167C" w:rsidRDefault="6662167C" w:rsidP="50CCE1BD">
      <w:pPr>
        <w:spacing w:before="240" w:after="240"/>
        <w:jc w:val="both"/>
      </w:pPr>
      <w:r w:rsidRPr="50CCE1BD">
        <w:rPr>
          <w:rFonts w:ascii="Arial" w:eastAsia="Arial" w:hAnsi="Arial" w:cs="Arial"/>
          <w:sz w:val="22"/>
          <w:szCs w:val="22"/>
        </w:rPr>
        <w:t xml:space="preserve">Beauchamp, T.L. and Childress, J.F. (2019) </w:t>
      </w:r>
      <w:r w:rsidRPr="50CCE1BD">
        <w:rPr>
          <w:rFonts w:ascii="Arial" w:eastAsia="Arial" w:hAnsi="Arial" w:cs="Arial"/>
          <w:i/>
          <w:iCs/>
          <w:sz w:val="22"/>
          <w:szCs w:val="22"/>
        </w:rPr>
        <w:t>Principles of Biomedical Ethics</w:t>
      </w:r>
      <w:r w:rsidRPr="50CCE1BD">
        <w:rPr>
          <w:rFonts w:ascii="Arial" w:eastAsia="Arial" w:hAnsi="Arial" w:cs="Arial"/>
          <w:sz w:val="22"/>
          <w:szCs w:val="22"/>
        </w:rPr>
        <w:t xml:space="preserve">. 8th </w:t>
      </w:r>
      <w:proofErr w:type="spellStart"/>
      <w:r w:rsidRPr="50CCE1BD">
        <w:rPr>
          <w:rFonts w:ascii="Arial" w:eastAsia="Arial" w:hAnsi="Arial" w:cs="Arial"/>
          <w:sz w:val="22"/>
          <w:szCs w:val="22"/>
        </w:rPr>
        <w:t>edn</w:t>
      </w:r>
      <w:proofErr w:type="spellEnd"/>
      <w:r w:rsidRPr="50CCE1BD">
        <w:rPr>
          <w:rFonts w:ascii="Arial" w:eastAsia="Arial" w:hAnsi="Arial" w:cs="Arial"/>
          <w:sz w:val="22"/>
          <w:szCs w:val="22"/>
        </w:rPr>
        <w:t>. New York: Oxford University Press.</w:t>
      </w:r>
    </w:p>
    <w:p w14:paraId="441388AC" w14:textId="610E1C9C" w:rsidR="6662167C" w:rsidRDefault="6662167C" w:rsidP="50CCE1BD">
      <w:pPr>
        <w:spacing w:before="240" w:after="240"/>
        <w:jc w:val="both"/>
      </w:pPr>
      <w:r w:rsidRPr="50CCE1BD">
        <w:rPr>
          <w:rFonts w:ascii="Arial" w:eastAsia="Arial" w:hAnsi="Arial" w:cs="Arial"/>
          <w:sz w:val="22"/>
          <w:szCs w:val="22"/>
        </w:rPr>
        <w:t xml:space="preserve">World Health Organization (2001) </w:t>
      </w:r>
      <w:r w:rsidRPr="50CCE1BD">
        <w:rPr>
          <w:rFonts w:ascii="Arial" w:eastAsia="Arial" w:hAnsi="Arial" w:cs="Arial"/>
          <w:i/>
          <w:iCs/>
          <w:sz w:val="22"/>
          <w:szCs w:val="22"/>
        </w:rPr>
        <w:t>International Classification of Functioning, Disability and Health (ICF)</w:t>
      </w:r>
      <w:r w:rsidRPr="50CCE1BD">
        <w:rPr>
          <w:rFonts w:ascii="Arial" w:eastAsia="Arial" w:hAnsi="Arial" w:cs="Arial"/>
          <w:sz w:val="22"/>
          <w:szCs w:val="22"/>
        </w:rPr>
        <w:t>. Geneva: WHO.</w:t>
      </w:r>
    </w:p>
    <w:p w14:paraId="5BB33E9A" w14:textId="6D6FD4B6" w:rsidR="6662167C" w:rsidRDefault="6662167C" w:rsidP="50CCE1BD">
      <w:pPr>
        <w:spacing w:before="240" w:after="240"/>
        <w:jc w:val="both"/>
      </w:pPr>
      <w:r w:rsidRPr="50CCE1BD">
        <w:rPr>
          <w:rFonts w:ascii="Arial" w:eastAsia="Arial" w:hAnsi="Arial" w:cs="Arial"/>
          <w:sz w:val="22"/>
          <w:szCs w:val="22"/>
        </w:rPr>
        <w:t xml:space="preserve">NHS England (2017) </w:t>
      </w:r>
      <w:r w:rsidRPr="50CCE1BD">
        <w:rPr>
          <w:rFonts w:ascii="Arial" w:eastAsia="Arial" w:hAnsi="Arial" w:cs="Arial"/>
          <w:i/>
          <w:iCs/>
          <w:sz w:val="22"/>
          <w:szCs w:val="22"/>
        </w:rPr>
        <w:t>Person-Centred Care Guidance</w:t>
      </w:r>
      <w:r w:rsidRPr="50CCE1BD">
        <w:rPr>
          <w:rFonts w:ascii="Arial" w:eastAsia="Arial" w:hAnsi="Arial" w:cs="Arial"/>
          <w:sz w:val="22"/>
          <w:szCs w:val="22"/>
        </w:rPr>
        <w:t xml:space="preserve">. London: NHS England. Available at: </w:t>
      </w:r>
      <w:hyperlink r:id="rId8">
        <w:r w:rsidRPr="50CCE1BD">
          <w:rPr>
            <w:rStyle w:val="Hyperlink"/>
            <w:rFonts w:ascii="Arial" w:eastAsia="Arial" w:hAnsi="Arial" w:cs="Arial"/>
            <w:sz w:val="22"/>
            <w:szCs w:val="22"/>
          </w:rPr>
          <w:t>https://www.hee.nhs.uk/our-work/person-centred-care</w:t>
        </w:r>
      </w:hyperlink>
      <w:r w:rsidRPr="50CCE1BD">
        <w:rPr>
          <w:rFonts w:ascii="Arial" w:eastAsia="Arial" w:hAnsi="Arial" w:cs="Arial"/>
          <w:sz w:val="22"/>
          <w:szCs w:val="22"/>
        </w:rPr>
        <w:t xml:space="preserve"> (Accessed: 27 April 2026).</w:t>
      </w:r>
    </w:p>
    <w:p w14:paraId="225425FA" w14:textId="1DC10D18" w:rsidR="6662167C" w:rsidRDefault="6662167C" w:rsidP="50CCE1BD">
      <w:pPr>
        <w:spacing w:before="240" w:after="240"/>
        <w:jc w:val="both"/>
      </w:pPr>
      <w:r w:rsidRPr="50CCE1BD">
        <w:rPr>
          <w:rFonts w:ascii="Arial" w:eastAsia="Arial" w:hAnsi="Arial" w:cs="Arial"/>
          <w:sz w:val="22"/>
          <w:szCs w:val="22"/>
        </w:rPr>
        <w:t xml:space="preserve">Department of Health and Social Care (2014) </w:t>
      </w:r>
      <w:r w:rsidRPr="50CCE1BD">
        <w:rPr>
          <w:rFonts w:ascii="Arial" w:eastAsia="Arial" w:hAnsi="Arial" w:cs="Arial"/>
          <w:i/>
          <w:iCs/>
          <w:sz w:val="22"/>
          <w:szCs w:val="22"/>
        </w:rPr>
        <w:t>Care and Support Statutory Guidance</w:t>
      </w:r>
      <w:r w:rsidRPr="50CCE1BD">
        <w:rPr>
          <w:rFonts w:ascii="Arial" w:eastAsia="Arial" w:hAnsi="Arial" w:cs="Arial"/>
          <w:sz w:val="22"/>
          <w:szCs w:val="22"/>
        </w:rPr>
        <w:t xml:space="preserve">. London: DHSC. Available at: </w:t>
      </w:r>
      <w:hyperlink r:id="rId9">
        <w:r w:rsidRPr="50CCE1BD">
          <w:rPr>
            <w:rStyle w:val="Hyperlink"/>
            <w:rFonts w:ascii="Arial" w:eastAsia="Arial" w:hAnsi="Arial" w:cs="Arial"/>
            <w:sz w:val="22"/>
            <w:szCs w:val="22"/>
          </w:rPr>
          <w:t>https://www.gov.uk</w:t>
        </w:r>
      </w:hyperlink>
      <w:r w:rsidRPr="50CCE1BD">
        <w:rPr>
          <w:rFonts w:ascii="Arial" w:eastAsia="Arial" w:hAnsi="Arial" w:cs="Arial"/>
          <w:sz w:val="22"/>
          <w:szCs w:val="22"/>
        </w:rPr>
        <w:t xml:space="preserve"> (Accessed: 27 April 2026).</w:t>
      </w:r>
    </w:p>
    <w:p w14:paraId="148BAB08" w14:textId="7985CDF2" w:rsidR="6662167C" w:rsidRDefault="6662167C" w:rsidP="50CCE1BD">
      <w:pPr>
        <w:spacing w:before="240" w:after="240"/>
        <w:jc w:val="both"/>
      </w:pPr>
      <w:r w:rsidRPr="50CCE1BD">
        <w:rPr>
          <w:rFonts w:ascii="Arial" w:eastAsia="Arial" w:hAnsi="Arial" w:cs="Arial"/>
          <w:sz w:val="22"/>
          <w:szCs w:val="22"/>
        </w:rPr>
        <w:t xml:space="preserve">Banks, S. (2012) </w:t>
      </w:r>
      <w:r w:rsidRPr="50CCE1BD">
        <w:rPr>
          <w:rFonts w:ascii="Arial" w:eastAsia="Arial" w:hAnsi="Arial" w:cs="Arial"/>
          <w:i/>
          <w:iCs/>
          <w:sz w:val="22"/>
          <w:szCs w:val="22"/>
        </w:rPr>
        <w:t>Ethics and Values in Social Work</w:t>
      </w:r>
      <w:r w:rsidRPr="50CCE1BD">
        <w:rPr>
          <w:rFonts w:ascii="Arial" w:eastAsia="Arial" w:hAnsi="Arial" w:cs="Arial"/>
          <w:sz w:val="22"/>
          <w:szCs w:val="22"/>
        </w:rPr>
        <w:t xml:space="preserve">. 4th </w:t>
      </w:r>
      <w:proofErr w:type="spellStart"/>
      <w:r w:rsidRPr="50CCE1BD">
        <w:rPr>
          <w:rFonts w:ascii="Arial" w:eastAsia="Arial" w:hAnsi="Arial" w:cs="Arial"/>
          <w:sz w:val="22"/>
          <w:szCs w:val="22"/>
        </w:rPr>
        <w:t>edn</w:t>
      </w:r>
      <w:proofErr w:type="spellEnd"/>
      <w:r w:rsidRPr="50CCE1BD">
        <w:rPr>
          <w:rFonts w:ascii="Arial" w:eastAsia="Arial" w:hAnsi="Arial" w:cs="Arial"/>
          <w:sz w:val="22"/>
          <w:szCs w:val="22"/>
        </w:rPr>
        <w:t>. Basingstoke: Palgrave Macmillan.</w:t>
      </w:r>
    </w:p>
    <w:p w14:paraId="2665A8A3" w14:textId="4F8A1E07" w:rsidR="50CCE1BD" w:rsidRDefault="50CCE1BD" w:rsidP="50CCE1BD">
      <w:pPr>
        <w:spacing w:before="240" w:after="240" w:line="360" w:lineRule="auto"/>
        <w:jc w:val="both"/>
        <w:rPr>
          <w:rFonts w:ascii="Arial" w:eastAsia="Arial" w:hAnsi="Arial" w:cs="Arial"/>
          <w:sz w:val="22"/>
          <w:szCs w:val="22"/>
        </w:rPr>
      </w:pPr>
    </w:p>
    <w:sectPr w:rsidR="50CCE1BD">
      <w:headerReference w:type="default" r:id="rId10"/>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B2589" w14:textId="77777777" w:rsidR="009057EB" w:rsidRDefault="009057EB">
      <w:pPr>
        <w:spacing w:after="0" w:line="240" w:lineRule="auto"/>
      </w:pPr>
      <w:r>
        <w:separator/>
      </w:r>
    </w:p>
  </w:endnote>
  <w:endnote w:type="continuationSeparator" w:id="0">
    <w:p w14:paraId="2FFBE3EB" w14:textId="77777777" w:rsidR="009057EB" w:rsidRDefault="00905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5285CB6" w14:paraId="3CE15A6C" w14:textId="77777777" w:rsidTr="118F946D">
      <w:trPr>
        <w:trHeight w:val="300"/>
      </w:trPr>
      <w:tc>
        <w:tcPr>
          <w:tcW w:w="3120" w:type="dxa"/>
        </w:tcPr>
        <w:p w14:paraId="2DEBEA27" w14:textId="0F41743D" w:rsidR="65285CB6" w:rsidRDefault="65285CB6" w:rsidP="65285CB6">
          <w:pPr>
            <w:pStyle w:val="Header"/>
            <w:ind w:left="-115"/>
          </w:pPr>
        </w:p>
      </w:tc>
      <w:tc>
        <w:tcPr>
          <w:tcW w:w="3120" w:type="dxa"/>
        </w:tcPr>
        <w:p w14:paraId="2F72A15C" w14:textId="433E9F09" w:rsidR="65285CB6" w:rsidRDefault="65285CB6" w:rsidP="61B08A53">
          <w:pPr>
            <w:pStyle w:val="Header"/>
            <w:jc w:val="center"/>
            <w:rPr>
              <w:noProof/>
            </w:rPr>
          </w:pPr>
          <w:r w:rsidRPr="118F946D">
            <w:rPr>
              <w:noProof/>
            </w:rPr>
            <w:fldChar w:fldCharType="begin"/>
          </w:r>
          <w:r>
            <w:instrText>PAGE</w:instrText>
          </w:r>
          <w:r w:rsidRPr="118F946D">
            <w:fldChar w:fldCharType="separate"/>
          </w:r>
          <w:r w:rsidR="00B46E93">
            <w:rPr>
              <w:noProof/>
            </w:rPr>
            <w:t>1</w:t>
          </w:r>
          <w:r w:rsidRPr="118F946D">
            <w:rPr>
              <w:noProof/>
            </w:rPr>
            <w:fldChar w:fldCharType="end"/>
          </w:r>
        </w:p>
      </w:tc>
      <w:tc>
        <w:tcPr>
          <w:tcW w:w="3120" w:type="dxa"/>
        </w:tcPr>
        <w:p w14:paraId="267105C9" w14:textId="1D2188EB" w:rsidR="65285CB6" w:rsidRDefault="65285CB6" w:rsidP="65285CB6">
          <w:pPr>
            <w:pStyle w:val="Header"/>
            <w:ind w:right="-115"/>
            <w:jc w:val="right"/>
          </w:pPr>
        </w:p>
      </w:tc>
    </w:tr>
  </w:tbl>
  <w:p w14:paraId="5705F4B1" w14:textId="3751D9E4" w:rsidR="65285CB6" w:rsidRDefault="65285CB6" w:rsidP="65285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D8C46" w14:textId="77777777" w:rsidR="009057EB" w:rsidRDefault="009057EB">
      <w:pPr>
        <w:spacing w:after="0" w:line="240" w:lineRule="auto"/>
      </w:pPr>
      <w:r>
        <w:separator/>
      </w:r>
    </w:p>
  </w:footnote>
  <w:footnote w:type="continuationSeparator" w:id="0">
    <w:p w14:paraId="61AB8323" w14:textId="77777777" w:rsidR="009057EB" w:rsidRDefault="009057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5285CB6" w14:paraId="710A79B9" w14:textId="77777777" w:rsidTr="65285CB6">
      <w:trPr>
        <w:trHeight w:val="300"/>
      </w:trPr>
      <w:tc>
        <w:tcPr>
          <w:tcW w:w="3120" w:type="dxa"/>
        </w:tcPr>
        <w:p w14:paraId="7778A181" w14:textId="2E1B4E51" w:rsidR="65285CB6" w:rsidRDefault="65285CB6" w:rsidP="65285CB6">
          <w:pPr>
            <w:pStyle w:val="Header"/>
            <w:ind w:left="-115"/>
          </w:pPr>
        </w:p>
      </w:tc>
      <w:tc>
        <w:tcPr>
          <w:tcW w:w="3120" w:type="dxa"/>
        </w:tcPr>
        <w:p w14:paraId="5D32ACE7" w14:textId="02B37FBF" w:rsidR="65285CB6" w:rsidRDefault="65285CB6" w:rsidP="65285CB6">
          <w:pPr>
            <w:pStyle w:val="Header"/>
            <w:jc w:val="center"/>
          </w:pPr>
        </w:p>
      </w:tc>
      <w:tc>
        <w:tcPr>
          <w:tcW w:w="3120" w:type="dxa"/>
        </w:tcPr>
        <w:p w14:paraId="2893FAA8" w14:textId="1AD91A99" w:rsidR="65285CB6" w:rsidRDefault="65285CB6" w:rsidP="65285CB6">
          <w:pPr>
            <w:pStyle w:val="Header"/>
            <w:ind w:right="-115"/>
            <w:jc w:val="right"/>
          </w:pPr>
        </w:p>
      </w:tc>
    </w:tr>
  </w:tbl>
  <w:p w14:paraId="24C4DEBD" w14:textId="0B82F09F" w:rsidR="65285CB6" w:rsidRDefault="65285CB6" w:rsidP="65285C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73C81"/>
    <w:multiLevelType w:val="hybridMultilevel"/>
    <w:tmpl w:val="EF58C24A"/>
    <w:lvl w:ilvl="0" w:tplc="0C7C7722">
      <w:start w:val="1"/>
      <w:numFmt w:val="decimal"/>
      <w:lvlText w:val="%1."/>
      <w:lvlJc w:val="left"/>
      <w:pPr>
        <w:ind w:left="720" w:hanging="360"/>
      </w:pPr>
    </w:lvl>
    <w:lvl w:ilvl="1" w:tplc="CB5C32C2">
      <w:start w:val="1"/>
      <w:numFmt w:val="lowerLetter"/>
      <w:lvlText w:val="%2."/>
      <w:lvlJc w:val="left"/>
      <w:pPr>
        <w:ind w:left="1440" w:hanging="360"/>
      </w:pPr>
    </w:lvl>
    <w:lvl w:ilvl="2" w:tplc="AC3CEFC2">
      <w:start w:val="1"/>
      <w:numFmt w:val="lowerRoman"/>
      <w:lvlText w:val="%3."/>
      <w:lvlJc w:val="right"/>
      <w:pPr>
        <w:ind w:left="2160" w:hanging="180"/>
      </w:pPr>
    </w:lvl>
    <w:lvl w:ilvl="3" w:tplc="81AC0BDE">
      <w:start w:val="1"/>
      <w:numFmt w:val="decimal"/>
      <w:lvlText w:val="%4."/>
      <w:lvlJc w:val="left"/>
      <w:pPr>
        <w:ind w:left="2880" w:hanging="360"/>
      </w:pPr>
    </w:lvl>
    <w:lvl w:ilvl="4" w:tplc="C0BA1000">
      <w:start w:val="1"/>
      <w:numFmt w:val="lowerLetter"/>
      <w:lvlText w:val="%5."/>
      <w:lvlJc w:val="left"/>
      <w:pPr>
        <w:ind w:left="3600" w:hanging="360"/>
      </w:pPr>
    </w:lvl>
    <w:lvl w:ilvl="5" w:tplc="2D184AB2">
      <w:start w:val="1"/>
      <w:numFmt w:val="lowerRoman"/>
      <w:lvlText w:val="%6."/>
      <w:lvlJc w:val="right"/>
      <w:pPr>
        <w:ind w:left="4320" w:hanging="180"/>
      </w:pPr>
    </w:lvl>
    <w:lvl w:ilvl="6" w:tplc="124C5F36">
      <w:start w:val="1"/>
      <w:numFmt w:val="decimal"/>
      <w:lvlText w:val="%7."/>
      <w:lvlJc w:val="left"/>
      <w:pPr>
        <w:ind w:left="5040" w:hanging="360"/>
      </w:pPr>
    </w:lvl>
    <w:lvl w:ilvl="7" w:tplc="139A51E0">
      <w:start w:val="1"/>
      <w:numFmt w:val="lowerLetter"/>
      <w:lvlText w:val="%8."/>
      <w:lvlJc w:val="left"/>
      <w:pPr>
        <w:ind w:left="5760" w:hanging="360"/>
      </w:pPr>
    </w:lvl>
    <w:lvl w:ilvl="8" w:tplc="6E46F0E6">
      <w:start w:val="1"/>
      <w:numFmt w:val="lowerRoman"/>
      <w:lvlText w:val="%9."/>
      <w:lvlJc w:val="right"/>
      <w:pPr>
        <w:ind w:left="6480" w:hanging="180"/>
      </w:pPr>
    </w:lvl>
  </w:abstractNum>
  <w:abstractNum w:abstractNumId="1" w15:restartNumberingAfterBreak="0">
    <w:nsid w:val="3815DC8A"/>
    <w:multiLevelType w:val="hybridMultilevel"/>
    <w:tmpl w:val="27FEBC0A"/>
    <w:lvl w:ilvl="0" w:tplc="852C5DE6">
      <w:start w:val="1"/>
      <w:numFmt w:val="decimal"/>
      <w:lvlText w:val="%1."/>
      <w:lvlJc w:val="left"/>
      <w:pPr>
        <w:ind w:left="720" w:hanging="360"/>
      </w:pPr>
    </w:lvl>
    <w:lvl w:ilvl="1" w:tplc="D126142E">
      <w:start w:val="1"/>
      <w:numFmt w:val="lowerLetter"/>
      <w:lvlText w:val="%2."/>
      <w:lvlJc w:val="left"/>
      <w:pPr>
        <w:ind w:left="1440" w:hanging="360"/>
      </w:pPr>
    </w:lvl>
    <w:lvl w:ilvl="2" w:tplc="A0D6CAEA">
      <w:start w:val="1"/>
      <w:numFmt w:val="lowerRoman"/>
      <w:lvlText w:val="%3."/>
      <w:lvlJc w:val="right"/>
      <w:pPr>
        <w:ind w:left="2160" w:hanging="180"/>
      </w:pPr>
    </w:lvl>
    <w:lvl w:ilvl="3" w:tplc="259ACB98">
      <w:start w:val="1"/>
      <w:numFmt w:val="decimal"/>
      <w:lvlText w:val="%4."/>
      <w:lvlJc w:val="left"/>
      <w:pPr>
        <w:ind w:left="2880" w:hanging="360"/>
      </w:pPr>
    </w:lvl>
    <w:lvl w:ilvl="4" w:tplc="FFD67F5A">
      <w:start w:val="1"/>
      <w:numFmt w:val="lowerLetter"/>
      <w:lvlText w:val="%5."/>
      <w:lvlJc w:val="left"/>
      <w:pPr>
        <w:ind w:left="3600" w:hanging="360"/>
      </w:pPr>
    </w:lvl>
    <w:lvl w:ilvl="5" w:tplc="3D044CA6">
      <w:start w:val="1"/>
      <w:numFmt w:val="lowerRoman"/>
      <w:lvlText w:val="%6."/>
      <w:lvlJc w:val="right"/>
      <w:pPr>
        <w:ind w:left="4320" w:hanging="180"/>
      </w:pPr>
    </w:lvl>
    <w:lvl w:ilvl="6" w:tplc="E20A33AC">
      <w:start w:val="1"/>
      <w:numFmt w:val="decimal"/>
      <w:lvlText w:val="%7."/>
      <w:lvlJc w:val="left"/>
      <w:pPr>
        <w:ind w:left="5040" w:hanging="360"/>
      </w:pPr>
    </w:lvl>
    <w:lvl w:ilvl="7" w:tplc="A7BC5996">
      <w:start w:val="1"/>
      <w:numFmt w:val="lowerLetter"/>
      <w:lvlText w:val="%8."/>
      <w:lvlJc w:val="left"/>
      <w:pPr>
        <w:ind w:left="5760" w:hanging="360"/>
      </w:pPr>
    </w:lvl>
    <w:lvl w:ilvl="8" w:tplc="3CB8E8AA">
      <w:start w:val="1"/>
      <w:numFmt w:val="lowerRoman"/>
      <w:lvlText w:val="%9."/>
      <w:lvlJc w:val="right"/>
      <w:pPr>
        <w:ind w:left="6480" w:hanging="180"/>
      </w:pPr>
    </w:lvl>
  </w:abstractNum>
  <w:abstractNum w:abstractNumId="2" w15:restartNumberingAfterBreak="0">
    <w:nsid w:val="649C6BF6"/>
    <w:multiLevelType w:val="hybridMultilevel"/>
    <w:tmpl w:val="FFFFFFFF"/>
    <w:lvl w:ilvl="0" w:tplc="334C4F7A">
      <w:start w:val="1"/>
      <w:numFmt w:val="decimal"/>
      <w:lvlText w:val="%1."/>
      <w:lvlJc w:val="left"/>
      <w:pPr>
        <w:ind w:left="720" w:hanging="360"/>
      </w:pPr>
    </w:lvl>
    <w:lvl w:ilvl="1" w:tplc="4A1220FA">
      <w:start w:val="1"/>
      <w:numFmt w:val="lowerLetter"/>
      <w:lvlText w:val="%2."/>
      <w:lvlJc w:val="left"/>
      <w:pPr>
        <w:ind w:left="1440" w:hanging="360"/>
      </w:pPr>
    </w:lvl>
    <w:lvl w:ilvl="2" w:tplc="58D8D8EC">
      <w:start w:val="1"/>
      <w:numFmt w:val="lowerRoman"/>
      <w:lvlText w:val="%3."/>
      <w:lvlJc w:val="right"/>
      <w:pPr>
        <w:ind w:left="2160" w:hanging="180"/>
      </w:pPr>
    </w:lvl>
    <w:lvl w:ilvl="3" w:tplc="941C6758">
      <w:start w:val="1"/>
      <w:numFmt w:val="decimal"/>
      <w:lvlText w:val="%4."/>
      <w:lvlJc w:val="left"/>
      <w:pPr>
        <w:ind w:left="2880" w:hanging="360"/>
      </w:pPr>
    </w:lvl>
    <w:lvl w:ilvl="4" w:tplc="30D0E1A6">
      <w:start w:val="1"/>
      <w:numFmt w:val="lowerLetter"/>
      <w:lvlText w:val="%5."/>
      <w:lvlJc w:val="left"/>
      <w:pPr>
        <w:ind w:left="3600" w:hanging="360"/>
      </w:pPr>
    </w:lvl>
    <w:lvl w:ilvl="5" w:tplc="5DEC9ED6">
      <w:start w:val="1"/>
      <w:numFmt w:val="lowerRoman"/>
      <w:lvlText w:val="%6."/>
      <w:lvlJc w:val="right"/>
      <w:pPr>
        <w:ind w:left="4320" w:hanging="180"/>
      </w:pPr>
    </w:lvl>
    <w:lvl w:ilvl="6" w:tplc="290E8B14">
      <w:start w:val="1"/>
      <w:numFmt w:val="decimal"/>
      <w:lvlText w:val="%7."/>
      <w:lvlJc w:val="left"/>
      <w:pPr>
        <w:ind w:left="5040" w:hanging="360"/>
      </w:pPr>
    </w:lvl>
    <w:lvl w:ilvl="7" w:tplc="099AAFB0">
      <w:start w:val="1"/>
      <w:numFmt w:val="lowerLetter"/>
      <w:lvlText w:val="%8."/>
      <w:lvlJc w:val="left"/>
      <w:pPr>
        <w:ind w:left="5760" w:hanging="360"/>
      </w:pPr>
    </w:lvl>
    <w:lvl w:ilvl="8" w:tplc="80D88234">
      <w:start w:val="1"/>
      <w:numFmt w:val="lowerRoman"/>
      <w:lvlText w:val="%9."/>
      <w:lvlJc w:val="right"/>
      <w:pPr>
        <w:ind w:left="6480" w:hanging="180"/>
      </w:pPr>
    </w:lvl>
  </w:abstractNum>
  <w:num w:numId="1" w16cid:durableId="850024882">
    <w:abstractNumId w:val="2"/>
  </w:num>
  <w:num w:numId="2" w16cid:durableId="899945222">
    <w:abstractNumId w:val="0"/>
  </w:num>
  <w:num w:numId="3" w16cid:durableId="552162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AC1"/>
    <w:rsid w:val="001022D6"/>
    <w:rsid w:val="00303378"/>
    <w:rsid w:val="00319030"/>
    <w:rsid w:val="00425081"/>
    <w:rsid w:val="00430BA6"/>
    <w:rsid w:val="00461FE2"/>
    <w:rsid w:val="00481D14"/>
    <w:rsid w:val="00526AC1"/>
    <w:rsid w:val="005345DF"/>
    <w:rsid w:val="00572738"/>
    <w:rsid w:val="006827F1"/>
    <w:rsid w:val="00790EB4"/>
    <w:rsid w:val="00862A67"/>
    <w:rsid w:val="009057EB"/>
    <w:rsid w:val="009B46B2"/>
    <w:rsid w:val="00A35013"/>
    <w:rsid w:val="00A85ABE"/>
    <w:rsid w:val="00AC297B"/>
    <w:rsid w:val="00B46E93"/>
    <w:rsid w:val="00BBC3B9"/>
    <w:rsid w:val="00CC7621"/>
    <w:rsid w:val="00D02079"/>
    <w:rsid w:val="00E62E46"/>
    <w:rsid w:val="0146114F"/>
    <w:rsid w:val="01A1A004"/>
    <w:rsid w:val="01B11C16"/>
    <w:rsid w:val="01C3DC2F"/>
    <w:rsid w:val="0224C34C"/>
    <w:rsid w:val="02D011B2"/>
    <w:rsid w:val="0307C054"/>
    <w:rsid w:val="03AA02B9"/>
    <w:rsid w:val="03D33988"/>
    <w:rsid w:val="03E81E8D"/>
    <w:rsid w:val="041F38ED"/>
    <w:rsid w:val="04293BBF"/>
    <w:rsid w:val="042CF59E"/>
    <w:rsid w:val="04393C68"/>
    <w:rsid w:val="04EB7212"/>
    <w:rsid w:val="05809A4F"/>
    <w:rsid w:val="0580EB26"/>
    <w:rsid w:val="05907228"/>
    <w:rsid w:val="059FC7D6"/>
    <w:rsid w:val="05A44234"/>
    <w:rsid w:val="05E8866E"/>
    <w:rsid w:val="062A89C3"/>
    <w:rsid w:val="06BC4014"/>
    <w:rsid w:val="080D8754"/>
    <w:rsid w:val="081563D7"/>
    <w:rsid w:val="08259B0F"/>
    <w:rsid w:val="08283A92"/>
    <w:rsid w:val="086F5049"/>
    <w:rsid w:val="09836AB6"/>
    <w:rsid w:val="098E348C"/>
    <w:rsid w:val="0A1A20E2"/>
    <w:rsid w:val="0A85BA93"/>
    <w:rsid w:val="0ABA4FFC"/>
    <w:rsid w:val="0ABE6624"/>
    <w:rsid w:val="0AED1890"/>
    <w:rsid w:val="0B3C7000"/>
    <w:rsid w:val="0C122CD6"/>
    <w:rsid w:val="0C1AFA87"/>
    <w:rsid w:val="0CBC2AAE"/>
    <w:rsid w:val="0CEDE04F"/>
    <w:rsid w:val="0D077C4D"/>
    <w:rsid w:val="0D6381FA"/>
    <w:rsid w:val="0D74B649"/>
    <w:rsid w:val="0DBD2807"/>
    <w:rsid w:val="0DE21BF9"/>
    <w:rsid w:val="0DE8E35A"/>
    <w:rsid w:val="0E063526"/>
    <w:rsid w:val="0F4334C9"/>
    <w:rsid w:val="10002183"/>
    <w:rsid w:val="1024B444"/>
    <w:rsid w:val="1026FEA5"/>
    <w:rsid w:val="1036AF54"/>
    <w:rsid w:val="105F6098"/>
    <w:rsid w:val="10844E4F"/>
    <w:rsid w:val="11400AF3"/>
    <w:rsid w:val="1159A6CA"/>
    <w:rsid w:val="118F946D"/>
    <w:rsid w:val="11A59AAB"/>
    <w:rsid w:val="1233DFD1"/>
    <w:rsid w:val="127C2E73"/>
    <w:rsid w:val="128A5193"/>
    <w:rsid w:val="12F66B27"/>
    <w:rsid w:val="1302A694"/>
    <w:rsid w:val="130530FD"/>
    <w:rsid w:val="135B8586"/>
    <w:rsid w:val="13828DA3"/>
    <w:rsid w:val="143B871B"/>
    <w:rsid w:val="147F476E"/>
    <w:rsid w:val="14878829"/>
    <w:rsid w:val="14D0E902"/>
    <w:rsid w:val="14F05EC8"/>
    <w:rsid w:val="151DF2BB"/>
    <w:rsid w:val="152A75A9"/>
    <w:rsid w:val="1558647F"/>
    <w:rsid w:val="1606D395"/>
    <w:rsid w:val="1607A810"/>
    <w:rsid w:val="1669E50C"/>
    <w:rsid w:val="16C98F3E"/>
    <w:rsid w:val="16E37512"/>
    <w:rsid w:val="17B298C8"/>
    <w:rsid w:val="181C3334"/>
    <w:rsid w:val="181D8DCE"/>
    <w:rsid w:val="1820B71E"/>
    <w:rsid w:val="18F4A020"/>
    <w:rsid w:val="19343263"/>
    <w:rsid w:val="196E86A3"/>
    <w:rsid w:val="19B38626"/>
    <w:rsid w:val="19CE87B4"/>
    <w:rsid w:val="1A1B2E0F"/>
    <w:rsid w:val="1ACE33F8"/>
    <w:rsid w:val="1AD108D7"/>
    <w:rsid w:val="1AD99FD3"/>
    <w:rsid w:val="1B1A45C7"/>
    <w:rsid w:val="1B4675E2"/>
    <w:rsid w:val="1B54B9FA"/>
    <w:rsid w:val="1B570378"/>
    <w:rsid w:val="1C1BEA24"/>
    <w:rsid w:val="1CF39CCA"/>
    <w:rsid w:val="1D419372"/>
    <w:rsid w:val="1DAE524A"/>
    <w:rsid w:val="1DAFCF28"/>
    <w:rsid w:val="1DD91D93"/>
    <w:rsid w:val="1DDE475E"/>
    <w:rsid w:val="1DDEA173"/>
    <w:rsid w:val="1DF2D52A"/>
    <w:rsid w:val="1E85E29A"/>
    <w:rsid w:val="1EA01243"/>
    <w:rsid w:val="1F053308"/>
    <w:rsid w:val="1F399F37"/>
    <w:rsid w:val="1F459592"/>
    <w:rsid w:val="1F4D2E28"/>
    <w:rsid w:val="1F7BB07B"/>
    <w:rsid w:val="1F8F4054"/>
    <w:rsid w:val="1F9D66F6"/>
    <w:rsid w:val="1F9DB1D6"/>
    <w:rsid w:val="1FEDD149"/>
    <w:rsid w:val="200C7322"/>
    <w:rsid w:val="2089F988"/>
    <w:rsid w:val="211F9B5F"/>
    <w:rsid w:val="2141E94D"/>
    <w:rsid w:val="21969C5A"/>
    <w:rsid w:val="2197FB94"/>
    <w:rsid w:val="2207E736"/>
    <w:rsid w:val="221C8B8E"/>
    <w:rsid w:val="22AA5231"/>
    <w:rsid w:val="22D41B7D"/>
    <w:rsid w:val="22F3FE11"/>
    <w:rsid w:val="2374EBF6"/>
    <w:rsid w:val="24265F71"/>
    <w:rsid w:val="244F8459"/>
    <w:rsid w:val="24A01015"/>
    <w:rsid w:val="2557274C"/>
    <w:rsid w:val="25A11A42"/>
    <w:rsid w:val="25F42697"/>
    <w:rsid w:val="260AB0C4"/>
    <w:rsid w:val="26A1DB40"/>
    <w:rsid w:val="26D33F8D"/>
    <w:rsid w:val="26DF98AC"/>
    <w:rsid w:val="26DFC302"/>
    <w:rsid w:val="26E3F628"/>
    <w:rsid w:val="26F804C7"/>
    <w:rsid w:val="2701414D"/>
    <w:rsid w:val="2705FCF4"/>
    <w:rsid w:val="27CB6833"/>
    <w:rsid w:val="27F8DA5F"/>
    <w:rsid w:val="2801026C"/>
    <w:rsid w:val="28213E99"/>
    <w:rsid w:val="2832F37C"/>
    <w:rsid w:val="284FA826"/>
    <w:rsid w:val="2860467B"/>
    <w:rsid w:val="28A05DE4"/>
    <w:rsid w:val="28A5170A"/>
    <w:rsid w:val="28F146BF"/>
    <w:rsid w:val="294B7178"/>
    <w:rsid w:val="2955B4B5"/>
    <w:rsid w:val="295C133E"/>
    <w:rsid w:val="2AB40D25"/>
    <w:rsid w:val="2AC1BB58"/>
    <w:rsid w:val="2AF8C331"/>
    <w:rsid w:val="2B37EFC1"/>
    <w:rsid w:val="2B700758"/>
    <w:rsid w:val="2BD6B86B"/>
    <w:rsid w:val="2C21F6B6"/>
    <w:rsid w:val="2C35AD6B"/>
    <w:rsid w:val="2C59A10F"/>
    <w:rsid w:val="2CA7D5ED"/>
    <w:rsid w:val="2D008785"/>
    <w:rsid w:val="2D03C8E4"/>
    <w:rsid w:val="2D09EAA3"/>
    <w:rsid w:val="2D13DAC1"/>
    <w:rsid w:val="2D8802C7"/>
    <w:rsid w:val="2D9F7B63"/>
    <w:rsid w:val="2DB21AE2"/>
    <w:rsid w:val="2DF31AF1"/>
    <w:rsid w:val="2EC1C8D9"/>
    <w:rsid w:val="2EC8730C"/>
    <w:rsid w:val="2F10D065"/>
    <w:rsid w:val="2F5E41D7"/>
    <w:rsid w:val="2F85AA0A"/>
    <w:rsid w:val="2F93FF59"/>
    <w:rsid w:val="2F9B6BB8"/>
    <w:rsid w:val="2FCC6C7D"/>
    <w:rsid w:val="301B8994"/>
    <w:rsid w:val="301DF28C"/>
    <w:rsid w:val="306E599A"/>
    <w:rsid w:val="30C693AE"/>
    <w:rsid w:val="30D975EC"/>
    <w:rsid w:val="30DA685A"/>
    <w:rsid w:val="30EB74FA"/>
    <w:rsid w:val="3152EC13"/>
    <w:rsid w:val="319DE097"/>
    <w:rsid w:val="31C0F7E8"/>
    <w:rsid w:val="31CD4767"/>
    <w:rsid w:val="31E68F5B"/>
    <w:rsid w:val="31ED9DEF"/>
    <w:rsid w:val="325343ED"/>
    <w:rsid w:val="32570F84"/>
    <w:rsid w:val="3285736A"/>
    <w:rsid w:val="3355C146"/>
    <w:rsid w:val="33B80F12"/>
    <w:rsid w:val="33D1EA55"/>
    <w:rsid w:val="341B5166"/>
    <w:rsid w:val="34258540"/>
    <w:rsid w:val="348A1C7C"/>
    <w:rsid w:val="34A856A1"/>
    <w:rsid w:val="34BFB97E"/>
    <w:rsid w:val="352ABE4F"/>
    <w:rsid w:val="353376C4"/>
    <w:rsid w:val="35D69B51"/>
    <w:rsid w:val="3608051A"/>
    <w:rsid w:val="36B38F79"/>
    <w:rsid w:val="36F389F2"/>
    <w:rsid w:val="37422C95"/>
    <w:rsid w:val="3791AA13"/>
    <w:rsid w:val="37D847FF"/>
    <w:rsid w:val="38521DDF"/>
    <w:rsid w:val="388F7056"/>
    <w:rsid w:val="38A782D5"/>
    <w:rsid w:val="38CC9536"/>
    <w:rsid w:val="38E7E07C"/>
    <w:rsid w:val="38FA8ADF"/>
    <w:rsid w:val="399BFDFC"/>
    <w:rsid w:val="39DD517B"/>
    <w:rsid w:val="3A51060D"/>
    <w:rsid w:val="3A61F351"/>
    <w:rsid w:val="3B0F0724"/>
    <w:rsid w:val="3C992835"/>
    <w:rsid w:val="3CA7D6B5"/>
    <w:rsid w:val="3CAF7456"/>
    <w:rsid w:val="3D20EB84"/>
    <w:rsid w:val="3D9038D8"/>
    <w:rsid w:val="3DA7E943"/>
    <w:rsid w:val="3DAAB518"/>
    <w:rsid w:val="3DE026C6"/>
    <w:rsid w:val="3E19E30E"/>
    <w:rsid w:val="3E23C130"/>
    <w:rsid w:val="3EB2585B"/>
    <w:rsid w:val="3EF936B4"/>
    <w:rsid w:val="3F47477E"/>
    <w:rsid w:val="3F4835F2"/>
    <w:rsid w:val="3F6355DF"/>
    <w:rsid w:val="3F6E98CA"/>
    <w:rsid w:val="3FB73FB4"/>
    <w:rsid w:val="3FE23CDD"/>
    <w:rsid w:val="3FF88B1A"/>
    <w:rsid w:val="402B0615"/>
    <w:rsid w:val="4054D98D"/>
    <w:rsid w:val="410A2CA6"/>
    <w:rsid w:val="41134407"/>
    <w:rsid w:val="411C483C"/>
    <w:rsid w:val="4160B73A"/>
    <w:rsid w:val="4169391D"/>
    <w:rsid w:val="420ACC41"/>
    <w:rsid w:val="425B6AED"/>
    <w:rsid w:val="42CDB6BC"/>
    <w:rsid w:val="4382DB9A"/>
    <w:rsid w:val="43DF2F3C"/>
    <w:rsid w:val="43EC0E82"/>
    <w:rsid w:val="449F334C"/>
    <w:rsid w:val="44BF92A7"/>
    <w:rsid w:val="451CD311"/>
    <w:rsid w:val="452C7D16"/>
    <w:rsid w:val="45451C7E"/>
    <w:rsid w:val="4580A4C3"/>
    <w:rsid w:val="458317C7"/>
    <w:rsid w:val="45E8CC7E"/>
    <w:rsid w:val="463E1E89"/>
    <w:rsid w:val="46496EDA"/>
    <w:rsid w:val="464D156D"/>
    <w:rsid w:val="46C17CA5"/>
    <w:rsid w:val="46E40878"/>
    <w:rsid w:val="46E74E89"/>
    <w:rsid w:val="470149E9"/>
    <w:rsid w:val="4733A66C"/>
    <w:rsid w:val="47E15655"/>
    <w:rsid w:val="48AC91EB"/>
    <w:rsid w:val="48FF43CF"/>
    <w:rsid w:val="492016FA"/>
    <w:rsid w:val="4981FBEA"/>
    <w:rsid w:val="4990A689"/>
    <w:rsid w:val="49D27641"/>
    <w:rsid w:val="4A494B58"/>
    <w:rsid w:val="4A7AECAD"/>
    <w:rsid w:val="4A991526"/>
    <w:rsid w:val="4B066F16"/>
    <w:rsid w:val="4B68B870"/>
    <w:rsid w:val="4B6DD4A6"/>
    <w:rsid w:val="4C248616"/>
    <w:rsid w:val="4CD745FE"/>
    <w:rsid w:val="4D89C983"/>
    <w:rsid w:val="4DC9A152"/>
    <w:rsid w:val="4E0C9DF0"/>
    <w:rsid w:val="4E2BE9C2"/>
    <w:rsid w:val="4EB14F75"/>
    <w:rsid w:val="50440CBD"/>
    <w:rsid w:val="50CCE1BD"/>
    <w:rsid w:val="50D791D9"/>
    <w:rsid w:val="50FBE8AE"/>
    <w:rsid w:val="50FFAD94"/>
    <w:rsid w:val="515E0FAE"/>
    <w:rsid w:val="516C8C0E"/>
    <w:rsid w:val="5176AE14"/>
    <w:rsid w:val="5187EEAB"/>
    <w:rsid w:val="51981A79"/>
    <w:rsid w:val="524A551E"/>
    <w:rsid w:val="5265EF26"/>
    <w:rsid w:val="52D4DAFE"/>
    <w:rsid w:val="52ECF0F6"/>
    <w:rsid w:val="52F0897B"/>
    <w:rsid w:val="53A668AD"/>
    <w:rsid w:val="544D21E5"/>
    <w:rsid w:val="54C3826D"/>
    <w:rsid w:val="559EB26F"/>
    <w:rsid w:val="55D724F0"/>
    <w:rsid w:val="56038318"/>
    <w:rsid w:val="561FFDB9"/>
    <w:rsid w:val="57774C6B"/>
    <w:rsid w:val="577A8C13"/>
    <w:rsid w:val="58029DCC"/>
    <w:rsid w:val="5849F8FF"/>
    <w:rsid w:val="58536E26"/>
    <w:rsid w:val="593682DE"/>
    <w:rsid w:val="593781B0"/>
    <w:rsid w:val="5964F9D7"/>
    <w:rsid w:val="5978F965"/>
    <w:rsid w:val="59924019"/>
    <w:rsid w:val="59931DA4"/>
    <w:rsid w:val="59DA2013"/>
    <w:rsid w:val="5A491F80"/>
    <w:rsid w:val="5A75A30F"/>
    <w:rsid w:val="5A77FE46"/>
    <w:rsid w:val="5A9EDA88"/>
    <w:rsid w:val="5B95B3A7"/>
    <w:rsid w:val="5BB0245E"/>
    <w:rsid w:val="5C6EC458"/>
    <w:rsid w:val="5C989413"/>
    <w:rsid w:val="5CF2B514"/>
    <w:rsid w:val="5E4951CD"/>
    <w:rsid w:val="5F6725C6"/>
    <w:rsid w:val="5FB1136D"/>
    <w:rsid w:val="5FC89E15"/>
    <w:rsid w:val="60563BC1"/>
    <w:rsid w:val="60C5ACCD"/>
    <w:rsid w:val="60CD060D"/>
    <w:rsid w:val="6148A70E"/>
    <w:rsid w:val="619F67EB"/>
    <w:rsid w:val="61B08A53"/>
    <w:rsid w:val="62FDB869"/>
    <w:rsid w:val="63B92703"/>
    <w:rsid w:val="64451A25"/>
    <w:rsid w:val="64B326F8"/>
    <w:rsid w:val="64F4F7A4"/>
    <w:rsid w:val="64FAC2D1"/>
    <w:rsid w:val="65285CB6"/>
    <w:rsid w:val="655198D1"/>
    <w:rsid w:val="658066D9"/>
    <w:rsid w:val="659636BC"/>
    <w:rsid w:val="6596E3C5"/>
    <w:rsid w:val="659AF209"/>
    <w:rsid w:val="65E366C4"/>
    <w:rsid w:val="6662167C"/>
    <w:rsid w:val="66CED447"/>
    <w:rsid w:val="680C9B21"/>
    <w:rsid w:val="68118187"/>
    <w:rsid w:val="684A8A1A"/>
    <w:rsid w:val="68A24302"/>
    <w:rsid w:val="69000214"/>
    <w:rsid w:val="69047A54"/>
    <w:rsid w:val="69388A23"/>
    <w:rsid w:val="6940E22E"/>
    <w:rsid w:val="695E83E5"/>
    <w:rsid w:val="697EC91A"/>
    <w:rsid w:val="698FD483"/>
    <w:rsid w:val="6A596008"/>
    <w:rsid w:val="6A5EA127"/>
    <w:rsid w:val="6AC8ED08"/>
    <w:rsid w:val="6B61EB20"/>
    <w:rsid w:val="6B7B87FC"/>
    <w:rsid w:val="6C0B71BF"/>
    <w:rsid w:val="6C30CF07"/>
    <w:rsid w:val="6C5CCFFA"/>
    <w:rsid w:val="6CACC232"/>
    <w:rsid w:val="6D14BCF6"/>
    <w:rsid w:val="6D197B09"/>
    <w:rsid w:val="6D774F63"/>
    <w:rsid w:val="6DAFEF09"/>
    <w:rsid w:val="6DB3E66C"/>
    <w:rsid w:val="6E033326"/>
    <w:rsid w:val="6E816C03"/>
    <w:rsid w:val="6F104A46"/>
    <w:rsid w:val="6F1AED6A"/>
    <w:rsid w:val="6F2B44C2"/>
    <w:rsid w:val="6F563A31"/>
    <w:rsid w:val="6F794886"/>
    <w:rsid w:val="6F929260"/>
    <w:rsid w:val="702E7FB9"/>
    <w:rsid w:val="703BC1AC"/>
    <w:rsid w:val="70A1458E"/>
    <w:rsid w:val="7180F17E"/>
    <w:rsid w:val="71880165"/>
    <w:rsid w:val="71EBBBAA"/>
    <w:rsid w:val="721449E9"/>
    <w:rsid w:val="7229A2EF"/>
    <w:rsid w:val="723487AC"/>
    <w:rsid w:val="7273C42B"/>
    <w:rsid w:val="72FCC67C"/>
    <w:rsid w:val="731750ED"/>
    <w:rsid w:val="73831545"/>
    <w:rsid w:val="73878A60"/>
    <w:rsid w:val="738F2CEC"/>
    <w:rsid w:val="7447CA78"/>
    <w:rsid w:val="744B7CFC"/>
    <w:rsid w:val="7462C0C9"/>
    <w:rsid w:val="74666C38"/>
    <w:rsid w:val="746900F1"/>
    <w:rsid w:val="747DFC32"/>
    <w:rsid w:val="74CDE217"/>
    <w:rsid w:val="75087D89"/>
    <w:rsid w:val="754D9973"/>
    <w:rsid w:val="75751FEC"/>
    <w:rsid w:val="75B4DAC7"/>
    <w:rsid w:val="75BD7C35"/>
    <w:rsid w:val="76063874"/>
    <w:rsid w:val="764ED783"/>
    <w:rsid w:val="76CC27EC"/>
    <w:rsid w:val="771990DE"/>
    <w:rsid w:val="771C1B91"/>
    <w:rsid w:val="7723E6C5"/>
    <w:rsid w:val="7731B085"/>
    <w:rsid w:val="7795BDE2"/>
    <w:rsid w:val="77E8A075"/>
    <w:rsid w:val="783270CC"/>
    <w:rsid w:val="7869FE21"/>
    <w:rsid w:val="78B81C7B"/>
    <w:rsid w:val="78BFB9E0"/>
    <w:rsid w:val="78EE4D1E"/>
    <w:rsid w:val="792B6213"/>
    <w:rsid w:val="795767B4"/>
    <w:rsid w:val="79784805"/>
    <w:rsid w:val="79D67522"/>
    <w:rsid w:val="7A24FA20"/>
    <w:rsid w:val="7A33B22C"/>
    <w:rsid w:val="7A6A4F9F"/>
    <w:rsid w:val="7AB65A06"/>
    <w:rsid w:val="7ABAB68B"/>
    <w:rsid w:val="7C0C99C0"/>
    <w:rsid w:val="7CA07039"/>
    <w:rsid w:val="7CE9436B"/>
    <w:rsid w:val="7D01AD73"/>
    <w:rsid w:val="7D0E9F57"/>
    <w:rsid w:val="7D68ED5D"/>
    <w:rsid w:val="7D93E0EB"/>
    <w:rsid w:val="7DAAA0AD"/>
    <w:rsid w:val="7E2E12B7"/>
    <w:rsid w:val="7E73A20C"/>
    <w:rsid w:val="7EC5DFE5"/>
    <w:rsid w:val="7ED7AAA4"/>
    <w:rsid w:val="7F943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E30D8"/>
  <w15:chartTrackingRefBased/>
  <w15:docId w15:val="{BF59CCDF-A12C-244A-B289-3F1AA336F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50CCE1BD"/>
    <w:pPr>
      <w:spacing w:line="360" w:lineRule="auto"/>
      <w:jc w:val="both"/>
      <w:outlineLvl w:val="0"/>
    </w:pPr>
    <w:rPr>
      <w:b/>
      <w:bCs/>
      <w:sz w:val="22"/>
      <w:szCs w:val="22"/>
    </w:rPr>
  </w:style>
  <w:style w:type="paragraph" w:styleId="Heading2">
    <w:name w:val="heading 2"/>
    <w:basedOn w:val="Normal"/>
    <w:next w:val="Normal"/>
    <w:link w:val="Heading2Char"/>
    <w:uiPriority w:val="9"/>
    <w:semiHidden/>
    <w:unhideWhenUsed/>
    <w:qFormat/>
    <w:rsid w:val="00526A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6A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6A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6A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6A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6A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6A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6A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50CCE1BD"/>
    <w:rPr>
      <w:rFonts w:asciiTheme="minorHAnsi" w:eastAsiaTheme="minorEastAsia" w:hAnsiTheme="minorHAnsi" w:cstheme="minorBidi"/>
      <w:b/>
      <w:bCs/>
      <w:noProof w:val="0"/>
      <w:sz w:val="22"/>
      <w:szCs w:val="22"/>
      <w:lang w:val="en-GB"/>
    </w:rPr>
  </w:style>
  <w:style w:type="character" w:customStyle="1" w:styleId="Heading2Char">
    <w:name w:val="Heading 2 Char"/>
    <w:basedOn w:val="DefaultParagraphFont"/>
    <w:link w:val="Heading2"/>
    <w:uiPriority w:val="9"/>
    <w:semiHidden/>
    <w:rsid w:val="00526A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6A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6A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6A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6A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6A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6A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6AC1"/>
    <w:rPr>
      <w:rFonts w:eastAsiaTheme="majorEastAsia" w:cstheme="majorBidi"/>
      <w:color w:val="272727" w:themeColor="text1" w:themeTint="D8"/>
    </w:rPr>
  </w:style>
  <w:style w:type="paragraph" w:styleId="Title">
    <w:name w:val="Title"/>
    <w:basedOn w:val="Normal"/>
    <w:next w:val="Normal"/>
    <w:link w:val="TitleChar"/>
    <w:uiPriority w:val="10"/>
    <w:qFormat/>
    <w:rsid w:val="00526A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A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6A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6A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6AC1"/>
    <w:pPr>
      <w:spacing w:before="160"/>
      <w:jc w:val="center"/>
    </w:pPr>
    <w:rPr>
      <w:i/>
      <w:iCs/>
      <w:color w:val="404040" w:themeColor="text1" w:themeTint="BF"/>
    </w:rPr>
  </w:style>
  <w:style w:type="character" w:customStyle="1" w:styleId="QuoteChar">
    <w:name w:val="Quote Char"/>
    <w:basedOn w:val="DefaultParagraphFont"/>
    <w:link w:val="Quote"/>
    <w:uiPriority w:val="29"/>
    <w:rsid w:val="00526AC1"/>
    <w:rPr>
      <w:i/>
      <w:iCs/>
      <w:color w:val="404040" w:themeColor="text1" w:themeTint="BF"/>
    </w:rPr>
  </w:style>
  <w:style w:type="paragraph" w:styleId="ListParagraph">
    <w:name w:val="List Paragraph"/>
    <w:basedOn w:val="Normal"/>
    <w:uiPriority w:val="34"/>
    <w:qFormat/>
    <w:rsid w:val="00526AC1"/>
    <w:pPr>
      <w:ind w:left="720"/>
      <w:contextualSpacing/>
    </w:pPr>
  </w:style>
  <w:style w:type="character" w:styleId="IntenseEmphasis">
    <w:name w:val="Intense Emphasis"/>
    <w:basedOn w:val="DefaultParagraphFont"/>
    <w:uiPriority w:val="21"/>
    <w:qFormat/>
    <w:rsid w:val="00526AC1"/>
    <w:rPr>
      <w:i/>
      <w:iCs/>
      <w:color w:val="0F4761" w:themeColor="accent1" w:themeShade="BF"/>
    </w:rPr>
  </w:style>
  <w:style w:type="paragraph" w:styleId="IntenseQuote">
    <w:name w:val="Intense Quote"/>
    <w:basedOn w:val="Normal"/>
    <w:next w:val="Normal"/>
    <w:link w:val="IntenseQuoteChar"/>
    <w:uiPriority w:val="30"/>
    <w:qFormat/>
    <w:rsid w:val="00526A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6AC1"/>
    <w:rPr>
      <w:i/>
      <w:iCs/>
      <w:color w:val="0F4761" w:themeColor="accent1" w:themeShade="BF"/>
    </w:rPr>
  </w:style>
  <w:style w:type="character" w:styleId="IntenseReference">
    <w:name w:val="Intense Reference"/>
    <w:basedOn w:val="DefaultParagraphFont"/>
    <w:uiPriority w:val="32"/>
    <w:qFormat/>
    <w:rsid w:val="00526AC1"/>
    <w:rPr>
      <w:b/>
      <w:bCs/>
      <w:smallCaps/>
      <w:color w:val="0F4761" w:themeColor="accent1" w:themeShade="BF"/>
      <w:spacing w:val="5"/>
    </w:rPr>
  </w:style>
  <w:style w:type="table" w:styleId="TableGrid">
    <w:name w:val="Table Grid"/>
    <w:basedOn w:val="TableNormal"/>
    <w:uiPriority w:val="39"/>
    <w:rsid w:val="00A85A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65285CB6"/>
    <w:rPr>
      <w:color w:val="467886"/>
      <w:u w:val="single"/>
    </w:rPr>
  </w:style>
  <w:style w:type="paragraph" w:styleId="Header">
    <w:name w:val="header"/>
    <w:basedOn w:val="Normal"/>
    <w:uiPriority w:val="99"/>
    <w:unhideWhenUsed/>
    <w:rsid w:val="65285CB6"/>
    <w:pPr>
      <w:tabs>
        <w:tab w:val="center" w:pos="4680"/>
        <w:tab w:val="right" w:pos="9360"/>
      </w:tabs>
      <w:spacing w:after="0" w:line="240" w:lineRule="auto"/>
    </w:pPr>
  </w:style>
  <w:style w:type="paragraph" w:styleId="Footer">
    <w:name w:val="footer"/>
    <w:basedOn w:val="Normal"/>
    <w:uiPriority w:val="99"/>
    <w:unhideWhenUsed/>
    <w:rsid w:val="65285CB6"/>
    <w:pPr>
      <w:tabs>
        <w:tab w:val="center" w:pos="4680"/>
        <w:tab w:val="right" w:pos="9360"/>
      </w:tabs>
      <w:spacing w:after="0" w:line="240" w:lineRule="auto"/>
    </w:pPr>
  </w:style>
  <w:style w:type="paragraph" w:styleId="TOC1">
    <w:name w:val="toc 1"/>
    <w:basedOn w:val="Normal"/>
    <w:next w:val="Normal"/>
    <w:uiPriority w:val="39"/>
    <w:unhideWhenUsed/>
    <w:rsid w:val="61B08A53"/>
    <w:pPr>
      <w:spacing w:after="100"/>
    </w:pPr>
  </w:style>
  <w:style w:type="paragraph" w:styleId="NoSpacing">
    <w:name w:val="No Spacing"/>
    <w:uiPriority w:val="1"/>
    <w:qFormat/>
    <w:rsid w:val="118F946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2405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our-work/person-centred-ca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2702</Words>
  <Characters>15407</Characters>
  <Application>Microsoft Office Word</Application>
  <DocSecurity>0</DocSecurity>
  <Lines>128</Lines>
  <Paragraphs>36</Paragraphs>
  <ScaleCrop>false</ScaleCrop>
  <Company/>
  <LinksUpToDate>false</LinksUpToDate>
  <CharactersWithSpaces>18073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Shahriar Saad</dc:creator>
  <cp:keywords/>
  <dc:description/>
  <cp:lastModifiedBy>Eric Lerouge Angwe Nze (2417255)</cp:lastModifiedBy>
  <cp:revision>2</cp:revision>
  <dcterms:created xsi:type="dcterms:W3CDTF">2026-04-29T05:57:00Z</dcterms:created>
  <dcterms:modified xsi:type="dcterms:W3CDTF">2026-04-29T05:57:00Z</dcterms:modified>
</cp:coreProperties>
</file>