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3C8D4" w14:textId="77777777" w:rsidR="009F3363" w:rsidRDefault="009F3363" w:rsidP="009F3363">
      <w:pPr>
        <w:spacing w:after="0" w:line="360" w:lineRule="auto"/>
        <w:rPr>
          <w:rFonts w:ascii="Arial" w:eastAsiaTheme="minorEastAsia" w:hAnsi="Arial" w:cs="Arial"/>
          <w:b/>
          <w:bCs/>
          <w:smallCaps/>
          <w:color w:val="000000" w:themeColor="text1"/>
          <w:kern w:val="24"/>
          <w:sz w:val="40"/>
          <w:szCs w:val="40"/>
        </w:rPr>
      </w:pPr>
    </w:p>
    <w:p w14:paraId="14DC5ABF" w14:textId="77777777" w:rsidR="009F3363" w:rsidRDefault="009F3363" w:rsidP="009F3363">
      <w:pPr>
        <w:spacing w:after="0" w:line="360" w:lineRule="auto"/>
        <w:rPr>
          <w:rFonts w:ascii="Arial" w:eastAsiaTheme="minorEastAsia" w:hAnsi="Arial" w:cs="Arial"/>
          <w:b/>
          <w:bCs/>
          <w:smallCaps/>
          <w:color w:val="000000" w:themeColor="text1"/>
          <w:kern w:val="24"/>
          <w:sz w:val="40"/>
          <w:szCs w:val="40"/>
        </w:rPr>
      </w:pPr>
    </w:p>
    <w:p w14:paraId="6FCA04CD" w14:textId="77ECDB27" w:rsidR="009F3363" w:rsidRDefault="00A32BC2" w:rsidP="009F3363">
      <w:pPr>
        <w:spacing w:after="0" w:line="360" w:lineRule="auto"/>
        <w:rPr>
          <w:rFonts w:ascii="Arial" w:eastAsiaTheme="minorEastAsia" w:hAnsi="Arial" w:cs="Arial"/>
          <w:b/>
          <w:bCs/>
          <w:smallCaps/>
          <w:color w:val="000000" w:themeColor="text1"/>
          <w:kern w:val="24"/>
          <w:sz w:val="40"/>
          <w:szCs w:val="40"/>
        </w:rPr>
      </w:pPr>
      <w:r w:rsidRPr="00A32BC2">
        <w:rPr>
          <w:rFonts w:ascii="Arial" w:eastAsiaTheme="minorEastAsia" w:hAnsi="Arial" w:cs="Arial"/>
          <w:b/>
          <w:bCs/>
          <w:smallCaps/>
          <w:color w:val="000000" w:themeColor="text1"/>
          <w:kern w:val="24"/>
          <w:sz w:val="40"/>
          <w:szCs w:val="40"/>
        </w:rPr>
        <w:t xml:space="preserve">Student name: </w:t>
      </w:r>
      <w:r w:rsidRPr="00A32BC2">
        <w:rPr>
          <w:rFonts w:ascii="Arial" w:eastAsiaTheme="minorEastAsia" w:hAnsi="Arial" w:cs="Arial"/>
          <w:b/>
          <w:bCs/>
          <w:smallCaps/>
          <w:color w:val="000000" w:themeColor="text1"/>
          <w:kern w:val="24"/>
          <w:sz w:val="40"/>
          <w:szCs w:val="40"/>
        </w:rPr>
        <w:tab/>
      </w:r>
      <w:r>
        <w:rPr>
          <w:rFonts w:ascii="Arial" w:eastAsiaTheme="minorEastAsia" w:hAnsi="Arial" w:cs="Arial"/>
          <w:b/>
          <w:bCs/>
          <w:smallCaps/>
          <w:color w:val="000000" w:themeColor="text1"/>
          <w:kern w:val="24"/>
          <w:sz w:val="40"/>
          <w:szCs w:val="40"/>
        </w:rPr>
        <w:tab/>
      </w:r>
      <w:r w:rsidRPr="00A32BC2">
        <w:rPr>
          <w:rFonts w:ascii="Arial" w:eastAsiaTheme="minorEastAsia" w:hAnsi="Arial" w:cs="Arial"/>
          <w:b/>
          <w:bCs/>
          <w:smallCaps/>
          <w:color w:val="000000" w:themeColor="text1"/>
          <w:kern w:val="24"/>
          <w:sz w:val="40"/>
          <w:szCs w:val="40"/>
        </w:rPr>
        <w:t xml:space="preserve">Anna Poznanska </w:t>
      </w:r>
      <w:r w:rsidRPr="00A32BC2">
        <w:rPr>
          <w:rFonts w:ascii="Arial" w:eastAsiaTheme="minorEastAsia" w:hAnsi="Arial" w:cs="Arial"/>
          <w:b/>
          <w:bCs/>
          <w:smallCaps/>
          <w:color w:val="000000" w:themeColor="text1"/>
          <w:kern w:val="24"/>
          <w:sz w:val="40"/>
          <w:szCs w:val="40"/>
        </w:rPr>
        <w:br/>
        <w:t xml:space="preserve">Student number: </w:t>
      </w:r>
      <w:r w:rsidRPr="00A32BC2">
        <w:rPr>
          <w:rFonts w:ascii="Arial" w:eastAsiaTheme="minorEastAsia" w:hAnsi="Arial" w:cs="Arial"/>
          <w:b/>
          <w:bCs/>
          <w:smallCaps/>
          <w:color w:val="000000" w:themeColor="text1"/>
          <w:kern w:val="24"/>
          <w:sz w:val="40"/>
          <w:szCs w:val="40"/>
        </w:rPr>
        <w:tab/>
        <w:t>ID</w:t>
      </w:r>
      <w:r w:rsidR="009D4AFF">
        <w:rPr>
          <w:rFonts w:ascii="Arial" w:eastAsiaTheme="minorEastAsia" w:hAnsi="Arial" w:cs="Arial"/>
          <w:b/>
          <w:bCs/>
          <w:smallCaps/>
          <w:color w:val="000000" w:themeColor="text1"/>
          <w:kern w:val="24"/>
          <w:sz w:val="40"/>
          <w:szCs w:val="40"/>
        </w:rPr>
        <w:t xml:space="preserve"> </w:t>
      </w:r>
      <w:r w:rsidRPr="00A32BC2">
        <w:rPr>
          <w:rFonts w:ascii="Arial" w:eastAsiaTheme="minorEastAsia" w:hAnsi="Arial" w:cs="Arial"/>
          <w:b/>
          <w:bCs/>
          <w:smallCaps/>
          <w:color w:val="000000" w:themeColor="text1"/>
          <w:kern w:val="24"/>
          <w:sz w:val="40"/>
          <w:szCs w:val="40"/>
        </w:rPr>
        <w:t>2442414</w:t>
      </w:r>
      <w:r w:rsidRPr="00A32BC2">
        <w:rPr>
          <w:rFonts w:ascii="Arial" w:eastAsiaTheme="minorEastAsia" w:hAnsi="Arial" w:cs="Arial"/>
          <w:b/>
          <w:bCs/>
          <w:smallCaps/>
          <w:color w:val="000000" w:themeColor="text1"/>
          <w:kern w:val="24"/>
          <w:sz w:val="40"/>
          <w:szCs w:val="40"/>
        </w:rPr>
        <w:br/>
        <w:t xml:space="preserve">Lecturer’s name: </w:t>
      </w:r>
      <w:r w:rsidRPr="00A32BC2">
        <w:rPr>
          <w:rFonts w:ascii="Arial" w:eastAsiaTheme="minorEastAsia" w:hAnsi="Arial" w:cs="Arial"/>
          <w:b/>
          <w:bCs/>
          <w:smallCaps/>
          <w:color w:val="000000" w:themeColor="text1"/>
          <w:kern w:val="24"/>
          <w:sz w:val="40"/>
          <w:szCs w:val="40"/>
        </w:rPr>
        <w:tab/>
        <w:t xml:space="preserve">Peace Ukachukwu </w:t>
      </w:r>
    </w:p>
    <w:p w14:paraId="78F77056" w14:textId="77777777" w:rsidR="009F3363" w:rsidRDefault="009F3363" w:rsidP="009F3363">
      <w:pPr>
        <w:spacing w:after="0" w:line="360" w:lineRule="auto"/>
        <w:jc w:val="center"/>
        <w:rPr>
          <w:b/>
          <w:bCs/>
          <w:smallCaps/>
          <w:sz w:val="52"/>
          <w:szCs w:val="52"/>
          <w:u w:val="single"/>
        </w:rPr>
      </w:pPr>
    </w:p>
    <w:p w14:paraId="7F403B6C" w14:textId="77777777" w:rsidR="009F3363" w:rsidRDefault="009F3363" w:rsidP="009F3363">
      <w:pPr>
        <w:spacing w:after="0" w:line="360" w:lineRule="auto"/>
        <w:jc w:val="center"/>
        <w:rPr>
          <w:b/>
          <w:bCs/>
          <w:smallCaps/>
          <w:sz w:val="52"/>
          <w:szCs w:val="52"/>
          <w:u w:val="single"/>
        </w:rPr>
      </w:pPr>
    </w:p>
    <w:p w14:paraId="2258EFC0" w14:textId="77777777" w:rsidR="009F3363" w:rsidRDefault="009F3363" w:rsidP="009F3363">
      <w:pPr>
        <w:spacing w:after="0" w:line="360" w:lineRule="auto"/>
        <w:jc w:val="center"/>
        <w:rPr>
          <w:b/>
          <w:bCs/>
          <w:smallCaps/>
          <w:sz w:val="52"/>
          <w:szCs w:val="52"/>
          <w:u w:val="single"/>
        </w:rPr>
      </w:pPr>
    </w:p>
    <w:p w14:paraId="5FCE2F75" w14:textId="7CC59E7E" w:rsidR="00E11207" w:rsidRPr="009F3363" w:rsidRDefault="009F3363" w:rsidP="009F3363">
      <w:pPr>
        <w:spacing w:after="0" w:line="360" w:lineRule="auto"/>
        <w:jc w:val="center"/>
        <w:rPr>
          <w:b/>
          <w:bCs/>
          <w:smallCaps/>
          <w:sz w:val="52"/>
          <w:szCs w:val="52"/>
          <w:u w:val="thick"/>
        </w:rPr>
      </w:pPr>
      <w:r w:rsidRPr="009F3363">
        <w:rPr>
          <w:b/>
          <w:bCs/>
          <w:smallCaps/>
          <w:sz w:val="52"/>
          <w:szCs w:val="52"/>
          <w:u w:val="thick"/>
        </w:rPr>
        <w:t>Bibliography &amp; Report</w:t>
      </w:r>
    </w:p>
    <w:p w14:paraId="1DA594E0" w14:textId="34271CCB" w:rsidR="009F3363" w:rsidRDefault="009F3363">
      <w:pPr>
        <w:rPr>
          <w:rFonts w:ascii="Arial" w:eastAsia="Times New Roman" w:hAnsi="Arial" w:cs="Arial"/>
          <w:b/>
          <w:bCs/>
          <w:kern w:val="0"/>
          <w:sz w:val="32"/>
          <w:szCs w:val="32"/>
          <w:lang w:eastAsia="en-GB"/>
          <w14:ligatures w14:val="none"/>
        </w:rPr>
      </w:pPr>
      <w:r>
        <w:rPr>
          <w:rFonts w:ascii="Arial" w:eastAsia="Times New Roman" w:hAnsi="Arial" w:cs="Arial"/>
          <w:b/>
          <w:bCs/>
          <w:kern w:val="0"/>
          <w:sz w:val="32"/>
          <w:szCs w:val="32"/>
          <w:lang w:eastAsia="en-GB"/>
          <w14:ligatures w14:val="none"/>
        </w:rPr>
        <w:br w:type="page"/>
      </w:r>
    </w:p>
    <w:p w14:paraId="11E33F7E" w14:textId="77777777" w:rsidR="0008298A" w:rsidRPr="009D4AFF" w:rsidRDefault="0008298A" w:rsidP="004E1D4C">
      <w:pPr>
        <w:spacing w:after="120" w:line="360" w:lineRule="auto"/>
        <w:rPr>
          <w:rFonts w:ascii="Arial" w:eastAsia="Times New Roman" w:hAnsi="Arial" w:cs="Arial"/>
          <w:b/>
          <w:bCs/>
          <w:kern w:val="0"/>
          <w:sz w:val="32"/>
          <w:szCs w:val="32"/>
          <w:u w:val="single"/>
          <w:lang w:eastAsia="en-GB"/>
          <w14:ligatures w14:val="none"/>
        </w:rPr>
      </w:pPr>
      <w:r w:rsidRPr="009D4AFF">
        <w:rPr>
          <w:rFonts w:ascii="Arial" w:eastAsia="Times New Roman" w:hAnsi="Arial" w:cs="Arial"/>
          <w:b/>
          <w:bCs/>
          <w:kern w:val="0"/>
          <w:sz w:val="32"/>
          <w:szCs w:val="32"/>
          <w:u w:val="single"/>
          <w:lang w:eastAsia="en-GB"/>
          <w14:ligatures w14:val="none"/>
        </w:rPr>
        <w:lastRenderedPageBreak/>
        <w:t>Part A: Annotated Bibliography</w:t>
      </w:r>
    </w:p>
    <w:p w14:paraId="56078117" w14:textId="77777777" w:rsidR="0008298A" w:rsidRPr="009D4AFF" w:rsidRDefault="0008298A" w:rsidP="004E1D4C">
      <w:pPr>
        <w:spacing w:after="120" w:line="360" w:lineRule="auto"/>
        <w:rPr>
          <w:rFonts w:ascii="Arial" w:eastAsia="Times New Roman" w:hAnsi="Arial" w:cs="Arial"/>
          <w:b/>
          <w:bCs/>
          <w:kern w:val="0"/>
          <w:sz w:val="22"/>
          <w:szCs w:val="22"/>
          <w:lang w:eastAsia="en-GB"/>
          <w14:ligatures w14:val="none"/>
        </w:rPr>
      </w:pPr>
    </w:p>
    <w:p w14:paraId="3DC49AFC" w14:textId="1EBA7300" w:rsidR="009D4AFF" w:rsidRPr="009D4AFF" w:rsidRDefault="0008298A" w:rsidP="009D4AFF">
      <w:pPr>
        <w:spacing w:after="120" w:line="360" w:lineRule="auto"/>
        <w:rPr>
          <w:rFonts w:ascii="Arial" w:eastAsia="Times New Roman" w:hAnsi="Arial" w:cs="Arial"/>
          <w:b/>
          <w:bCs/>
          <w:kern w:val="0"/>
          <w:sz w:val="28"/>
          <w:szCs w:val="28"/>
          <w:lang w:eastAsia="en-GB"/>
          <w14:ligatures w14:val="none"/>
        </w:rPr>
      </w:pPr>
      <w:r w:rsidRPr="009D4AFF">
        <w:rPr>
          <w:rFonts w:ascii="Arial" w:eastAsia="Times New Roman" w:hAnsi="Arial" w:cs="Arial"/>
          <w:b/>
          <w:bCs/>
          <w:kern w:val="0"/>
          <w:sz w:val="28"/>
          <w:szCs w:val="28"/>
          <w:lang w:eastAsia="en-GB"/>
          <w14:ligatures w14:val="none"/>
        </w:rPr>
        <w:t xml:space="preserve">1. </w:t>
      </w:r>
      <w:r w:rsidR="009D4AFF" w:rsidRPr="009D4AFF">
        <w:rPr>
          <w:rFonts w:ascii="Arial" w:eastAsia="Times New Roman" w:hAnsi="Arial" w:cs="Arial"/>
          <w:b/>
          <w:bCs/>
          <w:kern w:val="0"/>
          <w:sz w:val="28"/>
          <w:szCs w:val="28"/>
          <w:lang w:eastAsia="en-GB"/>
          <w14:ligatures w14:val="none"/>
        </w:rPr>
        <w:t xml:space="preserve">Van der Kaap-Deeder, J., </w:t>
      </w:r>
      <w:proofErr w:type="spellStart"/>
      <w:r w:rsidR="009D4AFF" w:rsidRPr="009D4AFF">
        <w:rPr>
          <w:rFonts w:ascii="Arial" w:eastAsia="Times New Roman" w:hAnsi="Arial" w:cs="Arial"/>
          <w:b/>
          <w:bCs/>
          <w:kern w:val="0"/>
          <w:sz w:val="28"/>
          <w:szCs w:val="28"/>
          <w:lang w:eastAsia="en-GB"/>
          <w14:ligatures w14:val="none"/>
        </w:rPr>
        <w:t>Vermote</w:t>
      </w:r>
      <w:proofErr w:type="spellEnd"/>
      <w:r w:rsidR="009D4AFF" w:rsidRPr="009D4AFF">
        <w:rPr>
          <w:rFonts w:ascii="Arial" w:eastAsia="Times New Roman" w:hAnsi="Arial" w:cs="Arial"/>
          <w:b/>
          <w:bCs/>
          <w:kern w:val="0"/>
          <w:sz w:val="28"/>
          <w:szCs w:val="28"/>
          <w:lang w:eastAsia="en-GB"/>
          <w14:ligatures w14:val="none"/>
        </w:rPr>
        <w:t xml:space="preserve">, B., </w:t>
      </w:r>
      <w:proofErr w:type="spellStart"/>
      <w:r w:rsidR="009D4AFF" w:rsidRPr="009D4AFF">
        <w:rPr>
          <w:rFonts w:ascii="Arial" w:eastAsia="Times New Roman" w:hAnsi="Arial" w:cs="Arial"/>
          <w:b/>
          <w:bCs/>
          <w:kern w:val="0"/>
          <w:sz w:val="28"/>
          <w:szCs w:val="28"/>
          <w:lang w:eastAsia="en-GB"/>
          <w14:ligatures w14:val="none"/>
        </w:rPr>
        <w:t>Waterschoot</w:t>
      </w:r>
      <w:proofErr w:type="spellEnd"/>
      <w:r w:rsidR="009D4AFF" w:rsidRPr="009D4AFF">
        <w:rPr>
          <w:rFonts w:ascii="Arial" w:eastAsia="Times New Roman" w:hAnsi="Arial" w:cs="Arial"/>
          <w:b/>
          <w:bCs/>
          <w:kern w:val="0"/>
          <w:sz w:val="28"/>
          <w:szCs w:val="28"/>
          <w:lang w:eastAsia="en-GB"/>
          <w14:ligatures w14:val="none"/>
        </w:rPr>
        <w:t xml:space="preserve">, J., Soenens, B., </w:t>
      </w:r>
      <w:proofErr w:type="spellStart"/>
      <w:r w:rsidR="009D4AFF" w:rsidRPr="009D4AFF">
        <w:rPr>
          <w:rFonts w:ascii="Arial" w:eastAsia="Times New Roman" w:hAnsi="Arial" w:cs="Arial"/>
          <w:b/>
          <w:bCs/>
          <w:kern w:val="0"/>
          <w:sz w:val="28"/>
          <w:szCs w:val="28"/>
          <w:lang w:eastAsia="en-GB"/>
          <w14:ligatures w14:val="none"/>
        </w:rPr>
        <w:t>Morbée</w:t>
      </w:r>
      <w:proofErr w:type="spellEnd"/>
      <w:r w:rsidR="009D4AFF" w:rsidRPr="009D4AFF">
        <w:rPr>
          <w:rFonts w:ascii="Arial" w:eastAsia="Times New Roman" w:hAnsi="Arial" w:cs="Arial"/>
          <w:b/>
          <w:bCs/>
          <w:kern w:val="0"/>
          <w:sz w:val="28"/>
          <w:szCs w:val="28"/>
          <w:lang w:eastAsia="en-GB"/>
          <w14:ligatures w14:val="none"/>
        </w:rPr>
        <w:t xml:space="preserve">, S. and Vansteenkiste, M. (2022) ‘The role of ego integrity and despair in older adults’ well-being during the COVID-19 crisis: the mediating role of need-based experiences’, </w:t>
      </w:r>
      <w:r w:rsidR="009D4AFF" w:rsidRPr="009D4AFF">
        <w:rPr>
          <w:rFonts w:ascii="Arial" w:eastAsia="Times New Roman" w:hAnsi="Arial" w:cs="Arial"/>
          <w:b/>
          <w:bCs/>
          <w:i/>
          <w:iCs/>
          <w:kern w:val="0"/>
          <w:sz w:val="28"/>
          <w:szCs w:val="28"/>
          <w:lang w:eastAsia="en-GB"/>
          <w14:ligatures w14:val="none"/>
        </w:rPr>
        <w:t>European Journal of Ageing</w:t>
      </w:r>
      <w:r w:rsidR="009D4AFF" w:rsidRPr="009D4AFF">
        <w:rPr>
          <w:rFonts w:ascii="Arial" w:eastAsia="Times New Roman" w:hAnsi="Arial" w:cs="Arial"/>
          <w:b/>
          <w:bCs/>
          <w:kern w:val="0"/>
          <w:sz w:val="28"/>
          <w:szCs w:val="28"/>
          <w:lang w:eastAsia="en-GB"/>
          <w14:ligatures w14:val="none"/>
        </w:rPr>
        <w:t>, 19(1), pp. 117</w:t>
      </w:r>
      <w:r w:rsidR="00E94120">
        <w:rPr>
          <w:rFonts w:ascii="Arial" w:eastAsia="Times New Roman" w:hAnsi="Arial" w:cs="Arial"/>
          <w:b/>
          <w:bCs/>
          <w:kern w:val="0"/>
          <w:sz w:val="28"/>
          <w:szCs w:val="28"/>
          <w:lang w:eastAsia="en-GB"/>
          <w14:ligatures w14:val="none"/>
        </w:rPr>
        <w:t>-</w:t>
      </w:r>
      <w:r w:rsidR="009D4AFF" w:rsidRPr="009D4AFF">
        <w:rPr>
          <w:rFonts w:ascii="Arial" w:eastAsia="Times New Roman" w:hAnsi="Arial" w:cs="Arial"/>
          <w:b/>
          <w:bCs/>
          <w:kern w:val="0"/>
          <w:sz w:val="28"/>
          <w:szCs w:val="28"/>
          <w:lang w:eastAsia="en-GB"/>
          <w14:ligatures w14:val="none"/>
        </w:rPr>
        <w:t xml:space="preserve">129. Available at: </w:t>
      </w:r>
      <w:hyperlink r:id="rId7" w:tgtFrame="_new" w:history="1">
        <w:r w:rsidR="009D4AFF" w:rsidRPr="009D4AFF">
          <w:rPr>
            <w:rStyle w:val="Hyperlink"/>
            <w:rFonts w:ascii="Arial" w:eastAsia="Times New Roman" w:hAnsi="Arial" w:cs="Arial"/>
            <w:b/>
            <w:bCs/>
            <w:kern w:val="0"/>
            <w:sz w:val="28"/>
            <w:szCs w:val="28"/>
            <w:lang w:eastAsia="en-GB"/>
            <w14:ligatures w14:val="none"/>
          </w:rPr>
          <w:t>https://doi.org/10.1007/s10433-021-00610-0</w:t>
        </w:r>
      </w:hyperlink>
    </w:p>
    <w:p w14:paraId="31EC7102" w14:textId="77777777" w:rsidR="009D4AFF" w:rsidRDefault="009D4AFF" w:rsidP="004E1D4C">
      <w:pPr>
        <w:spacing w:after="120" w:line="360" w:lineRule="auto"/>
        <w:rPr>
          <w:rFonts w:ascii="Arial" w:eastAsia="Times New Roman" w:hAnsi="Arial" w:cs="Arial"/>
          <w:b/>
          <w:bCs/>
          <w:kern w:val="0"/>
          <w:lang w:eastAsia="en-GB"/>
          <w14:ligatures w14:val="none"/>
        </w:rPr>
      </w:pPr>
    </w:p>
    <w:p w14:paraId="31AE0639" w14:textId="3E829073" w:rsidR="0008298A" w:rsidRPr="004E1D4C" w:rsidRDefault="0008298A" w:rsidP="004E1D4C">
      <w:pPr>
        <w:spacing w:after="120" w:line="360" w:lineRule="auto"/>
        <w:rPr>
          <w:rFonts w:ascii="Arial" w:eastAsia="Times New Roman" w:hAnsi="Arial" w:cs="Arial"/>
          <w:b/>
          <w:bCs/>
          <w:kern w:val="0"/>
          <w:lang w:eastAsia="en-GB"/>
          <w14:ligatures w14:val="none"/>
        </w:rPr>
      </w:pPr>
      <w:r w:rsidRPr="004E1D4C">
        <w:rPr>
          <w:rFonts w:ascii="Arial" w:eastAsia="Times New Roman" w:hAnsi="Arial" w:cs="Arial"/>
          <w:b/>
          <w:bCs/>
          <w:kern w:val="0"/>
          <w:lang w:eastAsia="en-GB"/>
          <w14:ligatures w14:val="none"/>
        </w:rPr>
        <w:t xml:space="preserve">Summary  </w:t>
      </w:r>
    </w:p>
    <w:p w14:paraId="3FC8AB2E" w14:textId="66ABE0B8" w:rsidR="00DA6645" w:rsidRDefault="00DA6645" w:rsidP="004E1D4C">
      <w:pPr>
        <w:spacing w:after="120" w:line="360" w:lineRule="auto"/>
        <w:rPr>
          <w:rFonts w:ascii="Arial" w:eastAsia="Times New Roman" w:hAnsi="Arial" w:cs="Arial"/>
          <w:kern w:val="0"/>
          <w:sz w:val="22"/>
          <w:szCs w:val="22"/>
          <w:lang w:eastAsia="en-GB"/>
          <w14:ligatures w14:val="none"/>
        </w:rPr>
      </w:pPr>
      <w:r w:rsidRPr="00DA6645">
        <w:rPr>
          <w:rFonts w:ascii="Arial" w:eastAsia="Times New Roman" w:hAnsi="Arial" w:cs="Arial"/>
          <w:kern w:val="0"/>
          <w:sz w:val="22"/>
          <w:szCs w:val="22"/>
          <w:lang w:eastAsia="en-GB"/>
          <w14:ligatures w14:val="none"/>
        </w:rPr>
        <w:t xml:space="preserve">The article uses Erikson’s final stage of psychosocial development, ego integrity versus despair, to explore psychological wellbeing among older adults during the COVID-19 period. The findings show that individuals reporting stronger ego integrity tended to experience higher life satisfaction, while those with greater levels of despair reported poorer mental health. The study also highlights the role of basic psychological needs </w:t>
      </w:r>
      <w:r w:rsidR="00E94120">
        <w:rPr>
          <w:rFonts w:ascii="Arial" w:eastAsia="Times New Roman" w:hAnsi="Arial" w:cs="Arial"/>
          <w:kern w:val="0"/>
          <w:sz w:val="22"/>
          <w:szCs w:val="22"/>
          <w:lang w:eastAsia="en-GB"/>
          <w14:ligatures w14:val="none"/>
        </w:rPr>
        <w:t>(</w:t>
      </w:r>
      <w:r w:rsidRPr="00DA6645">
        <w:rPr>
          <w:rFonts w:ascii="Arial" w:eastAsia="Times New Roman" w:hAnsi="Arial" w:cs="Arial"/>
          <w:kern w:val="0"/>
          <w:sz w:val="22"/>
          <w:szCs w:val="22"/>
          <w:lang w:eastAsia="en-GB"/>
          <w14:ligatures w14:val="none"/>
        </w:rPr>
        <w:t>autonomy, competence and relatedness</w:t>
      </w:r>
      <w:r w:rsidR="00E94120">
        <w:rPr>
          <w:rFonts w:ascii="Arial" w:eastAsia="Times New Roman" w:hAnsi="Arial" w:cs="Arial"/>
          <w:kern w:val="0"/>
          <w:sz w:val="22"/>
          <w:szCs w:val="22"/>
          <w:lang w:eastAsia="en-GB"/>
          <w14:ligatures w14:val="none"/>
        </w:rPr>
        <w:t>)</w:t>
      </w:r>
      <w:r w:rsidRPr="00DA6645">
        <w:rPr>
          <w:rFonts w:ascii="Arial" w:eastAsia="Times New Roman" w:hAnsi="Arial" w:cs="Arial"/>
          <w:kern w:val="0"/>
          <w:sz w:val="22"/>
          <w:szCs w:val="22"/>
          <w:lang w:eastAsia="en-GB"/>
          <w14:ligatures w14:val="none"/>
        </w:rPr>
        <w:t xml:space="preserve"> suggesting that when these needs are met, reflections on one’s life are more likely to support present wellbeing.</w:t>
      </w:r>
    </w:p>
    <w:p w14:paraId="52F294E0" w14:textId="2D9171D4" w:rsidR="00505E5E" w:rsidRDefault="00505E5E" w:rsidP="004E1D4C">
      <w:pPr>
        <w:spacing w:after="120" w:line="360" w:lineRule="auto"/>
        <w:rPr>
          <w:rFonts w:ascii="Arial" w:eastAsia="Times New Roman" w:hAnsi="Arial" w:cs="Arial"/>
          <w:kern w:val="0"/>
          <w:sz w:val="22"/>
          <w:szCs w:val="22"/>
          <w:lang w:eastAsia="en-GB"/>
          <w14:ligatures w14:val="none"/>
        </w:rPr>
      </w:pPr>
      <w:r w:rsidRPr="00505E5E">
        <w:rPr>
          <w:rFonts w:ascii="Arial" w:eastAsia="Times New Roman" w:hAnsi="Arial" w:cs="Arial"/>
          <w:kern w:val="0"/>
          <w:sz w:val="22"/>
          <w:szCs w:val="22"/>
          <w:lang w:eastAsia="en-GB"/>
          <w14:ligatures w14:val="none"/>
        </w:rPr>
        <w:t>The study used a cross</w:t>
      </w:r>
      <w:r w:rsidRPr="00505E5E">
        <w:rPr>
          <w:rFonts w:ascii="Cambria Math" w:eastAsia="Times New Roman" w:hAnsi="Cambria Math" w:cs="Cambria Math"/>
          <w:kern w:val="0"/>
          <w:sz w:val="22"/>
          <w:szCs w:val="22"/>
          <w:lang w:eastAsia="en-GB"/>
          <w14:ligatures w14:val="none"/>
        </w:rPr>
        <w:t>‑</w:t>
      </w:r>
      <w:r w:rsidRPr="00505E5E">
        <w:rPr>
          <w:rFonts w:ascii="Arial" w:eastAsia="Times New Roman" w:hAnsi="Arial" w:cs="Arial"/>
          <w:kern w:val="0"/>
          <w:sz w:val="22"/>
          <w:szCs w:val="22"/>
          <w:lang w:eastAsia="en-GB"/>
          <w14:ligatures w14:val="none"/>
        </w:rPr>
        <w:t>sectional online survey conducted in Belgium with N</w:t>
      </w:r>
      <w:r w:rsidR="002D56AE">
        <w:rPr>
          <w:rFonts w:ascii="Arial" w:eastAsia="Times New Roman" w:hAnsi="Arial" w:cs="Arial"/>
          <w:kern w:val="0"/>
          <w:sz w:val="22"/>
          <w:szCs w:val="22"/>
          <w:lang w:eastAsia="en-GB"/>
          <w14:ligatures w14:val="none"/>
        </w:rPr>
        <w:t>=</w:t>
      </w:r>
      <w:r w:rsidRPr="00505E5E">
        <w:rPr>
          <w:rFonts w:ascii="Arial" w:eastAsia="Times New Roman" w:hAnsi="Arial" w:cs="Arial"/>
          <w:kern w:val="0"/>
          <w:sz w:val="22"/>
          <w:szCs w:val="22"/>
          <w:lang w:eastAsia="en-GB"/>
          <w14:ligatures w14:val="none"/>
        </w:rPr>
        <w:t>693 older adults (age range reported in the article), collecting self</w:t>
      </w:r>
      <w:r w:rsidRPr="00505E5E">
        <w:rPr>
          <w:rFonts w:ascii="Cambria Math" w:eastAsia="Times New Roman" w:hAnsi="Cambria Math" w:cs="Cambria Math"/>
          <w:kern w:val="0"/>
          <w:sz w:val="22"/>
          <w:szCs w:val="22"/>
          <w:lang w:eastAsia="en-GB"/>
          <w14:ligatures w14:val="none"/>
        </w:rPr>
        <w:t>‑</w:t>
      </w:r>
      <w:r w:rsidRPr="00505E5E">
        <w:rPr>
          <w:rFonts w:ascii="Arial" w:eastAsia="Times New Roman" w:hAnsi="Arial" w:cs="Arial"/>
          <w:kern w:val="0"/>
          <w:sz w:val="22"/>
          <w:szCs w:val="22"/>
          <w:lang w:eastAsia="en-GB"/>
          <w14:ligatures w14:val="none"/>
        </w:rPr>
        <w:t>report measures of integrity, despair, need satisfaction and wellbeing during the pandemic.</w:t>
      </w:r>
    </w:p>
    <w:p w14:paraId="415F4778" w14:textId="77777777" w:rsidR="003465DB" w:rsidRPr="004E1D4C" w:rsidRDefault="003465DB" w:rsidP="004E1D4C">
      <w:pPr>
        <w:spacing w:after="120" w:line="360" w:lineRule="auto"/>
        <w:rPr>
          <w:rFonts w:ascii="Arial" w:eastAsia="Times New Roman" w:hAnsi="Arial" w:cs="Arial"/>
          <w:kern w:val="0"/>
          <w:sz w:val="22"/>
          <w:szCs w:val="22"/>
          <w:lang w:eastAsia="en-GB"/>
          <w14:ligatures w14:val="none"/>
        </w:rPr>
      </w:pPr>
    </w:p>
    <w:p w14:paraId="4441B5FA" w14:textId="3672C65B" w:rsidR="001256F6" w:rsidRPr="004E1D4C" w:rsidRDefault="0008298A" w:rsidP="004E1D4C">
      <w:pPr>
        <w:spacing w:after="120" w:line="360" w:lineRule="auto"/>
        <w:rPr>
          <w:rFonts w:ascii="Arial" w:eastAsia="Times New Roman" w:hAnsi="Arial" w:cs="Arial"/>
          <w:b/>
          <w:bCs/>
          <w:kern w:val="0"/>
          <w:lang w:eastAsia="en-GB"/>
          <w14:ligatures w14:val="none"/>
        </w:rPr>
      </w:pPr>
      <w:r w:rsidRPr="004E1D4C">
        <w:rPr>
          <w:rFonts w:ascii="Arial" w:eastAsia="Times New Roman" w:hAnsi="Arial" w:cs="Arial"/>
          <w:b/>
          <w:bCs/>
          <w:kern w:val="0"/>
          <w:lang w:eastAsia="en-GB"/>
          <w14:ligatures w14:val="none"/>
        </w:rPr>
        <w:t>Critical evaluation of the theory</w:t>
      </w:r>
    </w:p>
    <w:p w14:paraId="18736BE0" w14:textId="77777777" w:rsidR="003465DB" w:rsidRDefault="001B2404" w:rsidP="001B2404">
      <w:pPr>
        <w:spacing w:after="120" w:line="360" w:lineRule="auto"/>
        <w:rPr>
          <w:rFonts w:ascii="Arial" w:eastAsia="Times New Roman" w:hAnsi="Arial" w:cs="Arial"/>
          <w:kern w:val="0"/>
          <w:sz w:val="22"/>
          <w:szCs w:val="22"/>
          <w:lang w:eastAsia="en-GB"/>
          <w14:ligatures w14:val="none"/>
        </w:rPr>
      </w:pPr>
      <w:r w:rsidRPr="001B2404">
        <w:rPr>
          <w:rFonts w:ascii="Arial" w:eastAsia="Times New Roman" w:hAnsi="Arial" w:cs="Arial"/>
          <w:kern w:val="0"/>
          <w:sz w:val="22"/>
          <w:szCs w:val="22"/>
          <w:lang w:eastAsia="en-GB"/>
          <w14:ligatures w14:val="none"/>
        </w:rPr>
        <w:t>The use of the theory in this study is clear and relevant to the context, although the cross-sectional design and reliance on self-reported data make it difficult to draw conclusions about cause and effect, and may introduce bias. The specific context of the sample, based on older adults in Belgium during the COVID-19 period, also limits how far the findings can be applied to other settings. In practice, the study points towards approaches that encourage reflection on life experiences and support basic psychological needs. For example, this could include structured reminiscence activities alongside care planning that promotes a sense of autonomy, helping residents maintain meaning and a sense of control.</w:t>
      </w:r>
    </w:p>
    <w:p w14:paraId="19BA50F4" w14:textId="77777777" w:rsidR="003465DB" w:rsidRDefault="003465DB">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br w:type="page"/>
      </w:r>
    </w:p>
    <w:p w14:paraId="080DFC7F" w14:textId="51C38410" w:rsidR="009D4AFF" w:rsidRPr="009D4AFF" w:rsidRDefault="0008298A" w:rsidP="009D4AFF">
      <w:pPr>
        <w:spacing w:after="120" w:line="360" w:lineRule="auto"/>
        <w:rPr>
          <w:rFonts w:ascii="Arial" w:eastAsia="Times New Roman" w:hAnsi="Arial" w:cs="Arial"/>
          <w:b/>
          <w:bCs/>
          <w:kern w:val="0"/>
          <w:sz w:val="28"/>
          <w:szCs w:val="28"/>
          <w:lang w:eastAsia="en-GB"/>
          <w14:ligatures w14:val="none"/>
        </w:rPr>
      </w:pPr>
      <w:r w:rsidRPr="00505E5E">
        <w:rPr>
          <w:rFonts w:ascii="Arial" w:eastAsia="Times New Roman" w:hAnsi="Arial" w:cs="Arial"/>
          <w:b/>
          <w:bCs/>
          <w:kern w:val="0"/>
          <w:sz w:val="28"/>
          <w:szCs w:val="28"/>
          <w:lang w:eastAsia="en-GB"/>
          <w14:ligatures w14:val="none"/>
        </w:rPr>
        <w:lastRenderedPageBreak/>
        <w:t xml:space="preserve">2. </w:t>
      </w:r>
      <w:r w:rsidR="009D4AFF" w:rsidRPr="009D4AFF">
        <w:rPr>
          <w:rFonts w:ascii="Arial" w:eastAsia="Times New Roman" w:hAnsi="Arial" w:cs="Arial"/>
          <w:b/>
          <w:bCs/>
          <w:kern w:val="0"/>
          <w:sz w:val="28"/>
          <w:szCs w:val="28"/>
          <w:lang w:eastAsia="en-GB"/>
          <w14:ligatures w14:val="none"/>
        </w:rPr>
        <w:t xml:space="preserve">Westerhof, G.J. and Bohlmeijer, E.T. (2017) ‘The relation of ego integrity and despair to personality traits and mental health’, </w:t>
      </w:r>
      <w:r w:rsidR="009D4AFF" w:rsidRPr="009D4AFF">
        <w:rPr>
          <w:rFonts w:ascii="Arial" w:eastAsia="Times New Roman" w:hAnsi="Arial" w:cs="Arial"/>
          <w:b/>
          <w:bCs/>
          <w:i/>
          <w:iCs/>
          <w:kern w:val="0"/>
          <w:sz w:val="28"/>
          <w:szCs w:val="28"/>
          <w:lang w:eastAsia="en-GB"/>
          <w14:ligatures w14:val="none"/>
        </w:rPr>
        <w:t>The Journals of Gerontology: Series B</w:t>
      </w:r>
      <w:r w:rsidR="009D4AFF" w:rsidRPr="009D4AFF">
        <w:rPr>
          <w:rFonts w:ascii="Arial" w:eastAsia="Times New Roman" w:hAnsi="Arial" w:cs="Arial"/>
          <w:b/>
          <w:bCs/>
          <w:kern w:val="0"/>
          <w:sz w:val="28"/>
          <w:szCs w:val="28"/>
          <w:lang w:eastAsia="en-GB"/>
          <w14:ligatures w14:val="none"/>
        </w:rPr>
        <w:t>, 72(3), pp. 400</w:t>
      </w:r>
      <w:r w:rsidR="009529ED">
        <w:rPr>
          <w:rFonts w:ascii="Arial" w:eastAsia="Times New Roman" w:hAnsi="Arial" w:cs="Arial"/>
          <w:b/>
          <w:bCs/>
          <w:kern w:val="0"/>
          <w:sz w:val="28"/>
          <w:szCs w:val="28"/>
          <w:lang w:eastAsia="en-GB"/>
          <w14:ligatures w14:val="none"/>
        </w:rPr>
        <w:t>-</w:t>
      </w:r>
      <w:r w:rsidR="009D4AFF" w:rsidRPr="009D4AFF">
        <w:rPr>
          <w:rFonts w:ascii="Arial" w:eastAsia="Times New Roman" w:hAnsi="Arial" w:cs="Arial"/>
          <w:b/>
          <w:bCs/>
          <w:kern w:val="0"/>
          <w:sz w:val="28"/>
          <w:szCs w:val="28"/>
          <w:lang w:eastAsia="en-GB"/>
          <w14:ligatures w14:val="none"/>
        </w:rPr>
        <w:t xml:space="preserve">407. Available at: </w:t>
      </w:r>
      <w:hyperlink r:id="rId8" w:tgtFrame="_new" w:history="1">
        <w:r w:rsidR="009D4AFF" w:rsidRPr="009D4AFF">
          <w:rPr>
            <w:rStyle w:val="Hyperlink"/>
            <w:rFonts w:ascii="Arial" w:eastAsia="Times New Roman" w:hAnsi="Arial" w:cs="Arial"/>
            <w:b/>
            <w:bCs/>
            <w:kern w:val="0"/>
            <w:sz w:val="28"/>
            <w:szCs w:val="28"/>
            <w:lang w:eastAsia="en-GB"/>
            <w14:ligatures w14:val="none"/>
          </w:rPr>
          <w:t>https://doi.org/10.1093/geronb/gbv062</w:t>
        </w:r>
      </w:hyperlink>
    </w:p>
    <w:p w14:paraId="1BDBF1EF" w14:textId="77777777" w:rsidR="002D56AE" w:rsidRDefault="002D56AE" w:rsidP="004E1D4C">
      <w:pPr>
        <w:spacing w:after="120" w:line="360" w:lineRule="auto"/>
        <w:rPr>
          <w:rFonts w:ascii="Arial" w:eastAsia="Times New Roman" w:hAnsi="Arial" w:cs="Arial"/>
          <w:b/>
          <w:bCs/>
          <w:kern w:val="0"/>
          <w:lang w:eastAsia="en-GB"/>
          <w14:ligatures w14:val="none"/>
        </w:rPr>
      </w:pPr>
    </w:p>
    <w:p w14:paraId="505F969F" w14:textId="0A3B3138" w:rsidR="0008298A" w:rsidRPr="00505E5E" w:rsidRDefault="0008298A" w:rsidP="004E1D4C">
      <w:pPr>
        <w:spacing w:after="120" w:line="360" w:lineRule="auto"/>
        <w:rPr>
          <w:rFonts w:ascii="Arial" w:eastAsia="Times New Roman" w:hAnsi="Arial" w:cs="Arial"/>
          <w:b/>
          <w:bCs/>
          <w:kern w:val="0"/>
          <w:lang w:eastAsia="en-GB"/>
          <w14:ligatures w14:val="none"/>
        </w:rPr>
      </w:pPr>
      <w:r w:rsidRPr="00505E5E">
        <w:rPr>
          <w:rFonts w:ascii="Arial" w:eastAsia="Times New Roman" w:hAnsi="Arial" w:cs="Arial"/>
          <w:b/>
          <w:bCs/>
          <w:kern w:val="0"/>
          <w:lang w:eastAsia="en-GB"/>
          <w14:ligatures w14:val="none"/>
        </w:rPr>
        <w:t xml:space="preserve">Summary  </w:t>
      </w:r>
    </w:p>
    <w:p w14:paraId="7E223603" w14:textId="77777777" w:rsidR="0008298A" w:rsidRDefault="0008298A" w:rsidP="004E1D4C">
      <w:pPr>
        <w:spacing w:after="120" w:line="360" w:lineRule="auto"/>
        <w:rPr>
          <w:rFonts w:ascii="Arial" w:eastAsia="Times New Roman" w:hAnsi="Arial" w:cs="Arial"/>
          <w:kern w:val="0"/>
          <w:sz w:val="22"/>
          <w:szCs w:val="22"/>
          <w:lang w:eastAsia="en-GB"/>
          <w14:ligatures w14:val="none"/>
        </w:rPr>
      </w:pPr>
      <w:r w:rsidRPr="004E1D4C">
        <w:rPr>
          <w:rFonts w:ascii="Arial" w:eastAsia="Times New Roman" w:hAnsi="Arial" w:cs="Arial"/>
          <w:kern w:val="0"/>
          <w:sz w:val="22"/>
          <w:szCs w:val="22"/>
          <w:lang w:eastAsia="en-GB"/>
          <w14:ligatures w14:val="none"/>
        </w:rPr>
        <w:t xml:space="preserve">This empirical paper links </w:t>
      </w:r>
      <w:proofErr w:type="spellStart"/>
      <w:r w:rsidRPr="004E1D4C">
        <w:rPr>
          <w:rFonts w:ascii="Arial" w:eastAsia="Times New Roman" w:hAnsi="Arial" w:cs="Arial"/>
          <w:kern w:val="0"/>
          <w:sz w:val="22"/>
          <w:szCs w:val="22"/>
          <w:lang w:eastAsia="en-GB"/>
          <w14:ligatures w14:val="none"/>
        </w:rPr>
        <w:t>Eriksonian</w:t>
      </w:r>
      <w:proofErr w:type="spellEnd"/>
      <w:r w:rsidRPr="004E1D4C">
        <w:rPr>
          <w:rFonts w:ascii="Arial" w:eastAsia="Times New Roman" w:hAnsi="Arial" w:cs="Arial"/>
          <w:kern w:val="0"/>
          <w:sz w:val="22"/>
          <w:szCs w:val="22"/>
          <w:lang w:eastAsia="en-GB"/>
          <w14:ligatures w14:val="none"/>
        </w:rPr>
        <w:t xml:space="preserve"> constructs to personality and mental health in later life. Ego integrity relates to indicators of positive mental health, whereas despair shows stronger associations with depressive symptoms and neuroticism. The authors also report that traits such as openness and extraversion are indirectly associated with integrity through their relationships with wellbeing. The study situates psychosocial development within contemporary trait frameworks.</w:t>
      </w:r>
    </w:p>
    <w:p w14:paraId="39173A68" w14:textId="1A3B2F9E" w:rsidR="00505E5E" w:rsidRDefault="00505E5E" w:rsidP="004E1D4C">
      <w:pPr>
        <w:spacing w:after="120" w:line="360" w:lineRule="auto"/>
        <w:rPr>
          <w:rFonts w:ascii="Arial" w:eastAsia="Times New Roman" w:hAnsi="Arial" w:cs="Arial"/>
          <w:kern w:val="0"/>
          <w:sz w:val="22"/>
          <w:szCs w:val="22"/>
          <w:lang w:eastAsia="en-GB"/>
          <w14:ligatures w14:val="none"/>
        </w:rPr>
      </w:pPr>
      <w:r w:rsidRPr="00505E5E">
        <w:rPr>
          <w:rFonts w:ascii="Arial" w:eastAsia="Times New Roman" w:hAnsi="Arial" w:cs="Arial"/>
          <w:kern w:val="0"/>
          <w:sz w:val="22"/>
          <w:szCs w:val="22"/>
          <w:lang w:eastAsia="en-GB"/>
          <w14:ligatures w14:val="none"/>
        </w:rPr>
        <w:t>The research is a cross</w:t>
      </w:r>
      <w:r w:rsidRPr="00505E5E">
        <w:rPr>
          <w:rFonts w:ascii="Cambria Math" w:eastAsia="Times New Roman" w:hAnsi="Cambria Math" w:cs="Cambria Math"/>
          <w:kern w:val="0"/>
          <w:sz w:val="22"/>
          <w:szCs w:val="22"/>
          <w:lang w:eastAsia="en-GB"/>
          <w14:ligatures w14:val="none"/>
        </w:rPr>
        <w:t>‑</w:t>
      </w:r>
      <w:r w:rsidRPr="00505E5E">
        <w:rPr>
          <w:rFonts w:ascii="Arial" w:eastAsia="Times New Roman" w:hAnsi="Arial" w:cs="Arial"/>
          <w:kern w:val="0"/>
          <w:sz w:val="22"/>
          <w:szCs w:val="22"/>
          <w:lang w:eastAsia="en-GB"/>
          <w14:ligatures w14:val="none"/>
        </w:rPr>
        <w:t>sectional study carried out in the Netherlands with approximately 218 older adult participants (middle</w:t>
      </w:r>
      <w:r w:rsidRPr="00505E5E">
        <w:rPr>
          <w:rFonts w:ascii="Cambria Math" w:eastAsia="Times New Roman" w:hAnsi="Cambria Math" w:cs="Cambria Math"/>
          <w:kern w:val="0"/>
          <w:sz w:val="22"/>
          <w:szCs w:val="22"/>
          <w:lang w:eastAsia="en-GB"/>
          <w14:ligatures w14:val="none"/>
        </w:rPr>
        <w:t>‑</w:t>
      </w:r>
      <w:r w:rsidRPr="00505E5E">
        <w:rPr>
          <w:rFonts w:ascii="Arial" w:eastAsia="Times New Roman" w:hAnsi="Arial" w:cs="Arial"/>
          <w:kern w:val="0"/>
          <w:sz w:val="22"/>
          <w:szCs w:val="22"/>
          <w:lang w:eastAsia="en-GB"/>
          <w14:ligatures w14:val="none"/>
        </w:rPr>
        <w:t>older age range reported), using validated scales for ego integrity, despair, personality (NEO</w:t>
      </w:r>
      <w:r w:rsidR="00537CD2">
        <w:rPr>
          <w:rFonts w:ascii="Arial" w:eastAsia="Times New Roman" w:hAnsi="Arial" w:cs="Arial"/>
          <w:kern w:val="0"/>
          <w:sz w:val="22"/>
          <w:szCs w:val="22"/>
          <w:lang w:eastAsia="en-GB"/>
          <w14:ligatures w14:val="none"/>
        </w:rPr>
        <w:t xml:space="preserve"> - </w:t>
      </w:r>
      <w:r w:rsidRPr="00505E5E">
        <w:rPr>
          <w:rFonts w:ascii="Arial" w:eastAsia="Times New Roman" w:hAnsi="Arial" w:cs="Arial"/>
          <w:kern w:val="0"/>
          <w:sz w:val="22"/>
          <w:szCs w:val="22"/>
          <w:lang w:eastAsia="en-GB"/>
          <w14:ligatures w14:val="none"/>
        </w:rPr>
        <w:t>FFI) and mental health outcomes.</w:t>
      </w:r>
    </w:p>
    <w:p w14:paraId="62ADE936" w14:textId="77777777" w:rsidR="001256F6" w:rsidRPr="004E1D4C" w:rsidRDefault="001256F6" w:rsidP="004E1D4C">
      <w:pPr>
        <w:spacing w:after="120" w:line="360" w:lineRule="auto"/>
        <w:rPr>
          <w:rFonts w:ascii="Arial" w:eastAsia="Times New Roman" w:hAnsi="Arial" w:cs="Arial"/>
          <w:kern w:val="0"/>
          <w:sz w:val="22"/>
          <w:szCs w:val="22"/>
          <w:lang w:eastAsia="en-GB"/>
          <w14:ligatures w14:val="none"/>
        </w:rPr>
      </w:pPr>
    </w:p>
    <w:p w14:paraId="5BFBB1B1" w14:textId="77777777" w:rsidR="0008298A" w:rsidRPr="00505E5E" w:rsidRDefault="0008298A" w:rsidP="004E1D4C">
      <w:pPr>
        <w:spacing w:after="120" w:line="360" w:lineRule="auto"/>
        <w:rPr>
          <w:rFonts w:ascii="Arial" w:eastAsia="Times New Roman" w:hAnsi="Arial" w:cs="Arial"/>
          <w:b/>
          <w:bCs/>
          <w:kern w:val="0"/>
          <w:lang w:eastAsia="en-GB"/>
          <w14:ligatures w14:val="none"/>
        </w:rPr>
      </w:pPr>
      <w:r w:rsidRPr="00505E5E">
        <w:rPr>
          <w:rFonts w:ascii="Arial" w:eastAsia="Times New Roman" w:hAnsi="Arial" w:cs="Arial"/>
          <w:b/>
          <w:bCs/>
          <w:kern w:val="0"/>
          <w:lang w:eastAsia="en-GB"/>
          <w14:ligatures w14:val="none"/>
        </w:rPr>
        <w:t>Critical evaluation of the theory</w:t>
      </w:r>
    </w:p>
    <w:p w14:paraId="24BC64E4" w14:textId="487E588A" w:rsidR="009D4AFF" w:rsidRPr="009D4AFF" w:rsidRDefault="00C2778F" w:rsidP="009D4AFF">
      <w:pPr>
        <w:spacing w:after="120" w:line="360" w:lineRule="auto"/>
        <w:rPr>
          <w:rFonts w:ascii="Arial" w:eastAsia="Times New Roman" w:hAnsi="Arial" w:cs="Arial"/>
          <w:b/>
          <w:bCs/>
          <w:kern w:val="0"/>
          <w:sz w:val="28"/>
          <w:szCs w:val="28"/>
          <w:lang w:eastAsia="en-GB"/>
          <w14:ligatures w14:val="none"/>
        </w:rPr>
      </w:pPr>
      <w:r w:rsidRPr="00C2778F">
        <w:rPr>
          <w:rFonts w:ascii="Arial" w:eastAsia="Times New Roman" w:hAnsi="Arial" w:cs="Arial"/>
          <w:kern w:val="0"/>
          <w:sz w:val="22"/>
          <w:szCs w:val="22"/>
          <w:lang w:eastAsia="en-GB"/>
          <w14:ligatures w14:val="none"/>
        </w:rPr>
        <w:t>Because the study is based on correlational data, it cannot determine cause and effect. It remains unclear whether personality shapes how individuals reflect on their lives, or whether life experiences influence the way personality traits are expressed. The relatively narrow sample and demographic range also limit how widely the findings can be applied. In practice, the study points towards combining life-story work with an awareness of individual personality differences, so that support can be adapted to the person and help strengthen acceptance while reducing feelings of despair.</w:t>
      </w:r>
      <w:r w:rsidR="00213478">
        <w:rPr>
          <w:rFonts w:ascii="Arial" w:eastAsia="Times New Roman" w:hAnsi="Arial" w:cs="Arial"/>
          <w:kern w:val="0"/>
          <w:sz w:val="22"/>
          <w:szCs w:val="22"/>
          <w:lang w:eastAsia="en-GB"/>
          <w14:ligatures w14:val="none"/>
        </w:rPr>
        <w:br w:type="column"/>
      </w:r>
      <w:r w:rsidR="0008298A" w:rsidRPr="009D4AFF">
        <w:rPr>
          <w:rFonts w:ascii="Arial" w:eastAsia="Times New Roman" w:hAnsi="Arial" w:cs="Arial"/>
          <w:b/>
          <w:bCs/>
          <w:kern w:val="0"/>
          <w:sz w:val="28"/>
          <w:szCs w:val="28"/>
          <w:lang w:eastAsia="en-GB"/>
          <w14:ligatures w14:val="none"/>
        </w:rPr>
        <w:lastRenderedPageBreak/>
        <w:t xml:space="preserve">3. </w:t>
      </w:r>
      <w:r w:rsidR="009D4AFF" w:rsidRPr="009D4AFF">
        <w:rPr>
          <w:rFonts w:ascii="Arial" w:eastAsia="Times New Roman" w:hAnsi="Arial" w:cs="Arial"/>
          <w:b/>
          <w:bCs/>
          <w:kern w:val="0"/>
          <w:sz w:val="28"/>
          <w:szCs w:val="28"/>
          <w:lang w:eastAsia="en-GB"/>
          <w14:ligatures w14:val="none"/>
        </w:rPr>
        <w:t xml:space="preserve">DeLiema, M. and Bengtson, V.L. (2017) ‘Activity theory, disengagement theory, and successful aging’, in </w:t>
      </w:r>
      <w:proofErr w:type="spellStart"/>
      <w:r w:rsidR="009D4AFF" w:rsidRPr="009D4AFF">
        <w:rPr>
          <w:rFonts w:ascii="Arial" w:eastAsia="Times New Roman" w:hAnsi="Arial" w:cs="Arial"/>
          <w:b/>
          <w:bCs/>
          <w:kern w:val="0"/>
          <w:sz w:val="28"/>
          <w:szCs w:val="28"/>
          <w:lang w:eastAsia="en-GB"/>
          <w14:ligatures w14:val="none"/>
        </w:rPr>
        <w:t>Pachana</w:t>
      </w:r>
      <w:proofErr w:type="spellEnd"/>
      <w:r w:rsidR="009D4AFF" w:rsidRPr="009D4AFF">
        <w:rPr>
          <w:rFonts w:ascii="Arial" w:eastAsia="Times New Roman" w:hAnsi="Arial" w:cs="Arial"/>
          <w:b/>
          <w:bCs/>
          <w:kern w:val="0"/>
          <w:sz w:val="28"/>
          <w:szCs w:val="28"/>
          <w:lang w:eastAsia="en-GB"/>
          <w14:ligatures w14:val="none"/>
        </w:rPr>
        <w:t xml:space="preserve">, N.A. (ed.) </w:t>
      </w:r>
      <w:proofErr w:type="spellStart"/>
      <w:r w:rsidR="009D4AFF" w:rsidRPr="009D4AFF">
        <w:rPr>
          <w:rFonts w:ascii="Arial" w:eastAsia="Times New Roman" w:hAnsi="Arial" w:cs="Arial"/>
          <w:b/>
          <w:bCs/>
          <w:i/>
          <w:iCs/>
          <w:kern w:val="0"/>
          <w:sz w:val="28"/>
          <w:szCs w:val="28"/>
          <w:lang w:eastAsia="en-GB"/>
          <w14:ligatures w14:val="none"/>
        </w:rPr>
        <w:t>Encyclopedia</w:t>
      </w:r>
      <w:proofErr w:type="spellEnd"/>
      <w:r w:rsidR="009D4AFF" w:rsidRPr="009D4AFF">
        <w:rPr>
          <w:rFonts w:ascii="Arial" w:eastAsia="Times New Roman" w:hAnsi="Arial" w:cs="Arial"/>
          <w:b/>
          <w:bCs/>
          <w:i/>
          <w:iCs/>
          <w:kern w:val="0"/>
          <w:sz w:val="28"/>
          <w:szCs w:val="28"/>
          <w:lang w:eastAsia="en-GB"/>
          <w14:ligatures w14:val="none"/>
        </w:rPr>
        <w:t xml:space="preserve"> of </w:t>
      </w:r>
      <w:proofErr w:type="spellStart"/>
      <w:r w:rsidR="009D4AFF" w:rsidRPr="009D4AFF">
        <w:rPr>
          <w:rFonts w:ascii="Arial" w:eastAsia="Times New Roman" w:hAnsi="Arial" w:cs="Arial"/>
          <w:b/>
          <w:bCs/>
          <w:i/>
          <w:iCs/>
          <w:kern w:val="0"/>
          <w:sz w:val="28"/>
          <w:szCs w:val="28"/>
          <w:lang w:eastAsia="en-GB"/>
          <w14:ligatures w14:val="none"/>
        </w:rPr>
        <w:t>geropsychology</w:t>
      </w:r>
      <w:proofErr w:type="spellEnd"/>
      <w:r w:rsidR="009D4AFF" w:rsidRPr="009D4AFF">
        <w:rPr>
          <w:rFonts w:ascii="Arial" w:eastAsia="Times New Roman" w:hAnsi="Arial" w:cs="Arial"/>
          <w:b/>
          <w:bCs/>
          <w:kern w:val="0"/>
          <w:sz w:val="28"/>
          <w:szCs w:val="28"/>
          <w:lang w:eastAsia="en-GB"/>
          <w14:ligatures w14:val="none"/>
        </w:rPr>
        <w:t xml:space="preserve">. Singapore: Springer. Available at: </w:t>
      </w:r>
      <w:hyperlink r:id="rId9" w:tgtFrame="_new" w:history="1">
        <w:r w:rsidR="009D4AFF" w:rsidRPr="009D4AFF">
          <w:rPr>
            <w:rStyle w:val="Hyperlink"/>
            <w:rFonts w:ascii="Arial" w:eastAsia="Times New Roman" w:hAnsi="Arial" w:cs="Arial"/>
            <w:b/>
            <w:bCs/>
            <w:kern w:val="0"/>
            <w:sz w:val="28"/>
            <w:szCs w:val="28"/>
            <w:lang w:eastAsia="en-GB"/>
            <w14:ligatures w14:val="none"/>
          </w:rPr>
          <w:t>https://doi.org/10.1007/978-981-287-082-7_102</w:t>
        </w:r>
      </w:hyperlink>
    </w:p>
    <w:p w14:paraId="4ED8E181" w14:textId="77777777" w:rsidR="009D4AFF" w:rsidRDefault="009D4AFF" w:rsidP="004E1D4C">
      <w:pPr>
        <w:spacing w:after="120" w:line="360" w:lineRule="auto"/>
        <w:rPr>
          <w:rFonts w:ascii="Arial" w:eastAsia="Times New Roman" w:hAnsi="Arial" w:cs="Arial"/>
          <w:b/>
          <w:bCs/>
          <w:kern w:val="0"/>
          <w:lang w:eastAsia="en-GB"/>
          <w14:ligatures w14:val="none"/>
        </w:rPr>
      </w:pPr>
    </w:p>
    <w:p w14:paraId="720FBDE4" w14:textId="70036F7C" w:rsidR="0008298A" w:rsidRPr="00505E5E" w:rsidRDefault="0008298A" w:rsidP="004E1D4C">
      <w:pPr>
        <w:spacing w:after="120" w:line="360" w:lineRule="auto"/>
        <w:rPr>
          <w:rFonts w:ascii="Arial" w:eastAsia="Times New Roman" w:hAnsi="Arial" w:cs="Arial"/>
          <w:b/>
          <w:bCs/>
          <w:kern w:val="0"/>
          <w:lang w:eastAsia="en-GB"/>
          <w14:ligatures w14:val="none"/>
        </w:rPr>
      </w:pPr>
      <w:r w:rsidRPr="00505E5E">
        <w:rPr>
          <w:rFonts w:ascii="Arial" w:eastAsia="Times New Roman" w:hAnsi="Arial" w:cs="Arial"/>
          <w:b/>
          <w:bCs/>
          <w:kern w:val="0"/>
          <w:lang w:eastAsia="en-GB"/>
          <w14:ligatures w14:val="none"/>
        </w:rPr>
        <w:t xml:space="preserve">Summary  </w:t>
      </w:r>
    </w:p>
    <w:p w14:paraId="65D3257C" w14:textId="77777777" w:rsidR="00843380" w:rsidRDefault="00843380" w:rsidP="004E1D4C">
      <w:pPr>
        <w:spacing w:after="120" w:line="360" w:lineRule="auto"/>
        <w:rPr>
          <w:rFonts w:ascii="Arial" w:eastAsia="Times New Roman" w:hAnsi="Arial" w:cs="Arial"/>
          <w:kern w:val="0"/>
          <w:sz w:val="22"/>
          <w:szCs w:val="22"/>
          <w:lang w:eastAsia="en-GB"/>
          <w14:ligatures w14:val="none"/>
        </w:rPr>
      </w:pPr>
      <w:r w:rsidRPr="00843380">
        <w:rPr>
          <w:rFonts w:ascii="Arial" w:eastAsia="Times New Roman" w:hAnsi="Arial" w:cs="Arial"/>
          <w:kern w:val="0"/>
          <w:sz w:val="22"/>
          <w:szCs w:val="22"/>
          <w:lang w:eastAsia="en-GB"/>
          <w14:ligatures w14:val="none"/>
        </w:rPr>
        <w:t>This encyclopaedia entry presents Activity Theory and sets it in contrast to disengagement theory. It suggests that continuing social roles and involvement in meaningful activities can help older adults maintain a sense of identity and support overall life satisfaction. The authors bring together theoretical perspectives and existing research to show how role continuity, adaptation to role loss, and ongoing social participation are linked to successful ageing.</w:t>
      </w:r>
    </w:p>
    <w:p w14:paraId="3D194229" w14:textId="6975C353" w:rsidR="00505E5E" w:rsidRDefault="00505E5E" w:rsidP="004E1D4C">
      <w:pPr>
        <w:spacing w:after="120" w:line="360" w:lineRule="auto"/>
        <w:rPr>
          <w:rFonts w:ascii="Arial" w:eastAsia="Times New Roman" w:hAnsi="Arial" w:cs="Arial"/>
          <w:kern w:val="0"/>
          <w:sz w:val="22"/>
          <w:szCs w:val="22"/>
          <w:lang w:eastAsia="en-GB"/>
          <w14:ligatures w14:val="none"/>
        </w:rPr>
      </w:pPr>
      <w:r w:rsidRPr="00505E5E">
        <w:rPr>
          <w:rFonts w:ascii="Arial" w:eastAsia="Times New Roman" w:hAnsi="Arial" w:cs="Arial"/>
          <w:kern w:val="0"/>
          <w:sz w:val="22"/>
          <w:szCs w:val="22"/>
          <w:lang w:eastAsia="en-GB"/>
          <w14:ligatures w14:val="none"/>
        </w:rPr>
        <w:t>As an encyclopaedic chapter, the piece is a theoretical and literature synthesis rather than an original empirical study; it summarises findings from multiple studies rather than reporting a primary sample.</w:t>
      </w:r>
    </w:p>
    <w:p w14:paraId="117AF817" w14:textId="77777777" w:rsidR="001256F6" w:rsidRPr="004E1D4C" w:rsidRDefault="001256F6" w:rsidP="004E1D4C">
      <w:pPr>
        <w:spacing w:after="120" w:line="360" w:lineRule="auto"/>
        <w:rPr>
          <w:rFonts w:ascii="Arial" w:eastAsia="Times New Roman" w:hAnsi="Arial" w:cs="Arial"/>
          <w:kern w:val="0"/>
          <w:sz w:val="22"/>
          <w:szCs w:val="22"/>
          <w:lang w:eastAsia="en-GB"/>
          <w14:ligatures w14:val="none"/>
        </w:rPr>
      </w:pPr>
    </w:p>
    <w:p w14:paraId="08172988" w14:textId="77777777" w:rsidR="0008298A" w:rsidRPr="00505E5E" w:rsidRDefault="0008298A" w:rsidP="004E1D4C">
      <w:pPr>
        <w:spacing w:after="120" w:line="360" w:lineRule="auto"/>
        <w:rPr>
          <w:rFonts w:ascii="Arial" w:eastAsia="Times New Roman" w:hAnsi="Arial" w:cs="Arial"/>
          <w:b/>
          <w:bCs/>
          <w:kern w:val="0"/>
          <w:lang w:eastAsia="en-GB"/>
          <w14:ligatures w14:val="none"/>
        </w:rPr>
      </w:pPr>
      <w:r w:rsidRPr="00505E5E">
        <w:rPr>
          <w:rFonts w:ascii="Arial" w:eastAsia="Times New Roman" w:hAnsi="Arial" w:cs="Arial"/>
          <w:b/>
          <w:bCs/>
          <w:kern w:val="0"/>
          <w:lang w:eastAsia="en-GB"/>
          <w14:ligatures w14:val="none"/>
        </w:rPr>
        <w:t>Critical evaluation of the theory</w:t>
      </w:r>
    </w:p>
    <w:p w14:paraId="0015E3BE" w14:textId="0E997CB4" w:rsidR="001256F6" w:rsidRDefault="00561584" w:rsidP="004E1D4C">
      <w:pPr>
        <w:spacing w:after="120" w:line="360" w:lineRule="auto"/>
        <w:rPr>
          <w:rFonts w:ascii="Arial" w:eastAsia="Times New Roman" w:hAnsi="Arial" w:cs="Arial"/>
          <w:kern w:val="0"/>
          <w:sz w:val="22"/>
          <w:szCs w:val="22"/>
          <w:lang w:eastAsia="en-GB"/>
          <w14:ligatures w14:val="none"/>
        </w:rPr>
      </w:pPr>
      <w:r w:rsidRPr="00561584">
        <w:rPr>
          <w:rFonts w:ascii="Arial" w:eastAsia="Times New Roman" w:hAnsi="Arial" w:cs="Arial"/>
          <w:kern w:val="0"/>
          <w:sz w:val="22"/>
          <w:szCs w:val="22"/>
          <w:lang w:eastAsia="en-GB"/>
          <w14:ligatures w14:val="none"/>
        </w:rPr>
        <w:t xml:space="preserve">The entry is useful in clearly explaining the theory and its practical implications, although it does not include original research findings. Some critics point out that Activity Theory tends to assume that being active is beneficial for everyone and reflects values more common in Western societies, such as productivity and social engagement. In practice, this means that activity programmes should be adapted to the individual. Approaches that </w:t>
      </w:r>
      <w:r w:rsidR="001256F6" w:rsidRPr="00561584">
        <w:rPr>
          <w:rFonts w:ascii="Arial" w:eastAsia="Times New Roman" w:hAnsi="Arial" w:cs="Arial"/>
          <w:kern w:val="0"/>
          <w:sz w:val="22"/>
          <w:szCs w:val="22"/>
          <w:lang w:eastAsia="en-GB"/>
          <w14:ligatures w14:val="none"/>
        </w:rPr>
        <w:t>consider</w:t>
      </w:r>
      <w:r w:rsidRPr="00561584">
        <w:rPr>
          <w:rFonts w:ascii="Arial" w:eastAsia="Times New Roman" w:hAnsi="Arial" w:cs="Arial"/>
          <w:kern w:val="0"/>
          <w:sz w:val="22"/>
          <w:szCs w:val="22"/>
          <w:lang w:eastAsia="en-GB"/>
          <w14:ligatures w14:val="none"/>
        </w:rPr>
        <w:t xml:space="preserve"> a person’s health, cultural background and cognitive abilities are more appropriate than applying the same activities to all residents.</w:t>
      </w:r>
    </w:p>
    <w:p w14:paraId="3151B9EB" w14:textId="77777777" w:rsidR="001256F6" w:rsidRDefault="001256F6">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br w:type="page"/>
      </w:r>
    </w:p>
    <w:p w14:paraId="3A197325" w14:textId="08167A18" w:rsidR="009D4AFF" w:rsidRPr="009D4AFF" w:rsidRDefault="0008298A" w:rsidP="009D4AFF">
      <w:pPr>
        <w:spacing w:after="120" w:line="360" w:lineRule="auto"/>
        <w:rPr>
          <w:rFonts w:ascii="Arial" w:eastAsia="Times New Roman" w:hAnsi="Arial" w:cs="Arial"/>
          <w:b/>
          <w:bCs/>
          <w:kern w:val="0"/>
          <w:sz w:val="28"/>
          <w:szCs w:val="28"/>
          <w:lang w:eastAsia="en-GB"/>
          <w14:ligatures w14:val="none"/>
        </w:rPr>
      </w:pPr>
      <w:r w:rsidRPr="00505E5E">
        <w:rPr>
          <w:rFonts w:ascii="Arial" w:eastAsia="Times New Roman" w:hAnsi="Arial" w:cs="Arial"/>
          <w:b/>
          <w:bCs/>
          <w:kern w:val="0"/>
          <w:sz w:val="28"/>
          <w:szCs w:val="28"/>
          <w:lang w:eastAsia="en-GB"/>
          <w14:ligatures w14:val="none"/>
        </w:rPr>
        <w:lastRenderedPageBreak/>
        <w:t xml:space="preserve">4. </w:t>
      </w:r>
      <w:r w:rsidR="009D4AFF" w:rsidRPr="009D4AFF">
        <w:rPr>
          <w:rFonts w:ascii="Arial" w:eastAsia="Times New Roman" w:hAnsi="Arial" w:cs="Arial"/>
          <w:b/>
          <w:bCs/>
          <w:kern w:val="0"/>
          <w:sz w:val="28"/>
          <w:szCs w:val="28"/>
          <w:lang w:eastAsia="en-GB"/>
          <w14:ligatures w14:val="none"/>
        </w:rPr>
        <w:t xml:space="preserve">Lakomý, M. (2023) ‘The effect of roles prescribed by active ageing on quality of life across European regions’, </w:t>
      </w:r>
      <w:r w:rsidR="009D4AFF" w:rsidRPr="009D4AFF">
        <w:rPr>
          <w:rFonts w:ascii="Arial" w:eastAsia="Times New Roman" w:hAnsi="Arial" w:cs="Arial"/>
          <w:b/>
          <w:bCs/>
          <w:i/>
          <w:iCs/>
          <w:kern w:val="0"/>
          <w:sz w:val="28"/>
          <w:szCs w:val="28"/>
          <w:lang w:eastAsia="en-GB"/>
          <w14:ligatures w14:val="none"/>
        </w:rPr>
        <w:t>Ageing &amp; Society</w:t>
      </w:r>
      <w:r w:rsidR="009D4AFF" w:rsidRPr="009D4AFF">
        <w:rPr>
          <w:rFonts w:ascii="Arial" w:eastAsia="Times New Roman" w:hAnsi="Arial" w:cs="Arial"/>
          <w:b/>
          <w:bCs/>
          <w:kern w:val="0"/>
          <w:sz w:val="28"/>
          <w:szCs w:val="28"/>
          <w:lang w:eastAsia="en-GB"/>
          <w14:ligatures w14:val="none"/>
        </w:rPr>
        <w:t>, 43(3), pp. 664</w:t>
      </w:r>
      <w:r w:rsidR="009529ED">
        <w:rPr>
          <w:rFonts w:ascii="Arial" w:eastAsia="Times New Roman" w:hAnsi="Arial" w:cs="Arial"/>
          <w:b/>
          <w:bCs/>
          <w:kern w:val="0"/>
          <w:sz w:val="28"/>
          <w:szCs w:val="28"/>
          <w:lang w:eastAsia="en-GB"/>
          <w14:ligatures w14:val="none"/>
        </w:rPr>
        <w:t>-</w:t>
      </w:r>
      <w:r w:rsidR="009D4AFF" w:rsidRPr="009D4AFF">
        <w:rPr>
          <w:rFonts w:ascii="Arial" w:eastAsia="Times New Roman" w:hAnsi="Arial" w:cs="Arial"/>
          <w:b/>
          <w:bCs/>
          <w:kern w:val="0"/>
          <w:sz w:val="28"/>
          <w:szCs w:val="28"/>
          <w:lang w:eastAsia="en-GB"/>
          <w14:ligatures w14:val="none"/>
        </w:rPr>
        <w:t xml:space="preserve">688. Available at: </w:t>
      </w:r>
      <w:hyperlink r:id="rId10" w:tgtFrame="_new" w:history="1">
        <w:r w:rsidR="009D4AFF" w:rsidRPr="009D4AFF">
          <w:rPr>
            <w:rStyle w:val="Hyperlink"/>
            <w:rFonts w:ascii="Arial" w:eastAsia="Times New Roman" w:hAnsi="Arial" w:cs="Arial"/>
            <w:b/>
            <w:bCs/>
            <w:kern w:val="0"/>
            <w:sz w:val="28"/>
            <w:szCs w:val="28"/>
            <w:lang w:eastAsia="en-GB"/>
            <w14:ligatures w14:val="none"/>
          </w:rPr>
          <w:t>https://doi.org/10.1017/S0144686X21000726</w:t>
        </w:r>
      </w:hyperlink>
    </w:p>
    <w:p w14:paraId="21FDE199" w14:textId="77777777" w:rsidR="009D4AFF" w:rsidRDefault="009D4AFF" w:rsidP="004E1D4C">
      <w:pPr>
        <w:spacing w:after="120" w:line="360" w:lineRule="auto"/>
        <w:rPr>
          <w:rFonts w:ascii="Arial" w:eastAsia="Times New Roman" w:hAnsi="Arial" w:cs="Arial"/>
          <w:b/>
          <w:bCs/>
          <w:kern w:val="0"/>
          <w:lang w:eastAsia="en-GB"/>
          <w14:ligatures w14:val="none"/>
        </w:rPr>
      </w:pPr>
    </w:p>
    <w:p w14:paraId="2CE1B17C" w14:textId="474AF74B" w:rsidR="0008298A" w:rsidRPr="00505E5E" w:rsidRDefault="0008298A" w:rsidP="004E1D4C">
      <w:pPr>
        <w:spacing w:after="120" w:line="360" w:lineRule="auto"/>
        <w:rPr>
          <w:rFonts w:ascii="Arial" w:eastAsia="Times New Roman" w:hAnsi="Arial" w:cs="Arial"/>
          <w:b/>
          <w:bCs/>
          <w:kern w:val="0"/>
          <w:lang w:eastAsia="en-GB"/>
          <w14:ligatures w14:val="none"/>
        </w:rPr>
      </w:pPr>
      <w:r w:rsidRPr="00505E5E">
        <w:rPr>
          <w:rFonts w:ascii="Arial" w:eastAsia="Times New Roman" w:hAnsi="Arial" w:cs="Arial"/>
          <w:b/>
          <w:bCs/>
          <w:kern w:val="0"/>
          <w:lang w:eastAsia="en-GB"/>
          <w14:ligatures w14:val="none"/>
        </w:rPr>
        <w:t xml:space="preserve">Summary  </w:t>
      </w:r>
    </w:p>
    <w:p w14:paraId="6962AD33" w14:textId="23FAACDD" w:rsidR="0008298A" w:rsidRDefault="0008298A" w:rsidP="004E1D4C">
      <w:pPr>
        <w:spacing w:after="120" w:line="360" w:lineRule="auto"/>
        <w:rPr>
          <w:rFonts w:ascii="Arial" w:eastAsia="Times New Roman" w:hAnsi="Arial" w:cs="Arial"/>
          <w:kern w:val="0"/>
          <w:sz w:val="22"/>
          <w:szCs w:val="22"/>
          <w:lang w:eastAsia="en-GB"/>
          <w14:ligatures w14:val="none"/>
        </w:rPr>
      </w:pPr>
      <w:r w:rsidRPr="004E1D4C">
        <w:rPr>
          <w:rFonts w:ascii="Arial" w:eastAsia="Times New Roman" w:hAnsi="Arial" w:cs="Arial"/>
          <w:kern w:val="0"/>
          <w:sz w:val="22"/>
          <w:szCs w:val="22"/>
          <w:lang w:eastAsia="en-GB"/>
          <w14:ligatures w14:val="none"/>
        </w:rPr>
        <w:t>This article examines how roles prescribed by active ageing</w:t>
      </w:r>
      <w:r w:rsidR="009D4AFF">
        <w:rPr>
          <w:rFonts w:ascii="Arial" w:eastAsia="Times New Roman" w:hAnsi="Arial" w:cs="Arial"/>
          <w:kern w:val="0"/>
          <w:sz w:val="22"/>
          <w:szCs w:val="22"/>
          <w:lang w:eastAsia="en-GB"/>
          <w14:ligatures w14:val="none"/>
        </w:rPr>
        <w:t xml:space="preserve"> - </w:t>
      </w:r>
      <w:r w:rsidRPr="004E1D4C">
        <w:rPr>
          <w:rFonts w:ascii="Arial" w:eastAsia="Times New Roman" w:hAnsi="Arial" w:cs="Arial"/>
          <w:kern w:val="0"/>
          <w:sz w:val="22"/>
          <w:szCs w:val="22"/>
          <w:lang w:eastAsia="en-GB"/>
          <w14:ligatures w14:val="none"/>
        </w:rPr>
        <w:t>physical activity, employment, caregiving, volunteering and social participation</w:t>
      </w:r>
      <w:r w:rsidR="002D56AE">
        <w:rPr>
          <w:rFonts w:ascii="Arial" w:eastAsia="Times New Roman" w:hAnsi="Arial" w:cs="Arial"/>
          <w:kern w:val="0"/>
          <w:sz w:val="22"/>
          <w:szCs w:val="22"/>
          <w:lang w:eastAsia="en-GB"/>
          <w14:ligatures w14:val="none"/>
        </w:rPr>
        <w:t xml:space="preserve"> - </w:t>
      </w:r>
      <w:r w:rsidRPr="004E1D4C">
        <w:rPr>
          <w:rFonts w:ascii="Arial" w:eastAsia="Times New Roman" w:hAnsi="Arial" w:cs="Arial"/>
          <w:kern w:val="0"/>
          <w:sz w:val="22"/>
          <w:szCs w:val="22"/>
          <w:lang w:eastAsia="en-GB"/>
          <w14:ligatures w14:val="none"/>
        </w:rPr>
        <w:t>relate to quality of life across European regions. Using large</w:t>
      </w:r>
      <w:r w:rsidRPr="004E1D4C">
        <w:rPr>
          <w:rFonts w:ascii="Cambria Math" w:eastAsia="Times New Roman" w:hAnsi="Cambria Math" w:cs="Cambria Math"/>
          <w:kern w:val="0"/>
          <w:sz w:val="22"/>
          <w:szCs w:val="22"/>
          <w:lang w:eastAsia="en-GB"/>
          <w14:ligatures w14:val="none"/>
        </w:rPr>
        <w:t>‑</w:t>
      </w:r>
      <w:r w:rsidRPr="004E1D4C">
        <w:rPr>
          <w:rFonts w:ascii="Arial" w:eastAsia="Times New Roman" w:hAnsi="Arial" w:cs="Arial"/>
          <w:kern w:val="0"/>
          <w:sz w:val="22"/>
          <w:szCs w:val="22"/>
          <w:lang w:eastAsia="en-GB"/>
          <w14:ligatures w14:val="none"/>
        </w:rPr>
        <w:t>scale panel data, the author shows that engagement in some active roles (notably volunteering, club participation and physical activity) is associated with higher subjective quality of life, but effects vary substantially by regional socioeconomic context and available resources.</w:t>
      </w:r>
    </w:p>
    <w:p w14:paraId="6329F985" w14:textId="66A5FA6E" w:rsidR="00505E5E" w:rsidRDefault="00505E5E" w:rsidP="004E1D4C">
      <w:pPr>
        <w:spacing w:after="120" w:line="360" w:lineRule="auto"/>
        <w:rPr>
          <w:rFonts w:ascii="Arial" w:eastAsia="Times New Roman" w:hAnsi="Arial" w:cs="Arial"/>
          <w:kern w:val="0"/>
          <w:sz w:val="22"/>
          <w:szCs w:val="22"/>
          <w:lang w:eastAsia="en-GB"/>
          <w14:ligatures w14:val="none"/>
        </w:rPr>
      </w:pPr>
      <w:r w:rsidRPr="00505E5E">
        <w:rPr>
          <w:rFonts w:ascii="Arial" w:eastAsia="Times New Roman" w:hAnsi="Arial" w:cs="Arial"/>
          <w:kern w:val="0"/>
          <w:sz w:val="22"/>
          <w:szCs w:val="22"/>
          <w:lang w:eastAsia="en-GB"/>
          <w14:ligatures w14:val="none"/>
        </w:rPr>
        <w:t>The study analyses large European survey/panel data from the Survey of Health, Ageing and Retirement in Europe (SHARE) and comparable national surveys, reporting a balanced sample across multiple countries and applying fixed</w:t>
      </w:r>
      <w:r w:rsidRPr="00505E5E">
        <w:rPr>
          <w:rFonts w:ascii="Cambria Math" w:eastAsia="Times New Roman" w:hAnsi="Cambria Math" w:cs="Cambria Math"/>
          <w:kern w:val="0"/>
          <w:sz w:val="22"/>
          <w:szCs w:val="22"/>
          <w:lang w:eastAsia="en-GB"/>
          <w14:ligatures w14:val="none"/>
        </w:rPr>
        <w:t>‑</w:t>
      </w:r>
      <w:r w:rsidRPr="00505E5E">
        <w:rPr>
          <w:rFonts w:ascii="Arial" w:eastAsia="Times New Roman" w:hAnsi="Arial" w:cs="Arial"/>
          <w:kern w:val="0"/>
          <w:sz w:val="22"/>
          <w:szCs w:val="22"/>
          <w:lang w:eastAsia="en-GB"/>
          <w14:ligatures w14:val="none"/>
        </w:rPr>
        <w:t>effects and random</w:t>
      </w:r>
      <w:r w:rsidR="003B4A4D">
        <w:rPr>
          <w:rFonts w:ascii="Arial" w:eastAsia="Times New Roman" w:hAnsi="Arial" w:cs="Arial"/>
          <w:kern w:val="0"/>
          <w:sz w:val="22"/>
          <w:szCs w:val="22"/>
          <w:lang w:eastAsia="en-GB"/>
          <w14:ligatures w14:val="none"/>
        </w:rPr>
        <w:t xml:space="preserve"> -</w:t>
      </w:r>
      <w:r w:rsidR="003B4A4D">
        <w:rPr>
          <w:rFonts w:ascii="Cambria Math" w:eastAsia="Times New Roman" w:hAnsi="Cambria Math" w:cs="Cambria Math"/>
          <w:kern w:val="0"/>
          <w:sz w:val="22"/>
          <w:szCs w:val="22"/>
          <w:lang w:eastAsia="en-GB"/>
          <w14:ligatures w14:val="none"/>
        </w:rPr>
        <w:t xml:space="preserve"> </w:t>
      </w:r>
      <w:r w:rsidRPr="00505E5E">
        <w:rPr>
          <w:rFonts w:ascii="Arial" w:eastAsia="Times New Roman" w:hAnsi="Arial" w:cs="Arial"/>
          <w:kern w:val="0"/>
          <w:sz w:val="22"/>
          <w:szCs w:val="22"/>
          <w:lang w:eastAsia="en-GB"/>
          <w14:ligatures w14:val="none"/>
        </w:rPr>
        <w:t>effects models to assess role effects over time and across regions. Exact sample sizes and country lists are reported in the article’s methods section.</w:t>
      </w:r>
    </w:p>
    <w:p w14:paraId="57EA523D" w14:textId="77777777" w:rsidR="003465DB" w:rsidRPr="004E1D4C" w:rsidRDefault="003465DB" w:rsidP="004E1D4C">
      <w:pPr>
        <w:spacing w:after="120" w:line="360" w:lineRule="auto"/>
        <w:rPr>
          <w:rFonts w:ascii="Arial" w:eastAsia="Times New Roman" w:hAnsi="Arial" w:cs="Arial"/>
          <w:kern w:val="0"/>
          <w:sz w:val="22"/>
          <w:szCs w:val="22"/>
          <w:lang w:eastAsia="en-GB"/>
          <w14:ligatures w14:val="none"/>
        </w:rPr>
      </w:pPr>
    </w:p>
    <w:p w14:paraId="26728DD5" w14:textId="77777777" w:rsidR="0008298A" w:rsidRPr="00505E5E" w:rsidRDefault="0008298A" w:rsidP="004E1D4C">
      <w:pPr>
        <w:spacing w:after="120" w:line="360" w:lineRule="auto"/>
        <w:rPr>
          <w:rFonts w:ascii="Arial" w:eastAsia="Times New Roman" w:hAnsi="Arial" w:cs="Arial"/>
          <w:b/>
          <w:bCs/>
          <w:kern w:val="0"/>
          <w:lang w:eastAsia="en-GB"/>
          <w14:ligatures w14:val="none"/>
        </w:rPr>
      </w:pPr>
      <w:r w:rsidRPr="00505E5E">
        <w:rPr>
          <w:rFonts w:ascii="Arial" w:eastAsia="Times New Roman" w:hAnsi="Arial" w:cs="Arial"/>
          <w:b/>
          <w:bCs/>
          <w:kern w:val="0"/>
          <w:lang w:eastAsia="en-GB"/>
          <w14:ligatures w14:val="none"/>
        </w:rPr>
        <w:t>Critical evaluation of the theory</w:t>
      </w:r>
    </w:p>
    <w:p w14:paraId="0070D7BE" w14:textId="59E57BFA" w:rsidR="002D56AE" w:rsidRDefault="000E3E6B" w:rsidP="000E3E6B">
      <w:pPr>
        <w:spacing w:after="120" w:line="360" w:lineRule="auto"/>
        <w:rPr>
          <w:rFonts w:ascii="Arial" w:hAnsi="Arial" w:cs="Arial"/>
          <w:b/>
          <w:bCs/>
          <w:sz w:val="32"/>
          <w:szCs w:val="32"/>
        </w:rPr>
      </w:pPr>
      <w:r w:rsidRPr="000E3E6B">
        <w:rPr>
          <w:rFonts w:ascii="Arial" w:eastAsia="Times New Roman" w:hAnsi="Arial" w:cs="Arial"/>
          <w:kern w:val="0"/>
          <w:sz w:val="22"/>
          <w:szCs w:val="22"/>
          <w:lang w:eastAsia="en-GB"/>
          <w14:ligatures w14:val="none"/>
        </w:rPr>
        <w:t>By using panel data, the study offers a stronger basis for understanding potential cause-and-effect relationships than cross-sectional research, although issues such as participant drop-out and simplified measures still limit the findings. The results highlight that approaches to active ageing need to take context into account. In practice, this means using strategies such as social prescribing and adapting activity programmes to local conditions, with a focus on accessible forms of participation and activities that are meaningful within a given cultural setting, rather than applying the same expectations to everyone.</w:t>
      </w:r>
      <w:r w:rsidR="002D56AE">
        <w:rPr>
          <w:rFonts w:ascii="Arial" w:hAnsi="Arial" w:cs="Arial"/>
          <w:b/>
          <w:bCs/>
          <w:sz w:val="32"/>
          <w:szCs w:val="32"/>
        </w:rPr>
        <w:br w:type="page"/>
      </w:r>
    </w:p>
    <w:p w14:paraId="2B0C9A7C" w14:textId="6F53E479" w:rsidR="00AD0608" w:rsidRPr="00AD0608" w:rsidRDefault="00AD0608" w:rsidP="00AD0608">
      <w:pPr>
        <w:spacing w:after="120" w:line="360" w:lineRule="auto"/>
        <w:outlineLvl w:val="1"/>
        <w:rPr>
          <w:rFonts w:ascii="Arial" w:hAnsi="Arial" w:cs="Arial"/>
          <w:b/>
          <w:bCs/>
          <w:sz w:val="32"/>
          <w:szCs w:val="32"/>
        </w:rPr>
      </w:pPr>
      <w:r w:rsidRPr="00AD0608">
        <w:rPr>
          <w:rFonts w:ascii="Arial" w:hAnsi="Arial" w:cs="Arial"/>
          <w:b/>
          <w:bCs/>
          <w:sz w:val="32"/>
          <w:szCs w:val="32"/>
        </w:rPr>
        <w:lastRenderedPageBreak/>
        <w:t>Part B: Short Report</w:t>
      </w:r>
    </w:p>
    <w:p w14:paraId="1D8F6409" w14:textId="77777777" w:rsidR="00AD0608" w:rsidRPr="00AD0608" w:rsidRDefault="00AD0608" w:rsidP="00AD0608">
      <w:pPr>
        <w:spacing w:after="120" w:line="360" w:lineRule="auto"/>
        <w:jc w:val="center"/>
        <w:outlineLvl w:val="1"/>
        <w:rPr>
          <w:rFonts w:ascii="Arial" w:hAnsi="Arial" w:cs="Arial"/>
          <w:b/>
          <w:bCs/>
          <w:sz w:val="28"/>
          <w:szCs w:val="28"/>
          <w:u w:val="single"/>
        </w:rPr>
      </w:pPr>
      <w:r w:rsidRPr="00AD0608">
        <w:rPr>
          <w:rFonts w:ascii="Arial" w:hAnsi="Arial" w:cs="Arial"/>
          <w:b/>
          <w:bCs/>
          <w:sz w:val="28"/>
          <w:szCs w:val="28"/>
          <w:u w:val="single"/>
        </w:rPr>
        <w:t>Applying Activity Theory to Improve Psychological Wellbeing in Residential Care</w:t>
      </w:r>
    </w:p>
    <w:p w14:paraId="2D62AF16" w14:textId="77777777" w:rsidR="00AD0608" w:rsidRDefault="00AD0608" w:rsidP="00AD0608">
      <w:pPr>
        <w:spacing w:after="120" w:line="360" w:lineRule="auto"/>
        <w:outlineLvl w:val="1"/>
        <w:rPr>
          <w:rFonts w:ascii="Arial" w:hAnsi="Arial" w:cs="Arial"/>
          <w:sz w:val="22"/>
          <w:szCs w:val="22"/>
        </w:rPr>
      </w:pPr>
    </w:p>
    <w:p w14:paraId="35D99583" w14:textId="26FA052C" w:rsidR="00AD0608" w:rsidRPr="00AD0608" w:rsidRDefault="00AD0608" w:rsidP="00AD0608">
      <w:pPr>
        <w:spacing w:after="120" w:line="360" w:lineRule="auto"/>
        <w:outlineLvl w:val="1"/>
        <w:rPr>
          <w:rFonts w:ascii="Arial" w:hAnsi="Arial" w:cs="Arial"/>
          <w:sz w:val="22"/>
          <w:szCs w:val="22"/>
        </w:rPr>
      </w:pPr>
      <w:r w:rsidRPr="00AD0608">
        <w:rPr>
          <w:rFonts w:ascii="Arial" w:hAnsi="Arial" w:cs="Arial"/>
          <w:b/>
          <w:bCs/>
        </w:rPr>
        <w:t>Introduction</w:t>
      </w:r>
    </w:p>
    <w:p w14:paraId="057CA44B" w14:textId="4FFC49EF" w:rsidR="004D1892" w:rsidRPr="00686B5D" w:rsidRDefault="00686B5D" w:rsidP="00AD0608">
      <w:pPr>
        <w:spacing w:after="120" w:line="360" w:lineRule="auto"/>
        <w:outlineLvl w:val="1"/>
        <w:rPr>
          <w:rFonts w:ascii="Arial" w:hAnsi="Arial" w:cs="Arial"/>
          <w:sz w:val="22"/>
          <w:szCs w:val="22"/>
        </w:rPr>
      </w:pPr>
      <w:r w:rsidRPr="00686B5D">
        <w:rPr>
          <w:rFonts w:ascii="Arial" w:hAnsi="Arial" w:cs="Arial"/>
          <w:sz w:val="22"/>
          <w:szCs w:val="22"/>
        </w:rPr>
        <w:t>Promoting psychological wellbeing among older adults in residential care is a central aspect of health and social care practice. Many residents experience reduced independence, changes in social roles and fewer opportunities for meaningful engagement, which may negatively influence their mental health. Activity Theory offers a relevant framework for understanding and responding to these challenges. It suggests that wellbeing in later life is supported when individuals remain socially connected and continue to engage in meaningful activities (DeLiema and Bengtson, 2017). This report explores how Activity Theory can be applied within residential care settings, demonstrates its use through a case example, and considers a key challenge associated with its implementation.</w:t>
      </w:r>
    </w:p>
    <w:p w14:paraId="543FDAD1" w14:textId="77777777" w:rsidR="00686B5D" w:rsidRPr="00AD0608" w:rsidRDefault="00686B5D" w:rsidP="00AD0608">
      <w:pPr>
        <w:spacing w:after="120" w:line="360" w:lineRule="auto"/>
        <w:outlineLvl w:val="1"/>
        <w:rPr>
          <w:rFonts w:ascii="Arial" w:hAnsi="Arial" w:cs="Arial"/>
          <w:sz w:val="22"/>
          <w:szCs w:val="22"/>
        </w:rPr>
      </w:pPr>
    </w:p>
    <w:p w14:paraId="78E554C5" w14:textId="60A526E0" w:rsidR="00AD0608" w:rsidRPr="00AD0608" w:rsidRDefault="00AD0608" w:rsidP="00AD0608">
      <w:pPr>
        <w:spacing w:after="120" w:line="360" w:lineRule="auto"/>
        <w:outlineLvl w:val="1"/>
        <w:rPr>
          <w:rFonts w:ascii="Arial" w:hAnsi="Arial" w:cs="Arial"/>
          <w:b/>
          <w:bCs/>
        </w:rPr>
      </w:pPr>
      <w:r w:rsidRPr="00AD0608">
        <w:rPr>
          <w:rFonts w:ascii="Arial" w:hAnsi="Arial" w:cs="Arial"/>
          <w:b/>
          <w:bCs/>
        </w:rPr>
        <w:t>Application of Activity Theory in Residential Care</w:t>
      </w:r>
    </w:p>
    <w:p w14:paraId="5AE6247F" w14:textId="04DFC782" w:rsidR="00236160" w:rsidRPr="00236160" w:rsidRDefault="00236160" w:rsidP="00236160">
      <w:pPr>
        <w:spacing w:after="120" w:line="360" w:lineRule="auto"/>
        <w:outlineLvl w:val="1"/>
        <w:rPr>
          <w:rFonts w:ascii="Arial" w:hAnsi="Arial" w:cs="Arial"/>
          <w:sz w:val="22"/>
          <w:szCs w:val="22"/>
        </w:rPr>
      </w:pPr>
      <w:r w:rsidRPr="00236160">
        <w:rPr>
          <w:rFonts w:ascii="Arial" w:hAnsi="Arial" w:cs="Arial"/>
          <w:sz w:val="22"/>
          <w:szCs w:val="22"/>
        </w:rPr>
        <w:t>Activity Theory links successful ageing with maintaining social roles, relationships and meaningful participation (DeLiema and Bengtson, 2017). In residential care, this requires going beyond basic physical care and paying attention to residents’ psychological and social needs.</w:t>
      </w:r>
    </w:p>
    <w:p w14:paraId="568431B2" w14:textId="438FB26B" w:rsidR="00236160" w:rsidRPr="00236160" w:rsidRDefault="00236160" w:rsidP="00236160">
      <w:pPr>
        <w:spacing w:after="120" w:line="360" w:lineRule="auto"/>
        <w:outlineLvl w:val="1"/>
        <w:rPr>
          <w:rFonts w:ascii="Arial" w:hAnsi="Arial" w:cs="Arial"/>
          <w:sz w:val="22"/>
          <w:szCs w:val="22"/>
        </w:rPr>
      </w:pPr>
      <w:r w:rsidRPr="00236160">
        <w:rPr>
          <w:rFonts w:ascii="Arial" w:hAnsi="Arial" w:cs="Arial"/>
          <w:sz w:val="22"/>
          <w:szCs w:val="22"/>
        </w:rPr>
        <w:t>In practice, this means offering activities that reflect each resident’s interests, experiences and sense of identity. Some individuals may prefer group-based activities such as discussions or shared meals, while others may benefit more from individual activities such as reading or gardening. What matters is that activities are meaningful rather than simply filling time.</w:t>
      </w:r>
    </w:p>
    <w:p w14:paraId="6C9EFECA" w14:textId="12F890E6" w:rsidR="00236160" w:rsidRPr="00236160" w:rsidRDefault="00236160" w:rsidP="00236160">
      <w:pPr>
        <w:spacing w:after="120" w:line="360" w:lineRule="auto"/>
        <w:outlineLvl w:val="1"/>
        <w:rPr>
          <w:rFonts w:ascii="Arial" w:hAnsi="Arial" w:cs="Arial"/>
          <w:sz w:val="22"/>
          <w:szCs w:val="22"/>
        </w:rPr>
      </w:pPr>
      <w:r w:rsidRPr="00236160">
        <w:rPr>
          <w:rFonts w:ascii="Arial" w:hAnsi="Arial" w:cs="Arial"/>
          <w:sz w:val="22"/>
          <w:szCs w:val="22"/>
        </w:rPr>
        <w:t>A sense of identity is particularly important. Moving into a care home or retiring can lead to loss of roles that previously provided structure and purpose. Activity Theory suggests that taking on new roles can help maintain continuity of identity. For example, a resident who previously worked as a teacher may be encouraged to support group discussions or share knowledge with others. This can strengthen feelings of purpose and personal value.</w:t>
      </w:r>
    </w:p>
    <w:p w14:paraId="44FD5E33" w14:textId="2AA181B2" w:rsidR="00AD0608" w:rsidRDefault="00236160" w:rsidP="00236160">
      <w:pPr>
        <w:spacing w:after="120" w:line="360" w:lineRule="auto"/>
        <w:outlineLvl w:val="1"/>
        <w:rPr>
          <w:rFonts w:ascii="Arial" w:hAnsi="Arial" w:cs="Arial"/>
          <w:sz w:val="22"/>
          <w:szCs w:val="22"/>
        </w:rPr>
      </w:pPr>
      <w:r w:rsidRPr="00236160">
        <w:rPr>
          <w:rFonts w:ascii="Arial" w:hAnsi="Arial" w:cs="Arial"/>
          <w:sz w:val="22"/>
          <w:szCs w:val="22"/>
        </w:rPr>
        <w:t xml:space="preserve">Social interaction is also central to emotional wellbeing. Regular contact with others can reduce loneliness and support a sense of belonging. Evidence indicates that engagement in meaningful roles is linked to improved </w:t>
      </w:r>
      <w:r w:rsidRPr="00236160">
        <w:rPr>
          <w:rFonts w:ascii="Arial" w:hAnsi="Arial" w:cs="Arial"/>
          <w:sz w:val="22"/>
          <w:szCs w:val="22"/>
        </w:rPr>
        <w:lastRenderedPageBreak/>
        <w:t>quality of life in older adults (Lakomý, 2023). This approach is consistent with person-centred care, where support is tailored to individual preferences, abilities and life history.</w:t>
      </w:r>
    </w:p>
    <w:p w14:paraId="5551CFB1" w14:textId="77777777" w:rsidR="001260BE" w:rsidRPr="00AD0608" w:rsidRDefault="001260BE" w:rsidP="00236160">
      <w:pPr>
        <w:spacing w:after="120" w:line="360" w:lineRule="auto"/>
        <w:outlineLvl w:val="1"/>
        <w:rPr>
          <w:rFonts w:ascii="Arial" w:hAnsi="Arial" w:cs="Arial"/>
          <w:sz w:val="22"/>
          <w:szCs w:val="22"/>
        </w:rPr>
      </w:pPr>
    </w:p>
    <w:p w14:paraId="57E5F833" w14:textId="73E42FD1" w:rsidR="00AD0608" w:rsidRPr="00AD0608" w:rsidRDefault="00AD0608" w:rsidP="00AD0608">
      <w:pPr>
        <w:spacing w:after="120" w:line="360" w:lineRule="auto"/>
        <w:outlineLvl w:val="1"/>
        <w:rPr>
          <w:rFonts w:ascii="Arial" w:hAnsi="Arial" w:cs="Arial"/>
          <w:sz w:val="22"/>
          <w:szCs w:val="22"/>
        </w:rPr>
      </w:pPr>
      <w:r w:rsidRPr="00AD0608">
        <w:rPr>
          <w:rFonts w:ascii="Arial" w:hAnsi="Arial" w:cs="Arial"/>
          <w:b/>
          <w:bCs/>
        </w:rPr>
        <w:t>Case Scenario</w:t>
      </w:r>
    </w:p>
    <w:p w14:paraId="2D218272" w14:textId="7509402C" w:rsidR="00D03434" w:rsidRPr="00D03434" w:rsidRDefault="00D03434" w:rsidP="00D03434">
      <w:pPr>
        <w:spacing w:after="120" w:line="360" w:lineRule="auto"/>
        <w:outlineLvl w:val="1"/>
        <w:rPr>
          <w:rFonts w:ascii="Arial" w:hAnsi="Arial" w:cs="Arial"/>
          <w:sz w:val="22"/>
          <w:szCs w:val="22"/>
        </w:rPr>
      </w:pPr>
      <w:r w:rsidRPr="00D03434">
        <w:rPr>
          <w:rFonts w:ascii="Arial" w:hAnsi="Arial" w:cs="Arial"/>
          <w:sz w:val="22"/>
          <w:szCs w:val="22"/>
        </w:rPr>
        <w:t>Mrs Smith, aged 82, recently moved into a care home after the loss of her spouse. Since then, she has become more withdrawn, spends long periods alone in her room and shows signs of low mood, which may be linked to difficulties in achieving a sense of acceptance and meaning in later life (Westerhof and Bohlmeijer, 2017). Staff note that she previously enjoyed gardening and was actively involved in her community.</w:t>
      </w:r>
    </w:p>
    <w:p w14:paraId="0F3B257D" w14:textId="47964047" w:rsidR="00D03434" w:rsidRPr="00D03434" w:rsidRDefault="00D03434" w:rsidP="00D03434">
      <w:pPr>
        <w:spacing w:after="120" w:line="360" w:lineRule="auto"/>
        <w:outlineLvl w:val="1"/>
        <w:rPr>
          <w:rFonts w:ascii="Arial" w:hAnsi="Arial" w:cs="Arial"/>
          <w:sz w:val="22"/>
          <w:szCs w:val="22"/>
        </w:rPr>
      </w:pPr>
      <w:r w:rsidRPr="00D03434">
        <w:rPr>
          <w:rFonts w:ascii="Arial" w:hAnsi="Arial" w:cs="Arial"/>
          <w:sz w:val="22"/>
          <w:szCs w:val="22"/>
        </w:rPr>
        <w:t xml:space="preserve">From the perspective of Activity Theory, her reduced wellbeing may be related to a loss of meaningful roles and limited social engagement. Research suggests that reduced participation can negatively affect wellbeing in later life (Lakomý, 2023). </w:t>
      </w:r>
      <w:r w:rsidR="007D2A14">
        <w:rPr>
          <w:rFonts w:ascii="Arial" w:hAnsi="Arial" w:cs="Arial"/>
          <w:sz w:val="22"/>
          <w:szCs w:val="22"/>
        </w:rPr>
        <w:t xml:space="preserve"> Activity Theory </w:t>
      </w:r>
      <w:r w:rsidR="00E32C1D">
        <w:rPr>
          <w:rFonts w:ascii="Arial" w:hAnsi="Arial" w:cs="Arial"/>
          <w:sz w:val="22"/>
          <w:szCs w:val="22"/>
        </w:rPr>
        <w:t xml:space="preserve">directly addresses those deficits </w:t>
      </w:r>
      <w:r w:rsidR="00534CB4">
        <w:rPr>
          <w:rFonts w:ascii="Arial" w:hAnsi="Arial" w:cs="Arial"/>
          <w:sz w:val="22"/>
          <w:szCs w:val="22"/>
        </w:rPr>
        <w:t xml:space="preserve">by offering “substitute roles” for those </w:t>
      </w:r>
      <w:r w:rsidR="00F863C8">
        <w:rPr>
          <w:rFonts w:ascii="Arial" w:hAnsi="Arial" w:cs="Arial"/>
          <w:sz w:val="22"/>
          <w:szCs w:val="22"/>
        </w:rPr>
        <w:t xml:space="preserve">that have been lost, helping to restore a sense of purpose. </w:t>
      </w:r>
      <w:r w:rsidRPr="00D03434">
        <w:rPr>
          <w:rFonts w:ascii="Arial" w:hAnsi="Arial" w:cs="Arial"/>
          <w:sz w:val="22"/>
          <w:szCs w:val="22"/>
        </w:rPr>
        <w:t>To respond to this, staff introduce small, manageable activities based on her interests. She is invited to join a gardening group and is given responsibility for caring for indoor plants. She is also encouraged to attend a weekly social group.</w:t>
      </w:r>
    </w:p>
    <w:p w14:paraId="30FC94F7" w14:textId="6B19EA86" w:rsidR="00AD0608" w:rsidRDefault="00D03434" w:rsidP="00D03434">
      <w:pPr>
        <w:spacing w:after="120" w:line="360" w:lineRule="auto"/>
        <w:outlineLvl w:val="1"/>
        <w:rPr>
          <w:rFonts w:ascii="Arial" w:hAnsi="Arial" w:cs="Arial"/>
          <w:sz w:val="22"/>
          <w:szCs w:val="22"/>
        </w:rPr>
      </w:pPr>
      <w:r w:rsidRPr="00D03434">
        <w:rPr>
          <w:rFonts w:ascii="Arial" w:hAnsi="Arial" w:cs="Arial"/>
          <w:sz w:val="22"/>
          <w:szCs w:val="22"/>
        </w:rPr>
        <w:t>Over time, Mrs Smith becomes more engaged and shows improvements in mood and participation. Familiar activities help restore a sense of identity, while increased interaction reduces feelings of isolation. This example illustrates how Activity Theory can be applied in a practical and person-centred way.</w:t>
      </w:r>
    </w:p>
    <w:p w14:paraId="3D3BDB9B" w14:textId="77777777" w:rsidR="00F217AD" w:rsidRPr="00AD0608" w:rsidRDefault="00F217AD" w:rsidP="00D03434">
      <w:pPr>
        <w:spacing w:after="120" w:line="360" w:lineRule="auto"/>
        <w:outlineLvl w:val="1"/>
        <w:rPr>
          <w:rFonts w:ascii="Arial" w:hAnsi="Arial" w:cs="Arial"/>
          <w:sz w:val="22"/>
          <w:szCs w:val="22"/>
        </w:rPr>
      </w:pPr>
    </w:p>
    <w:p w14:paraId="3CE1C3E3" w14:textId="20A43077" w:rsidR="00AD0608" w:rsidRPr="00AD0608" w:rsidRDefault="00AD0608" w:rsidP="00AD0608">
      <w:pPr>
        <w:spacing w:after="120" w:line="360" w:lineRule="auto"/>
        <w:outlineLvl w:val="1"/>
        <w:rPr>
          <w:rFonts w:ascii="Arial" w:hAnsi="Arial" w:cs="Arial"/>
          <w:sz w:val="22"/>
          <w:szCs w:val="22"/>
        </w:rPr>
      </w:pPr>
      <w:r w:rsidRPr="00AD0608">
        <w:rPr>
          <w:rFonts w:ascii="Arial" w:hAnsi="Arial" w:cs="Arial"/>
          <w:b/>
          <w:bCs/>
        </w:rPr>
        <w:t>Challenges and Strategies for Implementation</w:t>
      </w:r>
    </w:p>
    <w:p w14:paraId="3125E3F1" w14:textId="18D8E18B" w:rsidR="00C63611" w:rsidRPr="00C63611" w:rsidRDefault="00C63611" w:rsidP="00C63611">
      <w:pPr>
        <w:spacing w:after="120" w:line="360" w:lineRule="auto"/>
        <w:rPr>
          <w:rFonts w:ascii="Arial" w:hAnsi="Arial" w:cs="Arial"/>
          <w:sz w:val="22"/>
          <w:szCs w:val="22"/>
        </w:rPr>
      </w:pPr>
      <w:r w:rsidRPr="00C63611">
        <w:rPr>
          <w:rFonts w:ascii="Arial" w:hAnsi="Arial" w:cs="Arial"/>
          <w:sz w:val="22"/>
          <w:szCs w:val="22"/>
        </w:rPr>
        <w:t>Although Activity Theory is highly relevant, its application in residential care can be challenging. Not all residents are able or willing to participate in activities. Physical frailty, cognitive impairment, sensory loss or low motivation may limit engagement. In addition, care homes often face staffing pressures and limited resources, which restrict opportunities for personalised support.</w:t>
      </w:r>
    </w:p>
    <w:p w14:paraId="52AC6356" w14:textId="77777777" w:rsidR="001A228D" w:rsidRDefault="00C63611" w:rsidP="00C63611">
      <w:pPr>
        <w:spacing w:after="120" w:line="360" w:lineRule="auto"/>
        <w:rPr>
          <w:rFonts w:ascii="Arial" w:hAnsi="Arial" w:cs="Arial"/>
          <w:sz w:val="22"/>
          <w:szCs w:val="22"/>
        </w:rPr>
      </w:pPr>
      <w:r w:rsidRPr="00C63611">
        <w:rPr>
          <w:rFonts w:ascii="Arial" w:hAnsi="Arial" w:cs="Arial"/>
          <w:sz w:val="22"/>
          <w:szCs w:val="22"/>
        </w:rPr>
        <w:t xml:space="preserve">Another limitation is that the theory may assume that more activity always leads to better wellbeing. In practice, some individuals prefer quieter lifestyles or may feel overwhelmed by group settings, particularly when they experience unresolved feelings of regret or dissatisfaction (Westerhof and Bohlmeijer, 2017). </w:t>
      </w:r>
      <w:r w:rsidR="001A228D" w:rsidRPr="001A228D">
        <w:rPr>
          <w:rFonts w:ascii="Arial" w:hAnsi="Arial" w:cs="Arial"/>
          <w:sz w:val="22"/>
          <w:szCs w:val="22"/>
        </w:rPr>
        <w:t>The positive effects of activity can differ depending on individual circumstances and the surrounding context (Lakomý, 2023).</w:t>
      </w:r>
    </w:p>
    <w:p w14:paraId="5793EA64" w14:textId="2497CC1D" w:rsidR="00C63611" w:rsidRPr="00C63611" w:rsidRDefault="00C63611" w:rsidP="00C63611">
      <w:pPr>
        <w:spacing w:after="120" w:line="360" w:lineRule="auto"/>
        <w:rPr>
          <w:rFonts w:ascii="Arial" w:hAnsi="Arial" w:cs="Arial"/>
          <w:sz w:val="22"/>
          <w:szCs w:val="22"/>
        </w:rPr>
      </w:pPr>
      <w:r w:rsidRPr="00C63611">
        <w:rPr>
          <w:rFonts w:ascii="Arial" w:hAnsi="Arial" w:cs="Arial"/>
          <w:sz w:val="22"/>
          <w:szCs w:val="22"/>
        </w:rPr>
        <w:lastRenderedPageBreak/>
        <w:t>To address these issues, a flexible, person-centred approach is essential. Activities should be adapted to each resident’s physical abilities, cognitive capacity and personal preferences. For example, residents with limited mobility can engage in seated activities, while those with dementia may benefit from familiar or sensory</w:t>
      </w:r>
      <w:r w:rsidR="00063D06">
        <w:rPr>
          <w:rFonts w:ascii="Arial" w:hAnsi="Arial" w:cs="Arial"/>
          <w:sz w:val="22"/>
          <w:szCs w:val="22"/>
        </w:rPr>
        <w:t xml:space="preserve"> - </w:t>
      </w:r>
      <w:r w:rsidRPr="00C63611">
        <w:rPr>
          <w:rFonts w:ascii="Arial" w:hAnsi="Arial" w:cs="Arial"/>
          <w:sz w:val="22"/>
          <w:szCs w:val="22"/>
        </w:rPr>
        <w:t>based tasks. Life</w:t>
      </w:r>
      <w:r w:rsidR="00FF14DD">
        <w:rPr>
          <w:rFonts w:ascii="Arial" w:hAnsi="Arial" w:cs="Arial"/>
          <w:sz w:val="22"/>
          <w:szCs w:val="22"/>
        </w:rPr>
        <w:t xml:space="preserve"> - </w:t>
      </w:r>
      <w:r w:rsidRPr="00C63611">
        <w:rPr>
          <w:rFonts w:ascii="Arial" w:hAnsi="Arial" w:cs="Arial"/>
          <w:sz w:val="22"/>
          <w:szCs w:val="22"/>
        </w:rPr>
        <w:t>story work can help staff understand residents’ backgrounds and ensure activities are meaningful. This also supports key psychological needs such as autonomy and relatedness, which are linked to wellbeing in later life (</w:t>
      </w:r>
      <w:r w:rsidR="006B3CFA">
        <w:rPr>
          <w:rFonts w:ascii="Arial" w:hAnsi="Arial" w:cs="Arial"/>
          <w:sz w:val="22"/>
          <w:szCs w:val="22"/>
        </w:rPr>
        <w:t>V</w:t>
      </w:r>
      <w:r w:rsidRPr="00C63611">
        <w:rPr>
          <w:rFonts w:ascii="Arial" w:hAnsi="Arial" w:cs="Arial"/>
          <w:sz w:val="22"/>
          <w:szCs w:val="22"/>
        </w:rPr>
        <w:t>an der Kaap</w:t>
      </w:r>
      <w:r w:rsidR="00063D06">
        <w:rPr>
          <w:rFonts w:ascii="Arial" w:hAnsi="Arial" w:cs="Arial"/>
          <w:sz w:val="22"/>
          <w:szCs w:val="22"/>
        </w:rPr>
        <w:t>-</w:t>
      </w:r>
      <w:r w:rsidRPr="00C63611">
        <w:rPr>
          <w:rFonts w:ascii="Arial" w:hAnsi="Arial" w:cs="Arial"/>
          <w:sz w:val="22"/>
          <w:szCs w:val="22"/>
        </w:rPr>
        <w:t>Deeder et al., 2022).</w:t>
      </w:r>
    </w:p>
    <w:p w14:paraId="2A88EF35" w14:textId="2E4B94DA" w:rsidR="00AD0608" w:rsidRDefault="00C63611" w:rsidP="00C63611">
      <w:pPr>
        <w:spacing w:after="120" w:line="360" w:lineRule="auto"/>
        <w:outlineLvl w:val="1"/>
        <w:rPr>
          <w:rFonts w:ascii="Arial" w:hAnsi="Arial" w:cs="Arial"/>
          <w:sz w:val="22"/>
          <w:szCs w:val="22"/>
        </w:rPr>
      </w:pPr>
      <w:r w:rsidRPr="00C63611">
        <w:rPr>
          <w:rFonts w:ascii="Arial" w:hAnsi="Arial" w:cs="Arial"/>
          <w:sz w:val="22"/>
          <w:szCs w:val="22"/>
        </w:rPr>
        <w:t>Another useful strategy is social prescribing within care settings, where residents are encouraged to take part in activities that promote connection and wellbeing. Even small, regular interactions can have a positive impact. Staff training and organisational support are also important to ensure that psychological wellbeing is prioritised alongside physical care.</w:t>
      </w:r>
      <w:r w:rsidR="006B3CFA">
        <w:rPr>
          <w:rFonts w:ascii="Arial" w:hAnsi="Arial" w:cs="Arial"/>
          <w:sz w:val="22"/>
          <w:szCs w:val="22"/>
        </w:rPr>
        <w:t xml:space="preserve"> </w:t>
      </w:r>
    </w:p>
    <w:p w14:paraId="28DFE9D7" w14:textId="77777777" w:rsidR="006B3CFA" w:rsidRPr="00C63611" w:rsidRDefault="006B3CFA" w:rsidP="00C63611">
      <w:pPr>
        <w:spacing w:after="120" w:line="360" w:lineRule="auto"/>
        <w:outlineLvl w:val="1"/>
        <w:rPr>
          <w:rFonts w:ascii="Arial" w:hAnsi="Arial" w:cs="Arial"/>
          <w:sz w:val="22"/>
          <w:szCs w:val="22"/>
        </w:rPr>
      </w:pPr>
    </w:p>
    <w:p w14:paraId="55B9DBC5" w14:textId="7C1716DC" w:rsidR="00AD0608" w:rsidRPr="00AD0608" w:rsidRDefault="00AD0608" w:rsidP="00AD0608">
      <w:pPr>
        <w:spacing w:after="120" w:line="360" w:lineRule="auto"/>
        <w:outlineLvl w:val="1"/>
        <w:rPr>
          <w:rFonts w:ascii="Arial" w:hAnsi="Arial" w:cs="Arial"/>
          <w:sz w:val="22"/>
          <w:szCs w:val="22"/>
        </w:rPr>
      </w:pPr>
      <w:r w:rsidRPr="00AD0608">
        <w:rPr>
          <w:rFonts w:ascii="Arial" w:hAnsi="Arial" w:cs="Arial"/>
          <w:b/>
          <w:bCs/>
        </w:rPr>
        <w:t>Conclusion</w:t>
      </w:r>
    </w:p>
    <w:p w14:paraId="659659DD" w14:textId="78581180" w:rsidR="006B3CFA" w:rsidRDefault="00200FB2" w:rsidP="00AD0608">
      <w:pPr>
        <w:spacing w:after="120" w:line="360" w:lineRule="auto"/>
        <w:outlineLvl w:val="1"/>
        <w:rPr>
          <w:rFonts w:ascii="Arial" w:hAnsi="Arial" w:cs="Arial"/>
          <w:sz w:val="22"/>
          <w:szCs w:val="22"/>
        </w:rPr>
      </w:pPr>
      <w:r w:rsidRPr="00200FB2">
        <w:rPr>
          <w:rFonts w:ascii="Arial" w:hAnsi="Arial" w:cs="Arial"/>
          <w:sz w:val="22"/>
          <w:szCs w:val="22"/>
        </w:rPr>
        <w:t>Activity Theory offers a useful approach to supporting psychological wellbeing in residential care settings. By emphasising meaningful engagement, social interaction and the continuation of valued roles, it supports a more holistic way of caring for older adults (</w:t>
      </w:r>
      <w:proofErr w:type="spellStart"/>
      <w:r w:rsidRPr="00200FB2">
        <w:rPr>
          <w:rFonts w:ascii="Arial" w:hAnsi="Arial" w:cs="Arial"/>
          <w:sz w:val="22"/>
          <w:szCs w:val="22"/>
        </w:rPr>
        <w:t>DeLiema</w:t>
      </w:r>
      <w:proofErr w:type="spellEnd"/>
      <w:r w:rsidRPr="00200FB2">
        <w:rPr>
          <w:rFonts w:ascii="Arial" w:hAnsi="Arial" w:cs="Arial"/>
          <w:sz w:val="22"/>
          <w:szCs w:val="22"/>
        </w:rPr>
        <w:t xml:space="preserve"> and Bengtson, 2017). At the same time, its impact depends on how flexibly it is applied and how well it reflects individual needs. When used alongside person-centred approaches, it can make a meaningful contribution to improving quality of life in </w:t>
      </w:r>
      <w:r w:rsidRPr="00200FB2">
        <w:rPr>
          <w:rFonts w:ascii="Arial" w:hAnsi="Arial" w:cs="Arial"/>
          <w:sz w:val="22"/>
          <w:szCs w:val="22"/>
        </w:rPr>
        <w:t>o</w:t>
      </w:r>
      <w:r>
        <w:rPr>
          <w:rFonts w:ascii="Arial" w:hAnsi="Arial" w:cs="Arial"/>
          <w:sz w:val="22"/>
          <w:szCs w:val="22"/>
        </w:rPr>
        <w:t>lder age</w:t>
      </w:r>
      <w:r w:rsidRPr="00200FB2">
        <w:rPr>
          <w:rFonts w:ascii="Arial" w:hAnsi="Arial" w:cs="Arial"/>
          <w:sz w:val="22"/>
          <w:szCs w:val="22"/>
        </w:rPr>
        <w:t>.</w:t>
      </w:r>
    </w:p>
    <w:p w14:paraId="0BE4DD65" w14:textId="77777777" w:rsidR="00200FB2" w:rsidRPr="00AD0608" w:rsidRDefault="00200FB2" w:rsidP="00AD0608">
      <w:pPr>
        <w:spacing w:after="120" w:line="360" w:lineRule="auto"/>
        <w:outlineLvl w:val="1"/>
        <w:rPr>
          <w:rFonts w:ascii="Arial" w:hAnsi="Arial" w:cs="Arial"/>
          <w:sz w:val="22"/>
          <w:szCs w:val="22"/>
        </w:rPr>
      </w:pPr>
    </w:p>
    <w:p w14:paraId="5CBBEB62" w14:textId="77777777" w:rsidR="00AD0608" w:rsidRPr="00AD0608" w:rsidRDefault="00AD0608" w:rsidP="00AD0608">
      <w:pPr>
        <w:spacing w:after="120" w:line="360" w:lineRule="auto"/>
        <w:outlineLvl w:val="1"/>
        <w:rPr>
          <w:rFonts w:ascii="Arial" w:eastAsia="Times New Roman" w:hAnsi="Arial" w:cs="Arial"/>
          <w:b/>
          <w:bCs/>
          <w:kern w:val="0"/>
          <w:lang w:eastAsia="en-GB"/>
          <w14:ligatures w14:val="none"/>
        </w:rPr>
      </w:pPr>
      <w:r w:rsidRPr="00AD0608">
        <w:rPr>
          <w:rFonts w:ascii="Arial" w:eastAsia="Times New Roman" w:hAnsi="Arial" w:cs="Arial"/>
          <w:b/>
          <w:bCs/>
          <w:kern w:val="0"/>
          <w:lang w:eastAsia="en-GB"/>
          <w14:ligatures w14:val="none"/>
        </w:rPr>
        <w:t>Reference List</w:t>
      </w:r>
    </w:p>
    <w:p w14:paraId="07A9B15A" w14:textId="77777777" w:rsidR="00E3700A" w:rsidRPr="00E3700A" w:rsidRDefault="00E3700A" w:rsidP="00E3700A">
      <w:pPr>
        <w:spacing w:after="120" w:line="360" w:lineRule="auto"/>
        <w:rPr>
          <w:rFonts w:ascii="Arial" w:eastAsia="Times New Roman" w:hAnsi="Arial" w:cs="Arial"/>
          <w:kern w:val="0"/>
          <w:sz w:val="22"/>
          <w:szCs w:val="22"/>
          <w:lang w:eastAsia="en-GB"/>
          <w14:ligatures w14:val="none"/>
        </w:rPr>
      </w:pPr>
      <w:r w:rsidRPr="00E3700A">
        <w:rPr>
          <w:rFonts w:ascii="Arial" w:eastAsia="Times New Roman" w:hAnsi="Arial" w:cs="Arial"/>
          <w:kern w:val="0"/>
          <w:sz w:val="22"/>
          <w:szCs w:val="22"/>
          <w:lang w:eastAsia="en-GB"/>
          <w14:ligatures w14:val="none"/>
        </w:rPr>
        <w:t xml:space="preserve">DeLiema, M. and Bengtson, V.L. (2017) ‘Activity theory, disengagement theory, and successful aging’, in </w:t>
      </w:r>
      <w:proofErr w:type="spellStart"/>
      <w:r w:rsidRPr="00E3700A">
        <w:rPr>
          <w:rFonts w:ascii="Arial" w:eastAsia="Times New Roman" w:hAnsi="Arial" w:cs="Arial"/>
          <w:kern w:val="0"/>
          <w:sz w:val="22"/>
          <w:szCs w:val="22"/>
          <w:lang w:eastAsia="en-GB"/>
          <w14:ligatures w14:val="none"/>
        </w:rPr>
        <w:t>Pachana</w:t>
      </w:r>
      <w:proofErr w:type="spellEnd"/>
      <w:r w:rsidRPr="00E3700A">
        <w:rPr>
          <w:rFonts w:ascii="Arial" w:eastAsia="Times New Roman" w:hAnsi="Arial" w:cs="Arial"/>
          <w:kern w:val="0"/>
          <w:sz w:val="22"/>
          <w:szCs w:val="22"/>
          <w:lang w:eastAsia="en-GB"/>
          <w14:ligatures w14:val="none"/>
        </w:rPr>
        <w:t xml:space="preserve">, N.A. (ed.) </w:t>
      </w:r>
      <w:proofErr w:type="spellStart"/>
      <w:r w:rsidRPr="00E3700A">
        <w:rPr>
          <w:rFonts w:ascii="Arial" w:eastAsia="Times New Roman" w:hAnsi="Arial" w:cs="Arial"/>
          <w:i/>
          <w:iCs/>
          <w:kern w:val="0"/>
          <w:sz w:val="22"/>
          <w:szCs w:val="22"/>
          <w:lang w:eastAsia="en-GB"/>
          <w14:ligatures w14:val="none"/>
        </w:rPr>
        <w:t>Encyclopedia</w:t>
      </w:r>
      <w:proofErr w:type="spellEnd"/>
      <w:r w:rsidRPr="00E3700A">
        <w:rPr>
          <w:rFonts w:ascii="Arial" w:eastAsia="Times New Roman" w:hAnsi="Arial" w:cs="Arial"/>
          <w:i/>
          <w:iCs/>
          <w:kern w:val="0"/>
          <w:sz w:val="22"/>
          <w:szCs w:val="22"/>
          <w:lang w:eastAsia="en-GB"/>
          <w14:ligatures w14:val="none"/>
        </w:rPr>
        <w:t xml:space="preserve"> of </w:t>
      </w:r>
      <w:proofErr w:type="spellStart"/>
      <w:r w:rsidRPr="00E3700A">
        <w:rPr>
          <w:rFonts w:ascii="Arial" w:eastAsia="Times New Roman" w:hAnsi="Arial" w:cs="Arial"/>
          <w:i/>
          <w:iCs/>
          <w:kern w:val="0"/>
          <w:sz w:val="22"/>
          <w:szCs w:val="22"/>
          <w:lang w:eastAsia="en-GB"/>
          <w14:ligatures w14:val="none"/>
        </w:rPr>
        <w:t>geropsychology</w:t>
      </w:r>
      <w:proofErr w:type="spellEnd"/>
      <w:r w:rsidRPr="00E3700A">
        <w:rPr>
          <w:rFonts w:ascii="Arial" w:eastAsia="Times New Roman" w:hAnsi="Arial" w:cs="Arial"/>
          <w:kern w:val="0"/>
          <w:sz w:val="22"/>
          <w:szCs w:val="22"/>
          <w:lang w:eastAsia="en-GB"/>
          <w14:ligatures w14:val="none"/>
        </w:rPr>
        <w:t xml:space="preserve">. Singapore: Springer. Available at: </w:t>
      </w:r>
      <w:hyperlink r:id="rId11" w:tgtFrame="_new" w:history="1">
        <w:r w:rsidRPr="00E3700A">
          <w:rPr>
            <w:rFonts w:ascii="Arial" w:eastAsia="Times New Roman" w:hAnsi="Arial" w:cs="Arial"/>
            <w:color w:val="0000FF"/>
            <w:kern w:val="0"/>
            <w:sz w:val="22"/>
            <w:szCs w:val="22"/>
            <w:u w:val="single"/>
            <w:lang w:eastAsia="en-GB"/>
            <w14:ligatures w14:val="none"/>
          </w:rPr>
          <w:t>https://doi.org/10.1007/978-981-287-082-7_102</w:t>
        </w:r>
      </w:hyperlink>
    </w:p>
    <w:p w14:paraId="14057BFA" w14:textId="584AF9A3" w:rsidR="00E3700A" w:rsidRPr="00E3700A" w:rsidRDefault="00E3700A" w:rsidP="00E3700A">
      <w:pPr>
        <w:spacing w:after="120" w:line="360" w:lineRule="auto"/>
        <w:rPr>
          <w:rFonts w:ascii="Arial" w:eastAsia="Times New Roman" w:hAnsi="Arial" w:cs="Arial"/>
          <w:kern w:val="0"/>
          <w:sz w:val="22"/>
          <w:szCs w:val="22"/>
          <w:lang w:eastAsia="en-GB"/>
          <w14:ligatures w14:val="none"/>
        </w:rPr>
      </w:pPr>
      <w:r w:rsidRPr="00E3700A">
        <w:rPr>
          <w:rFonts w:ascii="Arial" w:eastAsia="Times New Roman" w:hAnsi="Arial" w:cs="Arial"/>
          <w:kern w:val="0"/>
          <w:sz w:val="22"/>
          <w:szCs w:val="22"/>
          <w:lang w:eastAsia="en-GB"/>
          <w14:ligatures w14:val="none"/>
        </w:rPr>
        <w:t xml:space="preserve">Lakomý, M. (2023) ‘The effect of roles prescribed by active ageing on quality of life across European regions’, </w:t>
      </w:r>
      <w:r w:rsidRPr="00E3700A">
        <w:rPr>
          <w:rFonts w:ascii="Arial" w:eastAsia="Times New Roman" w:hAnsi="Arial" w:cs="Arial"/>
          <w:i/>
          <w:iCs/>
          <w:kern w:val="0"/>
          <w:sz w:val="22"/>
          <w:szCs w:val="22"/>
          <w:lang w:eastAsia="en-GB"/>
          <w14:ligatures w14:val="none"/>
        </w:rPr>
        <w:t>Ageing &amp; Society</w:t>
      </w:r>
      <w:r w:rsidRPr="00E3700A">
        <w:rPr>
          <w:rFonts w:ascii="Arial" w:eastAsia="Times New Roman" w:hAnsi="Arial" w:cs="Arial"/>
          <w:kern w:val="0"/>
          <w:sz w:val="22"/>
          <w:szCs w:val="22"/>
          <w:lang w:eastAsia="en-GB"/>
          <w14:ligatures w14:val="none"/>
        </w:rPr>
        <w:t>, 43(3), pp. 664</w:t>
      </w:r>
      <w:r w:rsidR="003B6145">
        <w:rPr>
          <w:rFonts w:ascii="Arial" w:eastAsia="Times New Roman" w:hAnsi="Arial" w:cs="Arial"/>
          <w:kern w:val="0"/>
          <w:sz w:val="22"/>
          <w:szCs w:val="22"/>
          <w:lang w:eastAsia="en-GB"/>
          <w14:ligatures w14:val="none"/>
        </w:rPr>
        <w:t>-</w:t>
      </w:r>
      <w:r w:rsidRPr="00E3700A">
        <w:rPr>
          <w:rFonts w:ascii="Arial" w:eastAsia="Times New Roman" w:hAnsi="Arial" w:cs="Arial"/>
          <w:kern w:val="0"/>
          <w:sz w:val="22"/>
          <w:szCs w:val="22"/>
          <w:lang w:eastAsia="en-GB"/>
          <w14:ligatures w14:val="none"/>
        </w:rPr>
        <w:t xml:space="preserve">688. Available at: </w:t>
      </w:r>
      <w:hyperlink r:id="rId12" w:tgtFrame="_new" w:history="1">
        <w:r w:rsidRPr="00E3700A">
          <w:rPr>
            <w:rFonts w:ascii="Arial" w:eastAsia="Times New Roman" w:hAnsi="Arial" w:cs="Arial"/>
            <w:color w:val="0000FF"/>
            <w:kern w:val="0"/>
            <w:sz w:val="22"/>
            <w:szCs w:val="22"/>
            <w:u w:val="single"/>
            <w:lang w:eastAsia="en-GB"/>
            <w14:ligatures w14:val="none"/>
          </w:rPr>
          <w:t>https://doi.org/10.1017/S0144686X21000726</w:t>
        </w:r>
      </w:hyperlink>
    </w:p>
    <w:p w14:paraId="3171D4BA" w14:textId="4D51EE21" w:rsidR="00E3700A" w:rsidRPr="00E3700A" w:rsidRDefault="00E3700A" w:rsidP="00E3700A">
      <w:pPr>
        <w:spacing w:after="120" w:line="360" w:lineRule="auto"/>
        <w:rPr>
          <w:rFonts w:ascii="Arial" w:eastAsia="Times New Roman" w:hAnsi="Arial" w:cs="Arial"/>
          <w:kern w:val="0"/>
          <w:sz w:val="22"/>
          <w:szCs w:val="22"/>
          <w:lang w:eastAsia="en-GB"/>
          <w14:ligatures w14:val="none"/>
        </w:rPr>
      </w:pPr>
      <w:r w:rsidRPr="00E3700A">
        <w:rPr>
          <w:rFonts w:ascii="Arial" w:eastAsia="Times New Roman" w:hAnsi="Arial" w:cs="Arial"/>
          <w:kern w:val="0"/>
          <w:sz w:val="22"/>
          <w:szCs w:val="22"/>
          <w:lang w:eastAsia="en-GB"/>
          <w14:ligatures w14:val="none"/>
        </w:rPr>
        <w:t xml:space="preserve">van der Kaap-Deeder, J., </w:t>
      </w:r>
      <w:proofErr w:type="spellStart"/>
      <w:r w:rsidRPr="00E3700A">
        <w:rPr>
          <w:rFonts w:ascii="Arial" w:eastAsia="Times New Roman" w:hAnsi="Arial" w:cs="Arial"/>
          <w:kern w:val="0"/>
          <w:sz w:val="22"/>
          <w:szCs w:val="22"/>
          <w:lang w:eastAsia="en-GB"/>
          <w14:ligatures w14:val="none"/>
        </w:rPr>
        <w:t>Vermote</w:t>
      </w:r>
      <w:proofErr w:type="spellEnd"/>
      <w:r w:rsidRPr="00E3700A">
        <w:rPr>
          <w:rFonts w:ascii="Arial" w:eastAsia="Times New Roman" w:hAnsi="Arial" w:cs="Arial"/>
          <w:kern w:val="0"/>
          <w:sz w:val="22"/>
          <w:szCs w:val="22"/>
          <w:lang w:eastAsia="en-GB"/>
          <w14:ligatures w14:val="none"/>
        </w:rPr>
        <w:t xml:space="preserve">, B., </w:t>
      </w:r>
      <w:proofErr w:type="spellStart"/>
      <w:r w:rsidRPr="00E3700A">
        <w:rPr>
          <w:rFonts w:ascii="Arial" w:eastAsia="Times New Roman" w:hAnsi="Arial" w:cs="Arial"/>
          <w:kern w:val="0"/>
          <w:sz w:val="22"/>
          <w:szCs w:val="22"/>
          <w:lang w:eastAsia="en-GB"/>
          <w14:ligatures w14:val="none"/>
        </w:rPr>
        <w:t>Waterschoot</w:t>
      </w:r>
      <w:proofErr w:type="spellEnd"/>
      <w:r w:rsidRPr="00E3700A">
        <w:rPr>
          <w:rFonts w:ascii="Arial" w:eastAsia="Times New Roman" w:hAnsi="Arial" w:cs="Arial"/>
          <w:kern w:val="0"/>
          <w:sz w:val="22"/>
          <w:szCs w:val="22"/>
          <w:lang w:eastAsia="en-GB"/>
          <w14:ligatures w14:val="none"/>
        </w:rPr>
        <w:t xml:space="preserve">, J., Soenens, B., </w:t>
      </w:r>
      <w:proofErr w:type="spellStart"/>
      <w:r w:rsidRPr="00E3700A">
        <w:rPr>
          <w:rFonts w:ascii="Arial" w:eastAsia="Times New Roman" w:hAnsi="Arial" w:cs="Arial"/>
          <w:kern w:val="0"/>
          <w:sz w:val="22"/>
          <w:szCs w:val="22"/>
          <w:lang w:eastAsia="en-GB"/>
          <w14:ligatures w14:val="none"/>
        </w:rPr>
        <w:t>Morbée</w:t>
      </w:r>
      <w:proofErr w:type="spellEnd"/>
      <w:r w:rsidRPr="00E3700A">
        <w:rPr>
          <w:rFonts w:ascii="Arial" w:eastAsia="Times New Roman" w:hAnsi="Arial" w:cs="Arial"/>
          <w:kern w:val="0"/>
          <w:sz w:val="22"/>
          <w:szCs w:val="22"/>
          <w:lang w:eastAsia="en-GB"/>
          <w14:ligatures w14:val="none"/>
        </w:rPr>
        <w:t xml:space="preserve">, S. and Vansteenkiste, M. (2022) ‘The role of ego integrity and despair in older adults’ well-being during the COVID-19 crisis: the mediating role of need-based experiences’, </w:t>
      </w:r>
      <w:r w:rsidRPr="00E3700A">
        <w:rPr>
          <w:rFonts w:ascii="Arial" w:eastAsia="Times New Roman" w:hAnsi="Arial" w:cs="Arial"/>
          <w:i/>
          <w:iCs/>
          <w:kern w:val="0"/>
          <w:sz w:val="22"/>
          <w:szCs w:val="22"/>
          <w:lang w:eastAsia="en-GB"/>
          <w14:ligatures w14:val="none"/>
        </w:rPr>
        <w:t>European Journal of Ageing</w:t>
      </w:r>
      <w:r w:rsidRPr="00E3700A">
        <w:rPr>
          <w:rFonts w:ascii="Arial" w:eastAsia="Times New Roman" w:hAnsi="Arial" w:cs="Arial"/>
          <w:kern w:val="0"/>
          <w:sz w:val="22"/>
          <w:szCs w:val="22"/>
          <w:lang w:eastAsia="en-GB"/>
          <w14:ligatures w14:val="none"/>
        </w:rPr>
        <w:t>, 19(1), pp. 117</w:t>
      </w:r>
      <w:r w:rsidR="003B6145">
        <w:rPr>
          <w:rFonts w:ascii="Arial" w:eastAsia="Times New Roman" w:hAnsi="Arial" w:cs="Arial"/>
          <w:kern w:val="0"/>
          <w:sz w:val="22"/>
          <w:szCs w:val="22"/>
          <w:lang w:eastAsia="en-GB"/>
          <w14:ligatures w14:val="none"/>
        </w:rPr>
        <w:t>-</w:t>
      </w:r>
      <w:r w:rsidRPr="00E3700A">
        <w:rPr>
          <w:rFonts w:ascii="Arial" w:eastAsia="Times New Roman" w:hAnsi="Arial" w:cs="Arial"/>
          <w:kern w:val="0"/>
          <w:sz w:val="22"/>
          <w:szCs w:val="22"/>
          <w:lang w:eastAsia="en-GB"/>
          <w14:ligatures w14:val="none"/>
        </w:rPr>
        <w:t xml:space="preserve">129. Available at: </w:t>
      </w:r>
      <w:hyperlink r:id="rId13" w:tgtFrame="_new" w:history="1">
        <w:r w:rsidRPr="00E3700A">
          <w:rPr>
            <w:rFonts w:ascii="Arial" w:eastAsia="Times New Roman" w:hAnsi="Arial" w:cs="Arial"/>
            <w:color w:val="0000FF"/>
            <w:kern w:val="0"/>
            <w:sz w:val="22"/>
            <w:szCs w:val="22"/>
            <w:u w:val="single"/>
            <w:lang w:eastAsia="en-GB"/>
            <w14:ligatures w14:val="none"/>
          </w:rPr>
          <w:t>https://doi.org/10.1007/s10433-021-00610-0</w:t>
        </w:r>
      </w:hyperlink>
    </w:p>
    <w:p w14:paraId="169DA4B5" w14:textId="24F0115F" w:rsidR="00AD0608" w:rsidRPr="00E3700A" w:rsidRDefault="00E3700A" w:rsidP="00E3700A">
      <w:pPr>
        <w:spacing w:after="120" w:line="360" w:lineRule="auto"/>
        <w:rPr>
          <w:rFonts w:ascii="Arial" w:hAnsi="Arial" w:cs="Arial"/>
          <w:sz w:val="22"/>
          <w:szCs w:val="22"/>
        </w:rPr>
      </w:pPr>
      <w:r w:rsidRPr="00E3700A">
        <w:rPr>
          <w:rFonts w:ascii="Arial" w:eastAsia="Times New Roman" w:hAnsi="Arial" w:cs="Arial"/>
          <w:kern w:val="0"/>
          <w:sz w:val="22"/>
          <w:szCs w:val="22"/>
          <w:lang w:eastAsia="en-GB"/>
          <w14:ligatures w14:val="none"/>
        </w:rPr>
        <w:lastRenderedPageBreak/>
        <w:t xml:space="preserve">Westerhof, G.J. and Bohlmeijer, E.T. (2017) ‘The relation of ego integrity and despair to personality traits and mental health’, </w:t>
      </w:r>
      <w:r w:rsidRPr="00E3700A">
        <w:rPr>
          <w:rFonts w:ascii="Arial" w:eastAsia="Times New Roman" w:hAnsi="Arial" w:cs="Arial"/>
          <w:i/>
          <w:iCs/>
          <w:kern w:val="0"/>
          <w:sz w:val="22"/>
          <w:szCs w:val="22"/>
          <w:lang w:eastAsia="en-GB"/>
          <w14:ligatures w14:val="none"/>
        </w:rPr>
        <w:t>The Journals of Gerontology: Series B</w:t>
      </w:r>
      <w:r w:rsidRPr="00E3700A">
        <w:rPr>
          <w:rFonts w:ascii="Arial" w:eastAsia="Times New Roman" w:hAnsi="Arial" w:cs="Arial"/>
          <w:kern w:val="0"/>
          <w:sz w:val="22"/>
          <w:szCs w:val="22"/>
          <w:lang w:eastAsia="en-GB"/>
          <w14:ligatures w14:val="none"/>
        </w:rPr>
        <w:t>, 72(3), pp. 400</w:t>
      </w:r>
      <w:r w:rsidR="003B6145">
        <w:rPr>
          <w:rFonts w:ascii="Arial" w:eastAsia="Times New Roman" w:hAnsi="Arial" w:cs="Arial"/>
          <w:kern w:val="0"/>
          <w:sz w:val="22"/>
          <w:szCs w:val="22"/>
          <w:lang w:eastAsia="en-GB"/>
          <w14:ligatures w14:val="none"/>
        </w:rPr>
        <w:t>-</w:t>
      </w:r>
      <w:r w:rsidRPr="00E3700A">
        <w:rPr>
          <w:rFonts w:ascii="Arial" w:eastAsia="Times New Roman" w:hAnsi="Arial" w:cs="Arial"/>
          <w:kern w:val="0"/>
          <w:sz w:val="22"/>
          <w:szCs w:val="22"/>
          <w:lang w:eastAsia="en-GB"/>
          <w14:ligatures w14:val="none"/>
        </w:rPr>
        <w:t xml:space="preserve">407. Available at: </w:t>
      </w:r>
      <w:hyperlink r:id="rId14" w:tgtFrame="_new" w:history="1">
        <w:r w:rsidRPr="00E3700A">
          <w:rPr>
            <w:rFonts w:ascii="Arial" w:eastAsia="Times New Roman" w:hAnsi="Arial" w:cs="Arial"/>
            <w:color w:val="0000FF"/>
            <w:kern w:val="0"/>
            <w:sz w:val="22"/>
            <w:szCs w:val="22"/>
            <w:u w:val="single"/>
            <w:lang w:eastAsia="en-GB"/>
            <w14:ligatures w14:val="none"/>
          </w:rPr>
          <w:t>https://doi.org/10.1093/geronb/gbv062</w:t>
        </w:r>
      </w:hyperlink>
    </w:p>
    <w:sectPr w:rsidR="00AD0608" w:rsidRPr="00E3700A" w:rsidSect="00A32BC2">
      <w:headerReference w:type="default" r:id="rId15"/>
      <w:footerReference w:type="default" r:id="rId16"/>
      <w:pgSz w:w="11906" w:h="16838"/>
      <w:pgMar w:top="284" w:right="567" w:bottom="567" w:left="567" w:header="39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F70FB" w14:textId="77777777" w:rsidR="00E33406" w:rsidRDefault="00E33406" w:rsidP="00E11207">
      <w:pPr>
        <w:spacing w:after="0" w:line="240" w:lineRule="auto"/>
      </w:pPr>
      <w:r>
        <w:separator/>
      </w:r>
    </w:p>
  </w:endnote>
  <w:endnote w:type="continuationSeparator" w:id="0">
    <w:p w14:paraId="02D68049" w14:textId="77777777" w:rsidR="00E33406" w:rsidRDefault="00E33406" w:rsidP="00E11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9D3B7" w14:textId="77777777" w:rsidR="00A32BC2" w:rsidRDefault="00A32BC2">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 xml:space="preserve"> PAGE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 xml:space="preserve"> NUMPAGES  \* Arabic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p>
  <w:p w14:paraId="7448456D" w14:textId="77777777" w:rsidR="00A32BC2" w:rsidRDefault="00A32B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155EA" w14:textId="77777777" w:rsidR="00E33406" w:rsidRDefault="00E33406" w:rsidP="00E11207">
      <w:pPr>
        <w:spacing w:after="0" w:line="240" w:lineRule="auto"/>
      </w:pPr>
      <w:r>
        <w:separator/>
      </w:r>
    </w:p>
  </w:footnote>
  <w:footnote w:type="continuationSeparator" w:id="0">
    <w:p w14:paraId="7391F007" w14:textId="77777777" w:rsidR="00E33406" w:rsidRDefault="00E33406" w:rsidP="00E112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71AD6" w14:textId="639F7BFB" w:rsidR="00E11207" w:rsidRDefault="00E11207" w:rsidP="00E11207">
    <w:pPr>
      <w:pStyle w:val="Header"/>
      <w:spacing w:line="360" w:lineRule="auto"/>
      <w:rPr>
        <w:rFonts w:ascii="Arial" w:eastAsiaTheme="minorEastAsia" w:hAnsi="Arial" w:cs="Arial"/>
        <w:b/>
        <w:bCs/>
        <w:color w:val="000000" w:themeColor="text1"/>
        <w:kern w:val="24"/>
        <w:sz w:val="32"/>
        <w:szCs w:val="32"/>
      </w:rPr>
    </w:pPr>
    <w:r>
      <w:rPr>
        <w:noProof/>
      </w:rPr>
      <w:drawing>
        <wp:inline distT="0" distB="0" distL="0" distR="0" wp14:anchorId="15C31327" wp14:editId="50858290">
          <wp:extent cx="1873250" cy="749997"/>
          <wp:effectExtent l="0" t="0" r="0" b="0"/>
          <wp:docPr id="4" name="Picture 3">
            <a:extLst xmlns:a="http://schemas.openxmlformats.org/drawingml/2006/main">
              <a:ext uri="{FF2B5EF4-FFF2-40B4-BE49-F238E27FC236}">
                <a16:creationId xmlns:a16="http://schemas.microsoft.com/office/drawing/2014/main" id="{A08671F9-2A57-B7B3-3F86-4E5717778B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08671F9-2A57-B7B3-3F86-4E5717778BA4}"/>
                      </a:ext>
                    </a:extLst>
                  </pic:cNvPr>
                  <pic:cNvPicPr>
                    <a:picLocks noChangeAspect="1"/>
                  </pic:cNvPicPr>
                </pic:nvPicPr>
                <pic:blipFill>
                  <a:blip r:embed="rId1"/>
                  <a:srcRect/>
                  <a:stretch/>
                </pic:blipFill>
                <pic:spPr>
                  <a:xfrm>
                    <a:off x="0" y="0"/>
                    <a:ext cx="1891467" cy="757291"/>
                  </a:xfrm>
                  <a:prstGeom prst="rect">
                    <a:avLst/>
                  </a:prstGeom>
                </pic:spPr>
              </pic:pic>
            </a:graphicData>
          </a:graphic>
        </wp:inline>
      </w:drawing>
    </w:r>
    <w:r>
      <w:rPr>
        <w:rFonts w:ascii="Arial" w:eastAsiaTheme="minorEastAsia" w:hAnsi="Arial" w:cs="Arial"/>
        <w:b/>
        <w:bCs/>
        <w:color w:val="000000" w:themeColor="text1"/>
        <w:kern w:val="24"/>
        <w:sz w:val="32"/>
        <w:szCs w:val="32"/>
      </w:rPr>
      <w:tab/>
    </w:r>
    <w:r w:rsidR="00A32BC2">
      <w:rPr>
        <w:rFonts w:ascii="Arial" w:eastAsiaTheme="minorEastAsia" w:hAnsi="Arial" w:cs="Arial"/>
        <w:b/>
        <w:bCs/>
        <w:color w:val="000000" w:themeColor="text1"/>
        <w:kern w:val="24"/>
        <w:sz w:val="32"/>
        <w:szCs w:val="32"/>
      </w:rPr>
      <w:t xml:space="preserve">                                      </w:t>
    </w:r>
    <w:r w:rsidRPr="00E11207">
      <w:rPr>
        <w:rFonts w:ascii="Arial" w:eastAsiaTheme="minorEastAsia" w:hAnsi="Arial" w:cs="Arial"/>
        <w:b/>
        <w:bCs/>
        <w:color w:val="000000" w:themeColor="text1"/>
        <w:kern w:val="24"/>
        <w:sz w:val="32"/>
        <w:szCs w:val="32"/>
      </w:rPr>
      <w:t xml:space="preserve">LCHS4010 </w:t>
    </w:r>
  </w:p>
  <w:p w14:paraId="30FF1714" w14:textId="49016B29" w:rsidR="00E11207" w:rsidRDefault="00E11207" w:rsidP="00E11207">
    <w:pPr>
      <w:pStyle w:val="Header"/>
      <w:spacing w:line="360" w:lineRule="auto"/>
      <w:rPr>
        <w:rFonts w:ascii="Arial" w:eastAsiaTheme="minorEastAsia" w:hAnsi="Arial" w:cs="Arial"/>
        <w:b/>
        <w:bCs/>
        <w:color w:val="000000" w:themeColor="text1"/>
        <w:kern w:val="24"/>
        <w:sz w:val="48"/>
        <w:szCs w:val="48"/>
      </w:rPr>
    </w:pPr>
    <w:r>
      <w:rPr>
        <w:rFonts w:ascii="Arial" w:eastAsiaTheme="minorEastAsia" w:hAnsi="Arial" w:cs="Arial"/>
        <w:b/>
        <w:bCs/>
        <w:color w:val="000000" w:themeColor="text1"/>
        <w:kern w:val="24"/>
        <w:sz w:val="32"/>
        <w:szCs w:val="32"/>
      </w:rPr>
      <w:tab/>
    </w:r>
    <w:r>
      <w:rPr>
        <w:rFonts w:ascii="Arial" w:eastAsiaTheme="minorEastAsia" w:hAnsi="Arial" w:cs="Arial"/>
        <w:b/>
        <w:bCs/>
        <w:color w:val="000000" w:themeColor="text1"/>
        <w:kern w:val="24"/>
        <w:sz w:val="32"/>
        <w:szCs w:val="32"/>
      </w:rPr>
      <w:tab/>
    </w:r>
    <w:r w:rsidRPr="00E11207">
      <w:rPr>
        <w:rFonts w:ascii="Arial" w:eastAsiaTheme="minorEastAsia" w:hAnsi="Arial" w:cs="Arial"/>
        <w:b/>
        <w:bCs/>
        <w:color w:val="000000" w:themeColor="text1"/>
        <w:kern w:val="24"/>
        <w:sz w:val="32"/>
        <w:szCs w:val="32"/>
      </w:rPr>
      <w:t>Psychology in Health and Social Care</w:t>
    </w:r>
    <w:r>
      <w:rPr>
        <w:rFonts w:ascii="Arial" w:eastAsiaTheme="minorEastAsia" w:hAnsi="Arial" w:cs="Arial"/>
        <w:b/>
        <w:bCs/>
        <w:color w:val="000000" w:themeColor="text1"/>
        <w:kern w:val="24"/>
        <w:sz w:val="48"/>
        <w:szCs w:val="48"/>
      </w:rPr>
      <w:t xml:space="preserve"> </w:t>
    </w:r>
  </w:p>
  <w:p w14:paraId="172B83FD" w14:textId="77777777" w:rsidR="009C02C1" w:rsidRDefault="009C02C1" w:rsidP="00E11207">
    <w:pPr>
      <w:pStyle w:val="Header"/>
      <w:spacing w:line="36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16ED1"/>
    <w:multiLevelType w:val="hybridMultilevel"/>
    <w:tmpl w:val="4C4085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DD26E1"/>
    <w:multiLevelType w:val="multilevel"/>
    <w:tmpl w:val="8F7C0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6281726">
    <w:abstractNumId w:val="1"/>
  </w:num>
  <w:num w:numId="2" w16cid:durableId="1078407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CC7"/>
    <w:rsid w:val="000348FF"/>
    <w:rsid w:val="00063D06"/>
    <w:rsid w:val="00070737"/>
    <w:rsid w:val="0008298A"/>
    <w:rsid w:val="000A72DD"/>
    <w:rsid w:val="000B7E10"/>
    <w:rsid w:val="000E3E6B"/>
    <w:rsid w:val="00112539"/>
    <w:rsid w:val="001256F6"/>
    <w:rsid w:val="001260BE"/>
    <w:rsid w:val="001352C0"/>
    <w:rsid w:val="0015509A"/>
    <w:rsid w:val="00170F07"/>
    <w:rsid w:val="00184E20"/>
    <w:rsid w:val="001A228D"/>
    <w:rsid w:val="001B2404"/>
    <w:rsid w:val="001F22FF"/>
    <w:rsid w:val="001F6DB7"/>
    <w:rsid w:val="00200FB2"/>
    <w:rsid w:val="00204B04"/>
    <w:rsid w:val="00213478"/>
    <w:rsid w:val="00221496"/>
    <w:rsid w:val="00236160"/>
    <w:rsid w:val="002B3660"/>
    <w:rsid w:val="002C76FC"/>
    <w:rsid w:val="002D0AB7"/>
    <w:rsid w:val="002D56AE"/>
    <w:rsid w:val="00332CC7"/>
    <w:rsid w:val="003465DB"/>
    <w:rsid w:val="00366298"/>
    <w:rsid w:val="003B4A4D"/>
    <w:rsid w:val="003B6145"/>
    <w:rsid w:val="003E01BB"/>
    <w:rsid w:val="003F35AC"/>
    <w:rsid w:val="00447E56"/>
    <w:rsid w:val="004D1892"/>
    <w:rsid w:val="004D7BDC"/>
    <w:rsid w:val="004E1D4C"/>
    <w:rsid w:val="004E6E9B"/>
    <w:rsid w:val="004F65E7"/>
    <w:rsid w:val="00505E5E"/>
    <w:rsid w:val="0051104B"/>
    <w:rsid w:val="00517F1A"/>
    <w:rsid w:val="00534CB4"/>
    <w:rsid w:val="00537CD2"/>
    <w:rsid w:val="00555930"/>
    <w:rsid w:val="00561584"/>
    <w:rsid w:val="005A0507"/>
    <w:rsid w:val="00630A23"/>
    <w:rsid w:val="006813D4"/>
    <w:rsid w:val="00686B5D"/>
    <w:rsid w:val="006A473B"/>
    <w:rsid w:val="006A5139"/>
    <w:rsid w:val="006B3CFA"/>
    <w:rsid w:val="007663C9"/>
    <w:rsid w:val="007D2A14"/>
    <w:rsid w:val="007E7DB1"/>
    <w:rsid w:val="008330C1"/>
    <w:rsid w:val="00834816"/>
    <w:rsid w:val="00843380"/>
    <w:rsid w:val="00862A2D"/>
    <w:rsid w:val="009529ED"/>
    <w:rsid w:val="009C02C1"/>
    <w:rsid w:val="009D4AFF"/>
    <w:rsid w:val="009F3363"/>
    <w:rsid w:val="009F3ADB"/>
    <w:rsid w:val="00A271D1"/>
    <w:rsid w:val="00A3226C"/>
    <w:rsid w:val="00A32BC2"/>
    <w:rsid w:val="00A41C08"/>
    <w:rsid w:val="00AD0608"/>
    <w:rsid w:val="00AF1365"/>
    <w:rsid w:val="00B42394"/>
    <w:rsid w:val="00B53F71"/>
    <w:rsid w:val="00B9073F"/>
    <w:rsid w:val="00BC3940"/>
    <w:rsid w:val="00BF5976"/>
    <w:rsid w:val="00C10F50"/>
    <w:rsid w:val="00C2778F"/>
    <w:rsid w:val="00C63611"/>
    <w:rsid w:val="00C87820"/>
    <w:rsid w:val="00CA20E3"/>
    <w:rsid w:val="00CB4300"/>
    <w:rsid w:val="00D03434"/>
    <w:rsid w:val="00D7343A"/>
    <w:rsid w:val="00D82E0D"/>
    <w:rsid w:val="00DA6645"/>
    <w:rsid w:val="00DD77B5"/>
    <w:rsid w:val="00E11207"/>
    <w:rsid w:val="00E1712D"/>
    <w:rsid w:val="00E23961"/>
    <w:rsid w:val="00E32C1D"/>
    <w:rsid w:val="00E33406"/>
    <w:rsid w:val="00E33A6B"/>
    <w:rsid w:val="00E3700A"/>
    <w:rsid w:val="00E94120"/>
    <w:rsid w:val="00EA1790"/>
    <w:rsid w:val="00EC17A0"/>
    <w:rsid w:val="00F217AD"/>
    <w:rsid w:val="00F863C8"/>
    <w:rsid w:val="00F86CDE"/>
    <w:rsid w:val="00FE2445"/>
    <w:rsid w:val="00FF14DD"/>
    <w:rsid w:val="00FF2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F1798D"/>
  <w15:chartTrackingRefBased/>
  <w15:docId w15:val="{EE0A576B-42C1-4E4A-B64C-B2713FB62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C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2C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2C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2C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2C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2C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2C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2C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2C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2C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2C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2C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2C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2C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2C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2C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2C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2CC7"/>
    <w:rPr>
      <w:rFonts w:eastAsiaTheme="majorEastAsia" w:cstheme="majorBidi"/>
      <w:color w:val="272727" w:themeColor="text1" w:themeTint="D8"/>
    </w:rPr>
  </w:style>
  <w:style w:type="paragraph" w:styleId="Title">
    <w:name w:val="Title"/>
    <w:basedOn w:val="Normal"/>
    <w:next w:val="Normal"/>
    <w:link w:val="TitleChar"/>
    <w:uiPriority w:val="10"/>
    <w:qFormat/>
    <w:rsid w:val="00332C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2C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2C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2C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2CC7"/>
    <w:pPr>
      <w:spacing w:before="160"/>
      <w:jc w:val="center"/>
    </w:pPr>
    <w:rPr>
      <w:i/>
      <w:iCs/>
      <w:color w:val="404040" w:themeColor="text1" w:themeTint="BF"/>
    </w:rPr>
  </w:style>
  <w:style w:type="character" w:customStyle="1" w:styleId="QuoteChar">
    <w:name w:val="Quote Char"/>
    <w:basedOn w:val="DefaultParagraphFont"/>
    <w:link w:val="Quote"/>
    <w:uiPriority w:val="29"/>
    <w:rsid w:val="00332CC7"/>
    <w:rPr>
      <w:i/>
      <w:iCs/>
      <w:color w:val="404040" w:themeColor="text1" w:themeTint="BF"/>
    </w:rPr>
  </w:style>
  <w:style w:type="paragraph" w:styleId="ListParagraph">
    <w:name w:val="List Paragraph"/>
    <w:basedOn w:val="Normal"/>
    <w:uiPriority w:val="34"/>
    <w:qFormat/>
    <w:rsid w:val="00332CC7"/>
    <w:pPr>
      <w:ind w:left="720"/>
      <w:contextualSpacing/>
    </w:pPr>
  </w:style>
  <w:style w:type="character" w:styleId="IntenseEmphasis">
    <w:name w:val="Intense Emphasis"/>
    <w:basedOn w:val="DefaultParagraphFont"/>
    <w:uiPriority w:val="21"/>
    <w:qFormat/>
    <w:rsid w:val="00332CC7"/>
    <w:rPr>
      <w:i/>
      <w:iCs/>
      <w:color w:val="0F4761" w:themeColor="accent1" w:themeShade="BF"/>
    </w:rPr>
  </w:style>
  <w:style w:type="paragraph" w:styleId="IntenseQuote">
    <w:name w:val="Intense Quote"/>
    <w:basedOn w:val="Normal"/>
    <w:next w:val="Normal"/>
    <w:link w:val="IntenseQuoteChar"/>
    <w:uiPriority w:val="30"/>
    <w:qFormat/>
    <w:rsid w:val="00332C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2CC7"/>
    <w:rPr>
      <w:i/>
      <w:iCs/>
      <w:color w:val="0F4761" w:themeColor="accent1" w:themeShade="BF"/>
    </w:rPr>
  </w:style>
  <w:style w:type="character" w:styleId="IntenseReference">
    <w:name w:val="Intense Reference"/>
    <w:basedOn w:val="DefaultParagraphFont"/>
    <w:uiPriority w:val="32"/>
    <w:qFormat/>
    <w:rsid w:val="00332CC7"/>
    <w:rPr>
      <w:b/>
      <w:bCs/>
      <w:smallCaps/>
      <w:color w:val="0F4761" w:themeColor="accent1" w:themeShade="BF"/>
      <w:spacing w:val="5"/>
    </w:rPr>
  </w:style>
  <w:style w:type="paragraph" w:styleId="Header">
    <w:name w:val="header"/>
    <w:basedOn w:val="Normal"/>
    <w:link w:val="HeaderChar"/>
    <w:uiPriority w:val="99"/>
    <w:unhideWhenUsed/>
    <w:rsid w:val="00E112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207"/>
  </w:style>
  <w:style w:type="paragraph" w:styleId="Footer">
    <w:name w:val="footer"/>
    <w:basedOn w:val="Normal"/>
    <w:link w:val="FooterChar"/>
    <w:uiPriority w:val="99"/>
    <w:unhideWhenUsed/>
    <w:rsid w:val="00E112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207"/>
  </w:style>
  <w:style w:type="paragraph" w:styleId="NormalWeb">
    <w:name w:val="Normal (Web)"/>
    <w:basedOn w:val="Normal"/>
    <w:uiPriority w:val="99"/>
    <w:semiHidden/>
    <w:unhideWhenUsed/>
    <w:rsid w:val="00E1120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9D4AFF"/>
    <w:rPr>
      <w:color w:val="467886" w:themeColor="hyperlink"/>
      <w:u w:val="single"/>
    </w:rPr>
  </w:style>
  <w:style w:type="character" w:styleId="UnresolvedMention">
    <w:name w:val="Unresolved Mention"/>
    <w:basedOn w:val="DefaultParagraphFont"/>
    <w:uiPriority w:val="99"/>
    <w:semiHidden/>
    <w:unhideWhenUsed/>
    <w:rsid w:val="009D4A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geronb/gbv062" TargetMode="External"/><Relationship Id="rId13" Type="http://schemas.openxmlformats.org/officeDocument/2006/relationships/hyperlink" Target="https://doi.org/10.1007/s10433-021-00610-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07/s10433-021-00610-0" TargetMode="External"/><Relationship Id="rId12" Type="http://schemas.openxmlformats.org/officeDocument/2006/relationships/hyperlink" Target="https://doi.org/10.1017/S0144686X21000726"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978-981-287-082-7_102"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i.org/10.1017/S0144686X21000726" TargetMode="External"/><Relationship Id="rId4" Type="http://schemas.openxmlformats.org/officeDocument/2006/relationships/webSettings" Target="webSettings.xml"/><Relationship Id="rId9" Type="http://schemas.openxmlformats.org/officeDocument/2006/relationships/hyperlink" Target="https://doi.org/10.1007/978-981-287-082-7_102" TargetMode="External"/><Relationship Id="rId14" Type="http://schemas.openxmlformats.org/officeDocument/2006/relationships/hyperlink" Target="https://doi.org/10.1093/geronb/gbv06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2217</Words>
  <Characters>12638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Poznanska</dc:creator>
  <cp:keywords/>
  <dc:description/>
  <cp:lastModifiedBy>Anna Poznanska</cp:lastModifiedBy>
  <cp:revision>3</cp:revision>
  <dcterms:created xsi:type="dcterms:W3CDTF">2026-04-27T13:11:00Z</dcterms:created>
  <dcterms:modified xsi:type="dcterms:W3CDTF">2026-04-27T13:28:00Z</dcterms:modified>
</cp:coreProperties>
</file>