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46366" w14:textId="4A633DF1" w:rsidR="008401FE" w:rsidRPr="009F1B25" w:rsidRDefault="008401FE" w:rsidP="5155BE76">
      <w:pPr>
        <w:rPr>
          <w:sz w:val="20"/>
          <w:szCs w:val="20"/>
        </w:rPr>
      </w:pPr>
    </w:p>
    <w:p w14:paraId="62C38E09" w14:textId="266C1217" w:rsidR="008401FE" w:rsidRDefault="0580900F" w:rsidP="5155BE76">
      <w:r>
        <w:rPr>
          <w:noProof/>
        </w:rPr>
        <w:drawing>
          <wp:inline distT="0" distB="0" distL="0" distR="0" wp14:anchorId="333C345F" wp14:editId="2DF2347A">
            <wp:extent cx="3759390" cy="1676400"/>
            <wp:effectExtent l="0" t="0" r="0" b="0"/>
            <wp:docPr id="559083271" name="drawing">
              <a:extLst xmlns:a="http://schemas.openxmlformats.org/drawingml/2006/main">
                <a:ext uri="{FF2B5EF4-FFF2-40B4-BE49-F238E27FC236}">
                  <a16:creationId xmlns:a16="http://schemas.microsoft.com/office/drawing/2014/main" id="{C8F4E519-F618-4245-A4D2-0181325618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83271" name="Picture 559083271"/>
                    <pic:cNvPicPr/>
                  </pic:nvPicPr>
                  <pic:blipFill>
                    <a:blip r:embed="rId4">
                      <a:extLst>
                        <a:ext uri="{28A0092B-C50C-407E-A947-70E740481C1C}">
                          <a14:useLocalDpi xmlns:a14="http://schemas.microsoft.com/office/drawing/2010/main"/>
                        </a:ext>
                      </a:extLst>
                    </a:blip>
                    <a:stretch>
                      <a:fillRect/>
                    </a:stretch>
                  </pic:blipFill>
                  <pic:spPr>
                    <a:xfrm>
                      <a:off x="0" y="0"/>
                      <a:ext cx="3759390" cy="1676400"/>
                    </a:xfrm>
                    <a:prstGeom prst="rect">
                      <a:avLst/>
                    </a:prstGeom>
                  </pic:spPr>
                </pic:pic>
              </a:graphicData>
            </a:graphic>
          </wp:inline>
        </w:drawing>
      </w:r>
    </w:p>
    <w:p w14:paraId="4920A8A5" w14:textId="1E2F863C" w:rsidR="008401FE" w:rsidRPr="009F1B25" w:rsidRDefault="008401FE" w:rsidP="5155BE76">
      <w:pPr>
        <w:rPr>
          <w:sz w:val="20"/>
          <w:szCs w:val="20"/>
        </w:rPr>
      </w:pPr>
    </w:p>
    <w:p w14:paraId="12C0C831" w14:textId="02EA70B1" w:rsidR="008401FE" w:rsidRPr="009F1B25" w:rsidRDefault="008401FE" w:rsidP="5155BE76">
      <w:pPr>
        <w:rPr>
          <w:sz w:val="20"/>
          <w:szCs w:val="20"/>
        </w:rPr>
      </w:pPr>
    </w:p>
    <w:p w14:paraId="313B335E" w14:textId="2C67962B" w:rsidR="008401FE" w:rsidRPr="009F1B25" w:rsidRDefault="008401FE" w:rsidP="5155BE76">
      <w:pPr>
        <w:rPr>
          <w:sz w:val="20"/>
          <w:szCs w:val="20"/>
        </w:rPr>
      </w:pPr>
    </w:p>
    <w:p w14:paraId="6D1BB364" w14:textId="6B79FD6D" w:rsidR="008401FE" w:rsidRPr="009F1B25" w:rsidRDefault="008401FE" w:rsidP="5155BE76">
      <w:pPr>
        <w:rPr>
          <w:sz w:val="20"/>
          <w:szCs w:val="20"/>
        </w:rPr>
      </w:pPr>
    </w:p>
    <w:p w14:paraId="31EA7309" w14:textId="615C9B72" w:rsidR="34F912CC" w:rsidRDefault="41EF72E9" w:rsidP="34F912CC">
      <w:pPr>
        <w:rPr>
          <w:sz w:val="20"/>
          <w:szCs w:val="20"/>
        </w:rPr>
      </w:pPr>
      <w:r w:rsidRPr="616DE336">
        <w:rPr>
          <w:sz w:val="20"/>
          <w:szCs w:val="20"/>
        </w:rPr>
        <w:t>Student Name: Shabana Shaheen</w:t>
      </w:r>
    </w:p>
    <w:p w14:paraId="22FF54D0" w14:textId="1C39118F" w:rsidR="34F912CC" w:rsidRDefault="34F912CC" w:rsidP="34F912CC">
      <w:pPr>
        <w:rPr>
          <w:sz w:val="20"/>
          <w:szCs w:val="20"/>
        </w:rPr>
      </w:pPr>
    </w:p>
    <w:p w14:paraId="57007434" w14:textId="77777777" w:rsidR="41EF72E9" w:rsidRDefault="41EF72E9" w:rsidP="616DE336">
      <w:pPr>
        <w:rPr>
          <w:sz w:val="20"/>
          <w:szCs w:val="20"/>
        </w:rPr>
      </w:pPr>
      <w:r w:rsidRPr="616DE336">
        <w:rPr>
          <w:sz w:val="20"/>
          <w:szCs w:val="20"/>
        </w:rPr>
        <w:t>Student ID: 2512331</w:t>
      </w:r>
    </w:p>
    <w:p w14:paraId="610E3710" w14:textId="1D02ADA4" w:rsidR="3F315B41" w:rsidRDefault="3F315B41" w:rsidP="3F315B41">
      <w:pPr>
        <w:rPr>
          <w:sz w:val="20"/>
          <w:szCs w:val="20"/>
        </w:rPr>
      </w:pPr>
    </w:p>
    <w:p w14:paraId="19A79211" w14:textId="0E88A9E9" w:rsidR="0C8A4FFB" w:rsidRDefault="41EF72E9" w:rsidP="0C8A4FFB">
      <w:pPr>
        <w:rPr>
          <w:sz w:val="20"/>
          <w:szCs w:val="20"/>
        </w:rPr>
      </w:pPr>
      <w:r w:rsidRPr="616DE336">
        <w:rPr>
          <w:sz w:val="20"/>
          <w:szCs w:val="20"/>
        </w:rPr>
        <w:t xml:space="preserve">Module Code: LCHS4003_BIRM </w:t>
      </w:r>
    </w:p>
    <w:p w14:paraId="4CE26918" w14:textId="0596B8D1" w:rsidR="41EF72E9" w:rsidRDefault="41EF72E9" w:rsidP="616DE336">
      <w:pPr>
        <w:rPr>
          <w:sz w:val="20"/>
          <w:szCs w:val="20"/>
        </w:rPr>
      </w:pPr>
      <w:r w:rsidRPr="616DE336">
        <w:rPr>
          <w:sz w:val="20"/>
          <w:szCs w:val="20"/>
        </w:rPr>
        <w:t>Lecturer: Daniel</w:t>
      </w:r>
    </w:p>
    <w:p w14:paraId="136AB72B" w14:textId="3A4E729B" w:rsidR="194CBF61" w:rsidRDefault="41EF72E9" w:rsidP="194CBF61">
      <w:pPr>
        <w:rPr>
          <w:sz w:val="20"/>
          <w:szCs w:val="20"/>
        </w:rPr>
      </w:pPr>
      <w:r w:rsidRPr="616DE336">
        <w:rPr>
          <w:sz w:val="20"/>
          <w:szCs w:val="20"/>
        </w:rPr>
        <w:t>University: University of Wales Trinity Saint David</w:t>
      </w:r>
    </w:p>
    <w:p w14:paraId="61A88C9A" w14:textId="77777777" w:rsidR="41EF72E9" w:rsidRDefault="41EF72E9" w:rsidP="616DE336">
      <w:pPr>
        <w:rPr>
          <w:sz w:val="20"/>
          <w:szCs w:val="20"/>
        </w:rPr>
      </w:pPr>
      <w:r w:rsidRPr="616DE336">
        <w:rPr>
          <w:sz w:val="20"/>
          <w:szCs w:val="20"/>
        </w:rPr>
        <w:t>Submission Date: 23 February 2026</w:t>
      </w:r>
    </w:p>
    <w:p w14:paraId="1ADF1A5C" w14:textId="68EFA07D" w:rsidR="008401FE" w:rsidRPr="009F1B25" w:rsidRDefault="008401FE" w:rsidP="5155BE76">
      <w:pPr>
        <w:rPr>
          <w:sz w:val="20"/>
          <w:szCs w:val="20"/>
        </w:rPr>
      </w:pPr>
    </w:p>
    <w:p w14:paraId="3E4E44DB" w14:textId="7CC06633" w:rsidR="008401FE" w:rsidRPr="009F1B25" w:rsidRDefault="51392447" w:rsidP="30B94D73">
      <w:r w:rsidRPr="30B94D73">
        <w:t xml:space="preserve">Task 1 poster </w:t>
      </w:r>
    </w:p>
    <w:p w14:paraId="22A7680B" w14:textId="5D696163" w:rsidR="00236630" w:rsidRDefault="00236630" w:rsidP="30B94D73">
      <w:pPr>
        <w:rPr>
          <w:sz w:val="20"/>
          <w:szCs w:val="20"/>
        </w:rPr>
      </w:pPr>
    </w:p>
    <w:p w14:paraId="6E23430A" w14:textId="2EA193BF" w:rsidR="00236630" w:rsidRDefault="4B127F13" w:rsidP="30B94D73">
      <w:r w:rsidRPr="30B94D73">
        <w:t>Community Disability services in the UK</w:t>
      </w:r>
    </w:p>
    <w:p w14:paraId="7E18B21A" w14:textId="1BAF9F10" w:rsidR="00236630" w:rsidRDefault="4B127F13" w:rsidP="30B94D73">
      <w:r w:rsidRPr="30B94D73">
        <w:t>Historical Development and Contemporary Significance</w:t>
      </w:r>
    </w:p>
    <w:p w14:paraId="5FB4DD20" w14:textId="2A91C661" w:rsidR="00236630" w:rsidRDefault="00236630" w:rsidP="30B94D73"/>
    <w:p w14:paraId="2F36AF77" w14:textId="432568EC" w:rsidR="00236630" w:rsidRDefault="4B127F13" w:rsidP="30B94D73">
      <w:r w:rsidRPr="30B94D73">
        <w:t>Introduction</w:t>
      </w:r>
    </w:p>
    <w:p w14:paraId="38D29DF0" w14:textId="47E55EE1" w:rsidR="00236630" w:rsidRDefault="4B127F13" w:rsidP="30B94D73">
      <w:r w:rsidRPr="4E0F18B1">
        <w:t xml:space="preserve">Community disability services provide coordinated health and social </w:t>
      </w:r>
      <w:r w:rsidR="0A12B9E5" w:rsidRPr="4E0F18B1">
        <w:t>care support to individuals with physical, learning, sensory, or i</w:t>
      </w:r>
      <w:r w:rsidR="2466D846" w:rsidRPr="4E0F18B1">
        <w:t xml:space="preserve">ntellectual </w:t>
      </w:r>
      <w:r w:rsidR="7BAA8D16" w:rsidRPr="4E0F18B1">
        <w:t>disabilities within community settings. The service promotes independence, in</w:t>
      </w:r>
      <w:r w:rsidR="05FCB115" w:rsidRPr="4E0F18B1">
        <w:t>clusion, safeguarding, and equal access to healthcare and participation.</w:t>
      </w:r>
    </w:p>
    <w:p w14:paraId="1853F221" w14:textId="50C89D40" w:rsidR="05FCB115" w:rsidRDefault="05FCB115" w:rsidP="4E0F18B1">
      <w:r w:rsidRPr="4E0F18B1">
        <w:t xml:space="preserve">Historical Development </w:t>
      </w:r>
    </w:p>
    <w:p w14:paraId="0022958F" w14:textId="74737064" w:rsidR="00882E4C" w:rsidRPr="00882E4C" w:rsidRDefault="05FCB115" w:rsidP="00882E4C">
      <w:pPr>
        <w:pStyle w:val="p1"/>
        <w:rPr>
          <w:sz w:val="24"/>
          <w:szCs w:val="24"/>
        </w:rPr>
      </w:pPr>
      <w:r w:rsidRPr="1D7BD5F5">
        <w:rPr>
          <w:sz w:val="24"/>
          <w:szCs w:val="24"/>
        </w:rPr>
        <w:t>Early 20</w:t>
      </w:r>
      <w:r w:rsidRPr="1D7BD5F5">
        <w:rPr>
          <w:sz w:val="24"/>
          <w:szCs w:val="24"/>
          <w:vertAlign w:val="superscript"/>
        </w:rPr>
        <w:t>th</w:t>
      </w:r>
      <w:r w:rsidRPr="1D7BD5F5">
        <w:rPr>
          <w:sz w:val="24"/>
          <w:szCs w:val="24"/>
        </w:rPr>
        <w:t xml:space="preserve"> century care relied heavily on insti</w:t>
      </w:r>
      <w:r w:rsidR="47348D44" w:rsidRPr="1D7BD5F5">
        <w:rPr>
          <w:sz w:val="24"/>
          <w:szCs w:val="24"/>
        </w:rPr>
        <w:t>tutional models. The creation of the NHS in 1948 improved access to he</w:t>
      </w:r>
      <w:r w:rsidR="7E318A8E" w:rsidRPr="1D7BD5F5">
        <w:rPr>
          <w:sz w:val="24"/>
          <w:szCs w:val="24"/>
        </w:rPr>
        <w:t>althcare, but deinstit</w:t>
      </w:r>
      <w:r w:rsidR="060EEBF0" w:rsidRPr="1D7BD5F5">
        <w:rPr>
          <w:sz w:val="24"/>
          <w:szCs w:val="24"/>
        </w:rPr>
        <w:t>utionalis</w:t>
      </w:r>
      <w:r w:rsidR="312BB94B" w:rsidRPr="1D7BD5F5">
        <w:rPr>
          <w:sz w:val="24"/>
          <w:szCs w:val="24"/>
        </w:rPr>
        <w:t xml:space="preserve">ation gained momentum </w:t>
      </w:r>
      <w:r w:rsidR="00882E4C" w:rsidRPr="00882E4C">
        <w:rPr>
          <w:sz w:val="24"/>
          <w:szCs w:val="24"/>
        </w:rPr>
        <w:t xml:space="preserve">and Community Care Act 1990 shifted care into community settings. </w:t>
      </w:r>
      <w:bookmarkStart w:id="0" w:name="_Int_ayOZ7q92"/>
      <w:r w:rsidR="00882E4C" w:rsidRPr="00882E4C">
        <w:rPr>
          <w:sz w:val="24"/>
          <w:szCs w:val="24"/>
        </w:rPr>
        <w:t>Subsequent</w:t>
      </w:r>
      <w:bookmarkEnd w:id="0"/>
      <w:r w:rsidR="00882E4C" w:rsidRPr="00882E4C">
        <w:rPr>
          <w:sz w:val="24"/>
          <w:szCs w:val="24"/>
        </w:rPr>
        <w:t xml:space="preserve"> legislation such as</w:t>
      </w:r>
      <w:r w:rsidR="59C69719" w:rsidRPr="00882E4C">
        <w:rPr>
          <w:sz w:val="24"/>
          <w:szCs w:val="24"/>
        </w:rPr>
        <w:t xml:space="preserve"> the</w:t>
      </w:r>
    </w:p>
    <w:p w14:paraId="62B26BED" w14:textId="49D0316A" w:rsidR="005B42C9" w:rsidRDefault="00882E4C">
      <w:pPr>
        <w:pStyle w:val="p1"/>
      </w:pPr>
      <w:r w:rsidRPr="00882E4C">
        <w:rPr>
          <w:sz w:val="24"/>
          <w:szCs w:val="24"/>
        </w:rPr>
        <w:t>Equality Act 2010 and Care Act 2014 strengthened rights-based, person-centred approaches.</w:t>
      </w:r>
    </w:p>
    <w:p w14:paraId="3E016844" w14:textId="71E34D0B" w:rsidR="05FCB115" w:rsidRDefault="05FCB115" w:rsidP="4E0F18B1"/>
    <w:p w14:paraId="0318A7CE" w14:textId="77777777" w:rsidR="008353A9" w:rsidRDefault="008353A9" w:rsidP="008353A9">
      <w:r>
        <w:t>Current Function</w:t>
      </w:r>
    </w:p>
    <w:p w14:paraId="63EA2D93" w14:textId="77777777" w:rsidR="008353A9" w:rsidRDefault="008353A9" w:rsidP="008353A9">
      <w:r>
        <w:t xml:space="preserve">Community disability services deliver multidisciplinary care including specialist nurses, occupational therapists, physiotherapists, </w:t>
      </w:r>
      <w:bookmarkStart w:id="1" w:name="_Int_5jboLTIQ"/>
      <w:r>
        <w:t>speech</w:t>
      </w:r>
      <w:bookmarkEnd w:id="1"/>
      <w:r>
        <w:t xml:space="preserve"> and language</w:t>
      </w:r>
    </w:p>
    <w:p w14:paraId="29E352E6" w14:textId="77777777" w:rsidR="008353A9" w:rsidRDefault="008353A9" w:rsidP="008353A9">
      <w:r>
        <w:t>therapists, and social care teams. Services focus on person-centred assessments, supported living, preventative healthcare, safeguarding, and</w:t>
      </w:r>
    </w:p>
    <w:p w14:paraId="10EFFAA7" w14:textId="77777777" w:rsidR="008353A9" w:rsidRDefault="008353A9" w:rsidP="008353A9">
      <w:r>
        <w:t>improving access to employment and education.</w:t>
      </w:r>
    </w:p>
    <w:p w14:paraId="616F9BE0" w14:textId="77777777" w:rsidR="008353A9" w:rsidRDefault="008353A9" w:rsidP="008353A9">
      <w:r>
        <w:t>Contemporary Significance</w:t>
      </w:r>
    </w:p>
    <w:p w14:paraId="11BBDDF5" w14:textId="77777777" w:rsidR="008353A9" w:rsidRDefault="008353A9" w:rsidP="008353A9">
      <w:r>
        <w:t>These services promote independence and social inclusion while addressing health inequalities. They reduce unnecessary hospital admissions through</w:t>
      </w:r>
    </w:p>
    <w:p w14:paraId="6F3EC3F6" w14:textId="77777777" w:rsidR="008353A9" w:rsidRDefault="008353A9" w:rsidP="008353A9">
      <w:r>
        <w:t>preventative and coordinated care. Safeguarding frameworks protect vulnerable adults and ensure accountability.</w:t>
      </w:r>
    </w:p>
    <w:p w14:paraId="55F0AAE7" w14:textId="77777777" w:rsidR="008353A9" w:rsidRDefault="008353A9" w:rsidP="008353A9">
      <w:r>
        <w:t>Key Challenges</w:t>
      </w:r>
    </w:p>
    <w:p w14:paraId="0CD94766" w14:textId="77777777" w:rsidR="008353A9" w:rsidRDefault="008353A9" w:rsidP="008353A9">
      <w:r>
        <w:t>Workforce shortages and financial pressures limit service capacity and create regional variability. Fragmentation between health and social care</w:t>
      </w:r>
    </w:p>
    <w:p w14:paraId="0694C19D" w14:textId="77777777" w:rsidR="008353A9" w:rsidRDefault="008353A9" w:rsidP="008353A9">
      <w:r>
        <w:t>systems can disrupt continuity. Persistent inequalities in healthcare access remain a significant concern.</w:t>
      </w:r>
    </w:p>
    <w:p w14:paraId="13D4684C" w14:textId="77777777" w:rsidR="008353A9" w:rsidRDefault="008353A9" w:rsidP="008353A9">
      <w:r>
        <w:t>References (Harvard Style)</w:t>
      </w:r>
    </w:p>
    <w:p w14:paraId="56B1F14B" w14:textId="77777777" w:rsidR="008353A9" w:rsidRDefault="008353A9" w:rsidP="008353A9">
      <w:r>
        <w:t>Department of Health (1990) NHS and Community Care Act. London: HMSO.</w:t>
      </w:r>
    </w:p>
    <w:p w14:paraId="0382A13E" w14:textId="77777777" w:rsidR="008353A9" w:rsidRDefault="008353A9" w:rsidP="008353A9">
      <w:r>
        <w:t>Department of Health (2014) Care Act. London: HMSO.</w:t>
      </w:r>
    </w:p>
    <w:p w14:paraId="45707694" w14:textId="77777777" w:rsidR="008353A9" w:rsidRDefault="008353A9" w:rsidP="008353A9">
      <w:r>
        <w:t>Equality Act (2010). London: The Stationery Office.</w:t>
      </w:r>
    </w:p>
    <w:p w14:paraId="0681E84E" w14:textId="77777777" w:rsidR="008353A9" w:rsidRDefault="008353A9" w:rsidP="008353A9">
      <w:r>
        <w:t>NHS England (2019) The NHS Long Term Plan. London: NHS England.</w:t>
      </w:r>
    </w:p>
    <w:p w14:paraId="40B9B853" w14:textId="77777777" w:rsidR="008353A9" w:rsidRDefault="008353A9" w:rsidP="008353A9">
      <w:r>
        <w:t>Royal College of Nursing (2022) Learning Disability Nursing Workforce Report. London: RCN.</w:t>
      </w:r>
    </w:p>
    <w:p w14:paraId="4EB70ACE" w14:textId="2FE126A3" w:rsidR="00236630" w:rsidRDefault="008353A9" w:rsidP="30B94D73">
      <w:r>
        <w:t>World Health Organization (2011) World Report on Disability. Geneva: WHO</w:t>
      </w:r>
    </w:p>
    <w:p w14:paraId="7F9127E0" w14:textId="788CFA62" w:rsidR="00236630" w:rsidRDefault="51392447" w:rsidP="30B94D73">
      <w:pPr>
        <w:rPr>
          <w:sz w:val="20"/>
          <w:szCs w:val="20"/>
        </w:rPr>
      </w:pPr>
      <w:r w:rsidRPr="30B94D73">
        <w:rPr>
          <w:sz w:val="20"/>
          <w:szCs w:val="20"/>
        </w:rPr>
        <w:t xml:space="preserve">  </w:t>
      </w:r>
    </w:p>
    <w:p w14:paraId="446B33FA" w14:textId="7EB3B24F" w:rsidR="634F5C56" w:rsidRDefault="634F5C56" w:rsidP="634F5C56">
      <w:pPr>
        <w:rPr>
          <w:sz w:val="20"/>
          <w:szCs w:val="20"/>
        </w:rPr>
      </w:pPr>
    </w:p>
    <w:p w14:paraId="44D0CD00" w14:textId="576F5A9A" w:rsidR="573607E4" w:rsidRDefault="573607E4" w:rsidP="573607E4">
      <w:pPr>
        <w:rPr>
          <w:sz w:val="20"/>
          <w:szCs w:val="20"/>
        </w:rPr>
      </w:pPr>
    </w:p>
    <w:p w14:paraId="06907238" w14:textId="6DD822AA" w:rsidR="573607E4" w:rsidRDefault="573607E4" w:rsidP="573607E4">
      <w:pPr>
        <w:rPr>
          <w:sz w:val="20"/>
          <w:szCs w:val="20"/>
        </w:rPr>
      </w:pPr>
    </w:p>
    <w:p w14:paraId="03A6087D" w14:textId="13994EC8" w:rsidR="008401FE" w:rsidRPr="009F1B25" w:rsidRDefault="008401FE" w:rsidP="5155BE76">
      <w:pPr>
        <w:rPr>
          <w:sz w:val="20"/>
          <w:szCs w:val="20"/>
        </w:rPr>
      </w:pPr>
    </w:p>
    <w:p w14:paraId="580D35B3" w14:textId="0812718E" w:rsidR="008401FE" w:rsidRPr="009F1B25" w:rsidRDefault="008401FE" w:rsidP="5155BE76">
      <w:pPr>
        <w:rPr>
          <w:sz w:val="20"/>
          <w:szCs w:val="20"/>
        </w:rPr>
      </w:pPr>
    </w:p>
    <w:p w14:paraId="54A76B90" w14:textId="2B7FA47C" w:rsidR="008401FE" w:rsidRPr="009F1B25" w:rsidRDefault="008401FE" w:rsidP="5155BE76">
      <w:pPr>
        <w:rPr>
          <w:sz w:val="20"/>
          <w:szCs w:val="20"/>
        </w:rPr>
      </w:pPr>
    </w:p>
    <w:p w14:paraId="415C9EEF" w14:textId="12164123" w:rsidR="008401FE" w:rsidRPr="009F1B25" w:rsidRDefault="008401FE" w:rsidP="5155BE76">
      <w:pPr>
        <w:rPr>
          <w:sz w:val="20"/>
          <w:szCs w:val="20"/>
        </w:rPr>
      </w:pPr>
    </w:p>
    <w:p w14:paraId="5813386D" w14:textId="6C4D22AE" w:rsidR="008401FE" w:rsidRPr="009F1B25" w:rsidRDefault="008401FE" w:rsidP="5155BE76">
      <w:pPr>
        <w:rPr>
          <w:sz w:val="20"/>
          <w:szCs w:val="20"/>
        </w:rPr>
      </w:pPr>
    </w:p>
    <w:p w14:paraId="6F18B8CD" w14:textId="56CC34E3" w:rsidR="008401FE" w:rsidRPr="009F1B25" w:rsidRDefault="008401FE" w:rsidP="5155BE76">
      <w:pPr>
        <w:rPr>
          <w:sz w:val="20"/>
          <w:szCs w:val="20"/>
        </w:rPr>
      </w:pPr>
    </w:p>
    <w:p w14:paraId="686B2329" w14:textId="4CC17FB9" w:rsidR="008401FE" w:rsidRPr="009F1B25" w:rsidRDefault="008401FE" w:rsidP="5155BE76">
      <w:pPr>
        <w:rPr>
          <w:sz w:val="20"/>
          <w:szCs w:val="20"/>
        </w:rPr>
      </w:pPr>
    </w:p>
    <w:p w14:paraId="728D03BE" w14:textId="27CB5CA6" w:rsidR="008401FE" w:rsidRPr="009F1B25" w:rsidRDefault="008401FE" w:rsidP="5155BE76">
      <w:pPr>
        <w:rPr>
          <w:sz w:val="20"/>
          <w:szCs w:val="20"/>
        </w:rPr>
      </w:pPr>
    </w:p>
    <w:p w14:paraId="15894AF0" w14:textId="2DD2DDA1" w:rsidR="008401FE" w:rsidRPr="009F1B25" w:rsidRDefault="008401FE" w:rsidP="5155BE76">
      <w:pPr>
        <w:rPr>
          <w:sz w:val="20"/>
          <w:szCs w:val="20"/>
        </w:rPr>
      </w:pPr>
    </w:p>
    <w:p w14:paraId="338E0E87" w14:textId="77B6899A" w:rsidR="008401FE" w:rsidRPr="009F1B25" w:rsidRDefault="008401FE" w:rsidP="5155BE76">
      <w:pPr>
        <w:rPr>
          <w:sz w:val="20"/>
          <w:szCs w:val="20"/>
        </w:rPr>
      </w:pPr>
    </w:p>
    <w:p w14:paraId="0E374F21" w14:textId="44013558" w:rsidR="008401FE" w:rsidRPr="009F1B25" w:rsidRDefault="008401FE" w:rsidP="5155BE76">
      <w:pPr>
        <w:rPr>
          <w:sz w:val="20"/>
          <w:szCs w:val="20"/>
        </w:rPr>
      </w:pPr>
    </w:p>
    <w:p w14:paraId="1A152005" w14:textId="28BFB70F" w:rsidR="008401FE" w:rsidRPr="009F1B25" w:rsidRDefault="008401FE" w:rsidP="5155BE76">
      <w:pPr>
        <w:rPr>
          <w:sz w:val="20"/>
          <w:szCs w:val="20"/>
        </w:rPr>
      </w:pPr>
    </w:p>
    <w:p w14:paraId="37CE6D20" w14:textId="1D759C08" w:rsidR="008401FE" w:rsidRPr="009F1B25" w:rsidRDefault="008401FE" w:rsidP="5155BE76">
      <w:pPr>
        <w:rPr>
          <w:sz w:val="20"/>
          <w:szCs w:val="20"/>
        </w:rPr>
      </w:pPr>
    </w:p>
    <w:p w14:paraId="4B7D261F" w14:textId="31E422BA" w:rsidR="59D483C9" w:rsidRDefault="59D483C9" w:rsidP="59D483C9">
      <w:pPr>
        <w:rPr>
          <w:sz w:val="20"/>
          <w:szCs w:val="20"/>
        </w:rPr>
      </w:pPr>
    </w:p>
    <w:p w14:paraId="1CDF84D1" w14:textId="65578BDC" w:rsidR="008401FE" w:rsidRPr="009F1B25" w:rsidRDefault="008401FE" w:rsidP="5155BE76">
      <w:pPr>
        <w:rPr>
          <w:sz w:val="20"/>
          <w:szCs w:val="20"/>
        </w:rPr>
      </w:pPr>
    </w:p>
    <w:p w14:paraId="48C4CB76" w14:textId="0CC21346" w:rsidR="008401FE" w:rsidRPr="009F1B25" w:rsidRDefault="008401FE" w:rsidP="5155BE76">
      <w:pPr>
        <w:rPr>
          <w:sz w:val="20"/>
          <w:szCs w:val="20"/>
        </w:rPr>
      </w:pPr>
    </w:p>
    <w:p w14:paraId="3F7325AA" w14:textId="45F0F45E" w:rsidR="008401FE" w:rsidRPr="009F1B25" w:rsidRDefault="008401FE" w:rsidP="5155BE76">
      <w:pPr>
        <w:rPr>
          <w:sz w:val="20"/>
          <w:szCs w:val="20"/>
        </w:rPr>
      </w:pPr>
    </w:p>
    <w:p w14:paraId="1C187FF0" w14:textId="07548520" w:rsidR="008401FE" w:rsidRPr="009F1B25" w:rsidRDefault="008401FE" w:rsidP="5155BE76">
      <w:pPr>
        <w:rPr>
          <w:sz w:val="20"/>
          <w:szCs w:val="20"/>
        </w:rPr>
      </w:pPr>
    </w:p>
    <w:p w14:paraId="3A850442" w14:textId="77777777" w:rsidR="008401FE" w:rsidRDefault="008401FE" w:rsidP="00DD0974">
      <w:pPr>
        <w:rPr>
          <w:u w:val="single"/>
        </w:rPr>
      </w:pPr>
    </w:p>
    <w:p w14:paraId="1C013318" w14:textId="77777777" w:rsidR="008401FE" w:rsidRPr="00E749BA" w:rsidRDefault="008401FE" w:rsidP="00DD0974">
      <w:pPr>
        <w:rPr>
          <w:u w:val="single"/>
        </w:rPr>
      </w:pPr>
      <w:r w:rsidRPr="00E749BA">
        <w:rPr>
          <w:u w:val="single"/>
        </w:rPr>
        <w:t>Community Antenatal Midwifery Services in the UK: Historical Development and Contemporary Significance</w:t>
      </w:r>
    </w:p>
    <w:p w14:paraId="7511CE65" w14:textId="77777777" w:rsidR="008401FE" w:rsidRPr="00C00245" w:rsidRDefault="008401FE" w:rsidP="00DD0974">
      <w:pPr>
        <w:pStyle w:val="NormalWeb"/>
        <w:rPr>
          <w:color w:val="000000"/>
          <w:sz w:val="16"/>
          <w:szCs w:val="16"/>
        </w:rPr>
      </w:pPr>
      <w:r w:rsidRPr="00C00245">
        <w:rPr>
          <w:color w:val="000000"/>
          <w:sz w:val="16"/>
          <w:szCs w:val="16"/>
        </w:rPr>
        <w:t xml:space="preserve">Community antenatal midwifery services are a fundamental </w:t>
      </w:r>
      <w:bookmarkStart w:id="2" w:name="_Int_NqO70oER"/>
      <w:r w:rsidRPr="00C00245">
        <w:rPr>
          <w:color w:val="000000"/>
          <w:sz w:val="16"/>
          <w:szCs w:val="16"/>
        </w:rPr>
        <w:t>component</w:t>
      </w:r>
      <w:bookmarkEnd w:id="2"/>
      <w:r w:rsidRPr="00C00245">
        <w:rPr>
          <w:color w:val="000000"/>
          <w:sz w:val="16"/>
          <w:szCs w:val="16"/>
        </w:rPr>
        <w:t xml:space="preserve"> of maternity care in the United Kingdom. These services provide monitoring, </w:t>
      </w:r>
      <w:bookmarkStart w:id="3" w:name="_Int_U7P7SAHV"/>
      <w:r w:rsidRPr="00C00245">
        <w:rPr>
          <w:color w:val="000000"/>
          <w:sz w:val="16"/>
          <w:szCs w:val="16"/>
        </w:rPr>
        <w:t>education</w:t>
      </w:r>
      <w:bookmarkEnd w:id="3"/>
      <w:r w:rsidRPr="00C00245">
        <w:rPr>
          <w:color w:val="000000"/>
          <w:sz w:val="16"/>
          <w:szCs w:val="16"/>
        </w:rPr>
        <w:t xml:space="preserve"> and emotional support to women throughout pregnancy, primarily within community settings such as health centres and home environments. Their development reflects important historical reforms in healthcare regulation, public health </w:t>
      </w:r>
      <w:bookmarkStart w:id="4" w:name="_Int_06nEks6r"/>
      <w:r w:rsidRPr="00C00245">
        <w:rPr>
          <w:color w:val="000000"/>
          <w:sz w:val="16"/>
          <w:szCs w:val="16"/>
        </w:rPr>
        <w:t>priorities</w:t>
      </w:r>
      <w:bookmarkEnd w:id="4"/>
      <w:r w:rsidRPr="00C00245">
        <w:rPr>
          <w:color w:val="000000"/>
          <w:sz w:val="16"/>
          <w:szCs w:val="16"/>
        </w:rPr>
        <w:t xml:space="preserve"> and social policy. Understanding their origins and evolution highlights their continued importance within modern maternity provision.</w:t>
      </w:r>
    </w:p>
    <w:p w14:paraId="4727FF1D" w14:textId="77777777" w:rsidR="008401FE" w:rsidRPr="00C00245" w:rsidRDefault="008401FE" w:rsidP="00DD0974">
      <w:pPr>
        <w:pStyle w:val="NormalWeb"/>
        <w:rPr>
          <w:color w:val="000000"/>
          <w:sz w:val="16"/>
          <w:szCs w:val="16"/>
        </w:rPr>
      </w:pPr>
      <w:r w:rsidRPr="00C00245">
        <w:rPr>
          <w:color w:val="000000"/>
          <w:sz w:val="16"/>
          <w:szCs w:val="16"/>
        </w:rPr>
        <w:t xml:space="preserve">Midwifery began as an informal, community-based practice carried out by experienced women who supported childbirth within local communities. Knowledge </w:t>
      </w:r>
      <w:bookmarkStart w:id="5" w:name="_Int_oVclBW39"/>
      <w:r w:rsidRPr="00C00245">
        <w:rPr>
          <w:color w:val="000000"/>
          <w:sz w:val="16"/>
          <w:szCs w:val="16"/>
        </w:rPr>
        <w:t>was shared</w:t>
      </w:r>
      <w:bookmarkEnd w:id="5"/>
      <w:r w:rsidRPr="00C00245">
        <w:rPr>
          <w:color w:val="000000"/>
          <w:sz w:val="16"/>
          <w:szCs w:val="16"/>
        </w:rPr>
        <w:t xml:space="preserve"> through tradition rather than formal training. During the nineteenth century, however, high maternal and infant mortality rates raised concerns about safety and standards of care. This led to legislative reform, most notably the Midwives Act 1902, which introduced compulsory training and professional registration. This marked a significant shift from unregulated practice to a recognised healthcare profession with defined responsibilities and accountability. The Act laid the foundation for structured antenatal care and formalised the midwife’s role within public health systems.</w:t>
      </w:r>
    </w:p>
    <w:p w14:paraId="6472D021" w14:textId="77777777" w:rsidR="008401FE" w:rsidRPr="00C00245" w:rsidRDefault="008401FE" w:rsidP="00DD0974">
      <w:pPr>
        <w:pStyle w:val="NormalWeb"/>
        <w:rPr>
          <w:color w:val="000000"/>
          <w:sz w:val="16"/>
          <w:szCs w:val="16"/>
        </w:rPr>
      </w:pPr>
      <w:r w:rsidRPr="00C00245">
        <w:rPr>
          <w:color w:val="000000"/>
          <w:sz w:val="16"/>
          <w:szCs w:val="16"/>
        </w:rPr>
        <w:t xml:space="preserve">The establishment of the National Health Service (NHS) in 1948 transformed access to maternity services. Healthcare became free at the point of delivery, reducing inequalities linked to income and social class. Although childbirth gradually shifted into hospital settings during the mid-twentieth century, community midwives </w:t>
      </w:r>
      <w:bookmarkStart w:id="6" w:name="_Int_unh5OImR"/>
      <w:r w:rsidRPr="00C00245">
        <w:rPr>
          <w:color w:val="000000"/>
          <w:sz w:val="16"/>
          <w:szCs w:val="16"/>
        </w:rPr>
        <w:t>retained</w:t>
      </w:r>
      <w:bookmarkEnd w:id="6"/>
      <w:r w:rsidRPr="00C00245">
        <w:rPr>
          <w:color w:val="000000"/>
          <w:sz w:val="16"/>
          <w:szCs w:val="16"/>
        </w:rPr>
        <w:t xml:space="preserve"> a crucial role in antenatal and postnatal care. Their responsibilities expanded beyond clinical assessment to include health promotion, advice on nutrition, smoking cessation, breastfeeding </w:t>
      </w:r>
      <w:bookmarkStart w:id="7" w:name="_Int_ab5KMmND"/>
      <w:r w:rsidRPr="00C00245">
        <w:rPr>
          <w:color w:val="000000"/>
          <w:sz w:val="16"/>
          <w:szCs w:val="16"/>
        </w:rPr>
        <w:t>support</w:t>
      </w:r>
      <w:bookmarkEnd w:id="7"/>
      <w:r w:rsidRPr="00C00245">
        <w:rPr>
          <w:color w:val="000000"/>
          <w:sz w:val="16"/>
          <w:szCs w:val="16"/>
        </w:rPr>
        <w:t xml:space="preserve"> and preparation for labour. This expansion reflected growing recognition that preventative care and early intervention improve outcomes for both mother and baby.</w:t>
      </w:r>
    </w:p>
    <w:p w14:paraId="23A75E9A" w14:textId="77777777" w:rsidR="008401FE" w:rsidRPr="00C00245" w:rsidRDefault="008401FE" w:rsidP="00DD0974">
      <w:pPr>
        <w:pStyle w:val="NormalWeb"/>
        <w:rPr>
          <w:color w:val="000000"/>
          <w:sz w:val="16"/>
          <w:szCs w:val="16"/>
        </w:rPr>
      </w:pPr>
      <w:r w:rsidRPr="00C00245">
        <w:rPr>
          <w:color w:val="000000"/>
          <w:sz w:val="16"/>
          <w:szCs w:val="16"/>
        </w:rPr>
        <w:t xml:space="preserve">Modern antenatal care </w:t>
      </w:r>
      <w:bookmarkStart w:id="8" w:name="_Int_m7gqU9oj"/>
      <w:r w:rsidRPr="00C00245">
        <w:rPr>
          <w:color w:val="000000"/>
          <w:sz w:val="16"/>
          <w:szCs w:val="16"/>
        </w:rPr>
        <w:t>is guided</w:t>
      </w:r>
      <w:bookmarkEnd w:id="8"/>
      <w:r w:rsidRPr="00C00245">
        <w:rPr>
          <w:color w:val="000000"/>
          <w:sz w:val="16"/>
          <w:szCs w:val="16"/>
        </w:rPr>
        <w:t xml:space="preserve"> by evidence-based recommendations. National guidelines outline routine appointment schedules, screening tests and risk assessments designed to show complications at an early stage. Midwives regularly </w:t>
      </w:r>
      <w:bookmarkStart w:id="9" w:name="_Int_TYbqro0a"/>
      <w:r w:rsidRPr="00C00245">
        <w:rPr>
          <w:color w:val="000000"/>
          <w:sz w:val="16"/>
          <w:szCs w:val="16"/>
        </w:rPr>
        <w:t>monitor</w:t>
      </w:r>
      <w:bookmarkEnd w:id="9"/>
      <w:r w:rsidRPr="00C00245">
        <w:rPr>
          <w:color w:val="000000"/>
          <w:sz w:val="16"/>
          <w:szCs w:val="16"/>
        </w:rPr>
        <w:t xml:space="preserve"> blood pressure, test urine </w:t>
      </w:r>
      <w:bookmarkStart w:id="10" w:name="_Int_a3A8Ps6O"/>
      <w:r w:rsidRPr="00C00245">
        <w:rPr>
          <w:color w:val="000000"/>
          <w:sz w:val="16"/>
          <w:szCs w:val="16"/>
        </w:rPr>
        <w:t>samples</w:t>
      </w:r>
      <w:bookmarkEnd w:id="10"/>
      <w:r w:rsidRPr="00C00245">
        <w:rPr>
          <w:color w:val="000000"/>
          <w:sz w:val="16"/>
          <w:szCs w:val="16"/>
        </w:rPr>
        <w:t xml:space="preserve"> and assess fetal growth to detect conditions such as pre-eclampsia or gestational diabetes. Screening programmes for chromosomal abnormalities and infectious diseases further </w:t>
      </w:r>
      <w:bookmarkStart w:id="11" w:name="_Int_mkWg3ZPU"/>
      <w:r w:rsidRPr="00C00245">
        <w:rPr>
          <w:color w:val="000000"/>
          <w:sz w:val="16"/>
          <w:szCs w:val="16"/>
        </w:rPr>
        <w:t>demonstrate</w:t>
      </w:r>
      <w:bookmarkEnd w:id="11"/>
      <w:r w:rsidRPr="00C00245">
        <w:rPr>
          <w:color w:val="000000"/>
          <w:sz w:val="16"/>
          <w:szCs w:val="16"/>
        </w:rPr>
        <w:t xml:space="preserve"> how community services integrate clinical research into everyday practice. By </w:t>
      </w:r>
      <w:bookmarkStart w:id="12" w:name="_Int_YAcBxCGV"/>
      <w:r w:rsidRPr="00C00245">
        <w:rPr>
          <w:color w:val="000000"/>
          <w:sz w:val="16"/>
          <w:szCs w:val="16"/>
        </w:rPr>
        <w:t>identifying</w:t>
      </w:r>
      <w:bookmarkEnd w:id="12"/>
      <w:r w:rsidRPr="00C00245">
        <w:rPr>
          <w:color w:val="000000"/>
          <w:sz w:val="16"/>
          <w:szCs w:val="16"/>
        </w:rPr>
        <w:t xml:space="preserve"> risks early, midwives can refer women to specialist obstetric services when </w:t>
      </w:r>
      <w:bookmarkStart w:id="13" w:name="_Int_wD54b49O"/>
      <w:r w:rsidRPr="00C00245">
        <w:rPr>
          <w:color w:val="000000"/>
          <w:sz w:val="16"/>
          <w:szCs w:val="16"/>
        </w:rPr>
        <w:t>required</w:t>
      </w:r>
      <w:bookmarkEnd w:id="13"/>
      <w:r w:rsidRPr="00C00245">
        <w:rPr>
          <w:color w:val="000000"/>
          <w:sz w:val="16"/>
          <w:szCs w:val="16"/>
        </w:rPr>
        <w:t>, ensuring collaborative and coordinated care.</w:t>
      </w:r>
    </w:p>
    <w:p w14:paraId="66E500E6" w14:textId="77777777" w:rsidR="008401FE" w:rsidRPr="00C00245" w:rsidRDefault="008401FE" w:rsidP="00DD0974">
      <w:pPr>
        <w:pStyle w:val="NormalWeb"/>
        <w:rPr>
          <w:color w:val="000000"/>
          <w:sz w:val="16"/>
          <w:szCs w:val="16"/>
        </w:rPr>
      </w:pPr>
      <w:r w:rsidRPr="00C00245">
        <w:rPr>
          <w:color w:val="000000"/>
          <w:sz w:val="16"/>
          <w:szCs w:val="16"/>
        </w:rPr>
        <w:t xml:space="preserve">Social inequality has significantly influenced the development of community antenatal services. Research shows that women from deprived backgrounds and minority ethnic groups experience higher rates of adverse maternal outcomes. In response, maternity strategies increasingly promote personalised and continuity-of-care models. Continuity means that women </w:t>
      </w:r>
      <w:bookmarkStart w:id="14" w:name="_Int_4zv54mGb"/>
      <w:r w:rsidRPr="00C00245">
        <w:rPr>
          <w:color w:val="000000"/>
          <w:sz w:val="16"/>
          <w:szCs w:val="16"/>
        </w:rPr>
        <w:t>are supported</w:t>
      </w:r>
      <w:bookmarkEnd w:id="14"/>
      <w:r w:rsidRPr="00C00245">
        <w:rPr>
          <w:color w:val="000000"/>
          <w:sz w:val="16"/>
          <w:szCs w:val="16"/>
        </w:rPr>
        <w:t xml:space="preserve"> by a named midwife or small team throughout pregnancy, strengthening trust and improving communication. Such approaches aim to enhance safety, empower women in </w:t>
      </w:r>
      <w:bookmarkStart w:id="15" w:name="_Int_zQ7MCPnB"/>
      <w:r w:rsidRPr="00C00245">
        <w:rPr>
          <w:color w:val="000000"/>
          <w:sz w:val="16"/>
          <w:szCs w:val="16"/>
        </w:rPr>
        <w:t>decision-making</w:t>
      </w:r>
      <w:bookmarkEnd w:id="15"/>
      <w:r w:rsidRPr="00C00245">
        <w:rPr>
          <w:color w:val="000000"/>
          <w:sz w:val="16"/>
          <w:szCs w:val="16"/>
        </w:rPr>
        <w:t xml:space="preserve"> and reduce disparities in care.</w:t>
      </w:r>
    </w:p>
    <w:p w14:paraId="7A607847" w14:textId="77777777" w:rsidR="008401FE" w:rsidRPr="00C00245" w:rsidRDefault="008401FE" w:rsidP="00DD0974">
      <w:pPr>
        <w:pStyle w:val="NormalWeb"/>
        <w:rPr>
          <w:color w:val="000000"/>
          <w:sz w:val="16"/>
          <w:szCs w:val="16"/>
        </w:rPr>
      </w:pPr>
      <w:r w:rsidRPr="00C00245">
        <w:rPr>
          <w:color w:val="000000"/>
          <w:sz w:val="16"/>
          <w:szCs w:val="16"/>
        </w:rPr>
        <w:t xml:space="preserve">In contemporary practice, the first booking appointment is comprehensive, covering medical history, mental </w:t>
      </w:r>
      <w:bookmarkStart w:id="16" w:name="_Int_CCcr5Lq4"/>
      <w:r w:rsidRPr="00C00245">
        <w:rPr>
          <w:color w:val="000000"/>
          <w:sz w:val="16"/>
          <w:szCs w:val="16"/>
        </w:rPr>
        <w:t>wellbeing</w:t>
      </w:r>
      <w:bookmarkEnd w:id="16"/>
      <w:r w:rsidRPr="00C00245">
        <w:rPr>
          <w:color w:val="000000"/>
          <w:sz w:val="16"/>
          <w:szCs w:val="16"/>
        </w:rPr>
        <w:t xml:space="preserve"> and social circumstances. Safeguarding considerations are central, as midwives may </w:t>
      </w:r>
      <w:bookmarkStart w:id="17" w:name="_Int_9MDjXniU"/>
      <w:r w:rsidRPr="00C00245">
        <w:rPr>
          <w:color w:val="000000"/>
          <w:sz w:val="16"/>
          <w:szCs w:val="16"/>
        </w:rPr>
        <w:t>identify</w:t>
      </w:r>
      <w:bookmarkEnd w:id="17"/>
      <w:r w:rsidRPr="00C00245">
        <w:rPr>
          <w:color w:val="000000"/>
          <w:sz w:val="16"/>
          <w:szCs w:val="16"/>
        </w:rPr>
        <w:t xml:space="preserve"> domestic abuse, housing insecurity or mental health concerns requiring referral to specialist services. This highlights the holistic nature of the role. Community midwives are not only clinicians but also advocates who support women’s autonomy and informed choice.</w:t>
      </w:r>
    </w:p>
    <w:p w14:paraId="61F33E3E" w14:textId="77777777" w:rsidR="008401FE" w:rsidRPr="00C00245" w:rsidRDefault="008401FE" w:rsidP="00DD0974">
      <w:pPr>
        <w:pStyle w:val="NormalWeb"/>
        <w:rPr>
          <w:color w:val="000000"/>
          <w:sz w:val="16"/>
          <w:szCs w:val="16"/>
        </w:rPr>
      </w:pPr>
      <w:r w:rsidRPr="00C00245">
        <w:rPr>
          <w:color w:val="000000"/>
          <w:sz w:val="16"/>
          <w:szCs w:val="16"/>
        </w:rPr>
        <w:t xml:space="preserve">Despite these strengths, challenges </w:t>
      </w:r>
      <w:bookmarkStart w:id="18" w:name="_Int_HARSFouI"/>
      <w:r w:rsidRPr="00C00245">
        <w:rPr>
          <w:color w:val="000000"/>
          <w:sz w:val="16"/>
          <w:szCs w:val="16"/>
        </w:rPr>
        <w:t>remain</w:t>
      </w:r>
      <w:bookmarkEnd w:id="18"/>
      <w:r w:rsidRPr="00C00245">
        <w:rPr>
          <w:color w:val="000000"/>
          <w:sz w:val="16"/>
          <w:szCs w:val="16"/>
        </w:rPr>
        <w:t xml:space="preserve">. Workforce shortages and increasing complexity of pregnancies place pressure on services. High caseloads can limit the time available for personalised support, potentially affecting quality of care. Reports into maternity safety emphasise the need for adequate staffing, effective </w:t>
      </w:r>
      <w:bookmarkStart w:id="19" w:name="_Int_MC8KJCgv"/>
      <w:r w:rsidRPr="00C00245">
        <w:rPr>
          <w:color w:val="000000"/>
          <w:sz w:val="16"/>
          <w:szCs w:val="16"/>
        </w:rPr>
        <w:t>communication</w:t>
      </w:r>
      <w:bookmarkEnd w:id="19"/>
      <w:r w:rsidRPr="00C00245">
        <w:rPr>
          <w:color w:val="000000"/>
          <w:sz w:val="16"/>
          <w:szCs w:val="16"/>
        </w:rPr>
        <w:t xml:space="preserve"> and strong leadership to prevent avoidable harm. Continued investment and culturally competent practice are essential to address persistent inequalities.</w:t>
      </w:r>
    </w:p>
    <w:p w14:paraId="4BA7B381" w14:textId="77777777" w:rsidR="008401FE" w:rsidRPr="00C00245" w:rsidRDefault="008401FE" w:rsidP="00DD0974">
      <w:pPr>
        <w:pStyle w:val="NormalWeb"/>
        <w:rPr>
          <w:color w:val="000000"/>
          <w:sz w:val="16"/>
          <w:szCs w:val="16"/>
        </w:rPr>
      </w:pPr>
      <w:r w:rsidRPr="00C00245">
        <w:rPr>
          <w:color w:val="000000"/>
          <w:sz w:val="16"/>
          <w:szCs w:val="16"/>
        </w:rPr>
        <w:t xml:space="preserve">Overall, community antenatal midwifery services have evolved from informal traditional practices into a regulated, evidence-based profession embedded within the NHS. Legislative reform, public health </w:t>
      </w:r>
      <w:bookmarkStart w:id="20" w:name="_Int_NemHHo2T"/>
      <w:r w:rsidRPr="00C00245">
        <w:rPr>
          <w:color w:val="000000"/>
          <w:sz w:val="16"/>
          <w:szCs w:val="16"/>
        </w:rPr>
        <w:t>development</w:t>
      </w:r>
      <w:bookmarkEnd w:id="20"/>
      <w:r w:rsidRPr="00C00245">
        <w:rPr>
          <w:color w:val="000000"/>
          <w:sz w:val="16"/>
          <w:szCs w:val="16"/>
        </w:rPr>
        <w:t xml:space="preserve"> and policy initiatives have shaped their progression. Although contemporary challenges persist, these services </w:t>
      </w:r>
      <w:bookmarkStart w:id="21" w:name="_Int_ZANKZ3lE"/>
      <w:r w:rsidRPr="00C00245">
        <w:rPr>
          <w:color w:val="000000"/>
          <w:sz w:val="16"/>
          <w:szCs w:val="16"/>
        </w:rPr>
        <w:t>remain</w:t>
      </w:r>
      <w:bookmarkEnd w:id="21"/>
      <w:r w:rsidRPr="00C00245">
        <w:rPr>
          <w:color w:val="000000"/>
          <w:sz w:val="16"/>
          <w:szCs w:val="16"/>
        </w:rPr>
        <w:t xml:space="preserve"> vital in promoting safe pregnancies, empowering </w:t>
      </w:r>
      <w:bookmarkStart w:id="22" w:name="_Int_tDGoCaS0"/>
      <w:r w:rsidRPr="00C00245">
        <w:rPr>
          <w:color w:val="000000"/>
          <w:sz w:val="16"/>
          <w:szCs w:val="16"/>
        </w:rPr>
        <w:t>women</w:t>
      </w:r>
      <w:bookmarkEnd w:id="22"/>
      <w:r w:rsidRPr="00C00245">
        <w:rPr>
          <w:color w:val="000000"/>
          <w:sz w:val="16"/>
          <w:szCs w:val="16"/>
        </w:rPr>
        <w:t xml:space="preserve"> and improving outcomes for families across the United Kingdom.</w:t>
      </w:r>
    </w:p>
    <w:p w14:paraId="7B9E33AD" w14:textId="77777777" w:rsidR="008401FE" w:rsidRPr="00C00245" w:rsidRDefault="008401FE" w:rsidP="00DD0974">
      <w:pPr>
        <w:pStyle w:val="NormalWeb"/>
        <w:rPr>
          <w:color w:val="000000"/>
          <w:sz w:val="16"/>
          <w:szCs w:val="16"/>
        </w:rPr>
      </w:pPr>
      <w:r w:rsidRPr="00C00245">
        <w:rPr>
          <w:color w:val="000000"/>
          <w:sz w:val="16"/>
          <w:szCs w:val="16"/>
        </w:rPr>
        <w:t>References</w:t>
      </w:r>
      <w:r w:rsidRPr="00C00245">
        <w:rPr>
          <w:color w:val="000000"/>
          <w:sz w:val="16"/>
          <w:szCs w:val="16"/>
        </w:rPr>
        <w:br/>
        <w:t>MBRRACE-UK (2023) Saving Lives, Improving Mothers’ Care. Available at:</w:t>
      </w:r>
      <w:r w:rsidRPr="00C00245">
        <w:rPr>
          <w:rStyle w:val="apple-converted-space"/>
          <w:color w:val="000000"/>
          <w:sz w:val="16"/>
          <w:szCs w:val="16"/>
        </w:rPr>
        <w:t> </w:t>
      </w:r>
      <w:hyperlink r:id="rId5" w:tgtFrame="_new" w:history="1">
        <w:r w:rsidRPr="00C00245">
          <w:rPr>
            <w:rStyle w:val="Hyperlink"/>
            <w:sz w:val="16"/>
            <w:szCs w:val="16"/>
          </w:rPr>
          <w:t>https://www.npeu.ox.ac.uk/mbrrace-uk/reports</w:t>
        </w:r>
      </w:hyperlink>
      <w:r w:rsidRPr="00C00245">
        <w:rPr>
          <w:color w:val="000000"/>
          <w:sz w:val="16"/>
          <w:szCs w:val="16"/>
        </w:rPr>
        <w:br/>
        <w:t>NHS England (2016) Better Births: Improving Outcomes of Maternity Services in England. Available at:</w:t>
      </w:r>
      <w:r w:rsidRPr="00C00245">
        <w:rPr>
          <w:rStyle w:val="apple-converted-space"/>
          <w:color w:val="000000"/>
          <w:sz w:val="16"/>
          <w:szCs w:val="16"/>
        </w:rPr>
        <w:t> </w:t>
      </w:r>
      <w:r w:rsidRPr="00C00245">
        <w:rPr>
          <w:color w:val="000000"/>
          <w:sz w:val="16"/>
          <w:szCs w:val="16"/>
        </w:rPr>
        <w:t>https://www.england.nhs.uk/mat-transformation/mat-review/</w:t>
      </w:r>
      <w:r w:rsidRPr="00C00245">
        <w:rPr>
          <w:color w:val="000000"/>
          <w:sz w:val="16"/>
          <w:szCs w:val="16"/>
        </w:rPr>
        <w:br/>
        <w:t>NICE (2021) Antenatal Care (NG201). Available at:</w:t>
      </w:r>
      <w:r w:rsidRPr="00C00245">
        <w:rPr>
          <w:rStyle w:val="apple-converted-space"/>
          <w:color w:val="000000"/>
          <w:sz w:val="16"/>
          <w:szCs w:val="16"/>
        </w:rPr>
        <w:t> </w:t>
      </w:r>
      <w:hyperlink r:id="rId6" w:tgtFrame="_new" w:history="1">
        <w:r w:rsidRPr="00C00245">
          <w:rPr>
            <w:rStyle w:val="Hyperlink"/>
            <w:sz w:val="16"/>
            <w:szCs w:val="16"/>
          </w:rPr>
          <w:t>https://www.nice.org.uk/guidance/ng201</w:t>
        </w:r>
      </w:hyperlink>
      <w:r w:rsidRPr="00C00245">
        <w:rPr>
          <w:color w:val="000000"/>
          <w:sz w:val="16"/>
          <w:szCs w:val="16"/>
        </w:rPr>
        <w:br/>
        <w:t>UK Parliament (1902) Midwives Act 1902. Available at:</w:t>
      </w:r>
      <w:r w:rsidRPr="00C00245">
        <w:rPr>
          <w:rStyle w:val="apple-converted-space"/>
          <w:color w:val="000000"/>
          <w:sz w:val="16"/>
          <w:szCs w:val="16"/>
        </w:rPr>
        <w:t> </w:t>
      </w:r>
      <w:hyperlink r:id="rId7" w:tgtFrame="_new" w:history="1">
        <w:r w:rsidRPr="00C00245">
          <w:rPr>
            <w:rStyle w:val="Hyperlink"/>
            <w:sz w:val="16"/>
            <w:szCs w:val="16"/>
          </w:rPr>
          <w:t>https://www.legislation.gov.uk/ukpga/Edw7/2/17/enacted</w:t>
        </w:r>
      </w:hyperlink>
      <w:r w:rsidRPr="00C00245">
        <w:rPr>
          <w:color w:val="000000"/>
          <w:sz w:val="16"/>
          <w:szCs w:val="16"/>
        </w:rPr>
        <w:br/>
        <w:t>World Health Organization (2016) WHO Recommendations on Antenatal Care for a Positive Pregnancy Experience. Available at:</w:t>
      </w:r>
      <w:r w:rsidRPr="00C00245">
        <w:rPr>
          <w:rStyle w:val="apple-converted-space"/>
          <w:color w:val="000000"/>
          <w:sz w:val="16"/>
          <w:szCs w:val="16"/>
        </w:rPr>
        <w:t> </w:t>
      </w:r>
      <w:hyperlink r:id="rId8" w:tgtFrame="_new" w:history="1">
        <w:r w:rsidRPr="00C00245">
          <w:rPr>
            <w:rStyle w:val="Hyperlink"/>
            <w:sz w:val="16"/>
            <w:szCs w:val="16"/>
          </w:rPr>
          <w:t>https://www.who.int/publications/i/item/9789241549912</w:t>
        </w:r>
      </w:hyperlink>
    </w:p>
    <w:p w14:paraId="7F316F8D" w14:textId="77777777" w:rsidR="008401FE" w:rsidRPr="00C00245" w:rsidRDefault="008401FE" w:rsidP="00DD0974">
      <w:pPr>
        <w:rPr>
          <w:sz w:val="16"/>
          <w:szCs w:val="16"/>
        </w:rPr>
      </w:pPr>
    </w:p>
    <w:p w14:paraId="2691703B" w14:textId="77777777" w:rsidR="008401FE" w:rsidRPr="00C00245" w:rsidRDefault="008401FE" w:rsidP="00DD0974">
      <w:pPr>
        <w:rPr>
          <w:sz w:val="16"/>
          <w:szCs w:val="16"/>
        </w:rPr>
      </w:pPr>
    </w:p>
    <w:p w14:paraId="09EFE4C9" w14:textId="77777777" w:rsidR="008401FE" w:rsidRDefault="008401FE"/>
    <w:sectPr w:rsidR="008401F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1FE"/>
    <w:rsid w:val="00071E25"/>
    <w:rsid w:val="000F0641"/>
    <w:rsid w:val="00102D99"/>
    <w:rsid w:val="00196F4C"/>
    <w:rsid w:val="001B1EB7"/>
    <w:rsid w:val="001F4FAB"/>
    <w:rsid w:val="00236630"/>
    <w:rsid w:val="002D2B7A"/>
    <w:rsid w:val="00335FF6"/>
    <w:rsid w:val="0035473D"/>
    <w:rsid w:val="00414370"/>
    <w:rsid w:val="00553C53"/>
    <w:rsid w:val="005B42C9"/>
    <w:rsid w:val="005E43F5"/>
    <w:rsid w:val="006A58B5"/>
    <w:rsid w:val="006E625F"/>
    <w:rsid w:val="006E7D37"/>
    <w:rsid w:val="006F7354"/>
    <w:rsid w:val="00727E16"/>
    <w:rsid w:val="007E584B"/>
    <w:rsid w:val="008353A9"/>
    <w:rsid w:val="008401FE"/>
    <w:rsid w:val="0085610A"/>
    <w:rsid w:val="00882B45"/>
    <w:rsid w:val="00882E4C"/>
    <w:rsid w:val="00896C57"/>
    <w:rsid w:val="008B6F88"/>
    <w:rsid w:val="008F2B5E"/>
    <w:rsid w:val="0090324B"/>
    <w:rsid w:val="00920ADC"/>
    <w:rsid w:val="009634A8"/>
    <w:rsid w:val="009E1583"/>
    <w:rsid w:val="00A347BB"/>
    <w:rsid w:val="00AC1B72"/>
    <w:rsid w:val="00AC2447"/>
    <w:rsid w:val="00B40669"/>
    <w:rsid w:val="00B739D9"/>
    <w:rsid w:val="00BC3C72"/>
    <w:rsid w:val="00BD059D"/>
    <w:rsid w:val="00BD2930"/>
    <w:rsid w:val="00BD2FA2"/>
    <w:rsid w:val="00BE24C0"/>
    <w:rsid w:val="00C5141A"/>
    <w:rsid w:val="00CC0027"/>
    <w:rsid w:val="00CD1025"/>
    <w:rsid w:val="00CF7156"/>
    <w:rsid w:val="00D51ADF"/>
    <w:rsid w:val="00D634C3"/>
    <w:rsid w:val="00D77F94"/>
    <w:rsid w:val="00DA06D7"/>
    <w:rsid w:val="00DD0974"/>
    <w:rsid w:val="00DE45BD"/>
    <w:rsid w:val="00E2016B"/>
    <w:rsid w:val="00E76139"/>
    <w:rsid w:val="00EC3470"/>
    <w:rsid w:val="00EC59B3"/>
    <w:rsid w:val="00EC6546"/>
    <w:rsid w:val="00F17393"/>
    <w:rsid w:val="00F95761"/>
    <w:rsid w:val="00FA4C3E"/>
    <w:rsid w:val="00FB40EC"/>
    <w:rsid w:val="00FE700D"/>
    <w:rsid w:val="00FE7514"/>
    <w:rsid w:val="00FF68D2"/>
    <w:rsid w:val="034458D2"/>
    <w:rsid w:val="045C084D"/>
    <w:rsid w:val="0580900F"/>
    <w:rsid w:val="05FCB115"/>
    <w:rsid w:val="060EEBF0"/>
    <w:rsid w:val="0626C2CB"/>
    <w:rsid w:val="066E815C"/>
    <w:rsid w:val="08D9F272"/>
    <w:rsid w:val="0A12B9E5"/>
    <w:rsid w:val="0C8A4FFB"/>
    <w:rsid w:val="10BDF3FA"/>
    <w:rsid w:val="116E8423"/>
    <w:rsid w:val="11F93BE2"/>
    <w:rsid w:val="14839523"/>
    <w:rsid w:val="14CBA7E0"/>
    <w:rsid w:val="194CBF61"/>
    <w:rsid w:val="1B4A468F"/>
    <w:rsid w:val="1C4224D8"/>
    <w:rsid w:val="1C84F339"/>
    <w:rsid w:val="1D7BD5F5"/>
    <w:rsid w:val="1FB45645"/>
    <w:rsid w:val="22AB3C4B"/>
    <w:rsid w:val="2466D846"/>
    <w:rsid w:val="26DB44E3"/>
    <w:rsid w:val="2751DE38"/>
    <w:rsid w:val="27F67533"/>
    <w:rsid w:val="28159C76"/>
    <w:rsid w:val="2A5028AE"/>
    <w:rsid w:val="2A71614C"/>
    <w:rsid w:val="30B94D73"/>
    <w:rsid w:val="312BB94B"/>
    <w:rsid w:val="34F912CC"/>
    <w:rsid w:val="38D3E994"/>
    <w:rsid w:val="3AF1F886"/>
    <w:rsid w:val="3D8094E9"/>
    <w:rsid w:val="3F315B41"/>
    <w:rsid w:val="40CC1BCE"/>
    <w:rsid w:val="41EF72E9"/>
    <w:rsid w:val="465A68ED"/>
    <w:rsid w:val="47348D44"/>
    <w:rsid w:val="4959B774"/>
    <w:rsid w:val="4B094A17"/>
    <w:rsid w:val="4B127F13"/>
    <w:rsid w:val="4BFD5487"/>
    <w:rsid w:val="4E0F18B1"/>
    <w:rsid w:val="4F0F343E"/>
    <w:rsid w:val="4F15D844"/>
    <w:rsid w:val="51383588"/>
    <w:rsid w:val="51392447"/>
    <w:rsid w:val="5155BE76"/>
    <w:rsid w:val="532DF44D"/>
    <w:rsid w:val="5398A184"/>
    <w:rsid w:val="53DA281E"/>
    <w:rsid w:val="57240064"/>
    <w:rsid w:val="573607E4"/>
    <w:rsid w:val="59C69719"/>
    <w:rsid w:val="59D483C9"/>
    <w:rsid w:val="5DAD5C32"/>
    <w:rsid w:val="5F4DEA2D"/>
    <w:rsid w:val="616DE336"/>
    <w:rsid w:val="619450BD"/>
    <w:rsid w:val="621DF8C2"/>
    <w:rsid w:val="62F5E253"/>
    <w:rsid w:val="634F5C56"/>
    <w:rsid w:val="6CA78D15"/>
    <w:rsid w:val="6E6D62C1"/>
    <w:rsid w:val="70B00952"/>
    <w:rsid w:val="732E9255"/>
    <w:rsid w:val="753EECB8"/>
    <w:rsid w:val="7A3C09E8"/>
    <w:rsid w:val="7BAA8D16"/>
    <w:rsid w:val="7BFE4448"/>
    <w:rsid w:val="7C880706"/>
    <w:rsid w:val="7D035AAD"/>
    <w:rsid w:val="7E318A8E"/>
    <w:rsid w:val="7FB6CBF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7C08E5"/>
  <w15:chartTrackingRefBased/>
  <w15:docId w15:val="{BA346023-54DE-4B46-8D05-CA518C0AF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1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1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1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1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1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1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1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1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1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1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1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1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1FE"/>
    <w:rPr>
      <w:rFonts w:eastAsiaTheme="majorEastAsia" w:cstheme="majorBidi"/>
      <w:color w:val="272727" w:themeColor="text1" w:themeTint="D8"/>
    </w:rPr>
  </w:style>
  <w:style w:type="paragraph" w:styleId="Title">
    <w:name w:val="Title"/>
    <w:basedOn w:val="Normal"/>
    <w:next w:val="Normal"/>
    <w:link w:val="TitleChar"/>
    <w:uiPriority w:val="10"/>
    <w:qFormat/>
    <w:rsid w:val="00840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1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1FE"/>
    <w:pPr>
      <w:spacing w:before="160"/>
      <w:jc w:val="center"/>
    </w:pPr>
    <w:rPr>
      <w:i/>
      <w:iCs/>
      <w:color w:val="404040" w:themeColor="text1" w:themeTint="BF"/>
    </w:rPr>
  </w:style>
  <w:style w:type="character" w:customStyle="1" w:styleId="QuoteChar">
    <w:name w:val="Quote Char"/>
    <w:basedOn w:val="DefaultParagraphFont"/>
    <w:link w:val="Quote"/>
    <w:uiPriority w:val="29"/>
    <w:rsid w:val="008401FE"/>
    <w:rPr>
      <w:i/>
      <w:iCs/>
      <w:color w:val="404040" w:themeColor="text1" w:themeTint="BF"/>
    </w:rPr>
  </w:style>
  <w:style w:type="paragraph" w:styleId="ListParagraph">
    <w:name w:val="List Paragraph"/>
    <w:basedOn w:val="Normal"/>
    <w:uiPriority w:val="34"/>
    <w:qFormat/>
    <w:rsid w:val="008401FE"/>
    <w:pPr>
      <w:ind w:left="720"/>
      <w:contextualSpacing/>
    </w:pPr>
  </w:style>
  <w:style w:type="character" w:styleId="IntenseEmphasis">
    <w:name w:val="Intense Emphasis"/>
    <w:basedOn w:val="DefaultParagraphFont"/>
    <w:uiPriority w:val="21"/>
    <w:qFormat/>
    <w:rsid w:val="008401FE"/>
    <w:rPr>
      <w:i/>
      <w:iCs/>
      <w:color w:val="0F4761" w:themeColor="accent1" w:themeShade="BF"/>
    </w:rPr>
  </w:style>
  <w:style w:type="paragraph" w:styleId="IntenseQuote">
    <w:name w:val="Intense Quote"/>
    <w:basedOn w:val="Normal"/>
    <w:next w:val="Normal"/>
    <w:link w:val="IntenseQuoteChar"/>
    <w:uiPriority w:val="30"/>
    <w:qFormat/>
    <w:rsid w:val="00840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1FE"/>
    <w:rPr>
      <w:i/>
      <w:iCs/>
      <w:color w:val="0F4761" w:themeColor="accent1" w:themeShade="BF"/>
    </w:rPr>
  </w:style>
  <w:style w:type="character" w:styleId="IntenseReference">
    <w:name w:val="Intense Reference"/>
    <w:basedOn w:val="DefaultParagraphFont"/>
    <w:uiPriority w:val="32"/>
    <w:qFormat/>
    <w:rsid w:val="008401FE"/>
    <w:rPr>
      <w:b/>
      <w:bCs/>
      <w:smallCaps/>
      <w:color w:val="0F4761" w:themeColor="accent1" w:themeShade="BF"/>
      <w:spacing w:val="5"/>
    </w:rPr>
  </w:style>
  <w:style w:type="paragraph" w:styleId="NormalWeb">
    <w:name w:val="Normal (Web)"/>
    <w:basedOn w:val="Normal"/>
    <w:uiPriority w:val="99"/>
    <w:semiHidden/>
    <w:unhideWhenUsed/>
    <w:rsid w:val="008401F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401FE"/>
  </w:style>
  <w:style w:type="character" w:styleId="Hyperlink">
    <w:name w:val="Hyperlink"/>
    <w:basedOn w:val="DefaultParagraphFont"/>
    <w:uiPriority w:val="99"/>
    <w:semiHidden/>
    <w:unhideWhenUsed/>
    <w:rsid w:val="008401FE"/>
    <w:rPr>
      <w:color w:val="0000FF"/>
      <w:u w:val="single"/>
    </w:rPr>
  </w:style>
  <w:style w:type="paragraph" w:customStyle="1" w:styleId="p1">
    <w:name w:val="p1"/>
    <w:basedOn w:val="Normal"/>
    <w:rsid w:val="009E1583"/>
    <w:pPr>
      <w:spacing w:after="0" w:line="240" w:lineRule="auto"/>
    </w:pPr>
    <w:rPr>
      <w:rFonts w:ascii="Helvetica" w:hAnsi="Helvetica" w:cs="Times New Roman"/>
      <w:color w:val="000000"/>
      <w:kern w:val="0"/>
      <w:sz w:val="15"/>
      <w:szCs w:val="15"/>
      <w14:ligatures w14:val="none"/>
    </w:rPr>
  </w:style>
  <w:style w:type="character" w:customStyle="1" w:styleId="s1">
    <w:name w:val="s1"/>
    <w:basedOn w:val="DefaultParagraphFont"/>
    <w:rsid w:val="009E1583"/>
    <w:rPr>
      <w:rFonts w:ascii="Helvetica" w:hAnsi="Helvetica" w:hint="default"/>
      <w:b w:val="0"/>
      <w:bCs w:val="0"/>
      <w:i w:val="0"/>
      <w:iCs w:val="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1549912" TargetMode="External"/><Relationship Id="rId3" Type="http://schemas.openxmlformats.org/officeDocument/2006/relationships/webSettings" Target="webSettings.xml"/><Relationship Id="rId7" Type="http://schemas.openxmlformats.org/officeDocument/2006/relationships/hyperlink" Target="https://www.legislation.gov.uk/ukpga/Edw7/2/17/enact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201" TargetMode="External"/><Relationship Id="rId5" Type="http://schemas.openxmlformats.org/officeDocument/2006/relationships/hyperlink" Target="https://www.npeu.ox.ac.uk/mbrrace-uk/reports"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Shaheen (2512331)</dc:creator>
  <cp:keywords/>
  <dc:description/>
  <cp:lastModifiedBy>Shabana Shaheen (2512331)</cp:lastModifiedBy>
  <cp:revision>6</cp:revision>
  <dcterms:created xsi:type="dcterms:W3CDTF">2026-02-19T05:55:00Z</dcterms:created>
  <dcterms:modified xsi:type="dcterms:W3CDTF">2026-02-19T16:42:00Z</dcterms:modified>
</cp:coreProperties>
</file>