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C37" w:rsidRPr="00EE5BC3" w:rsidRDefault="00094C37" w:rsidP="00094C37">
      <w:pPr>
        <w:jc w:val="center"/>
        <w:rPr>
          <w:sz w:val="28"/>
          <w:szCs w:val="28"/>
        </w:rPr>
      </w:pPr>
      <w:r w:rsidRPr="00EE5BC3">
        <w:rPr>
          <w:b/>
          <w:sz w:val="28"/>
          <w:szCs w:val="28"/>
        </w:rPr>
        <w:t>Task 3</w:t>
      </w:r>
    </w:p>
    <w:p w:rsidR="00094C37" w:rsidRPr="00EE5BC3" w:rsidRDefault="00094C37" w:rsidP="00094C37">
      <w:pPr>
        <w:jc w:val="center"/>
        <w:rPr>
          <w:b/>
          <w:sz w:val="28"/>
          <w:szCs w:val="28"/>
        </w:rPr>
      </w:pPr>
    </w:p>
    <w:p w:rsidR="00094C37" w:rsidRPr="00EE5BC3" w:rsidRDefault="00094C37" w:rsidP="00094C37">
      <w:pPr>
        <w:jc w:val="center"/>
        <w:rPr>
          <w:b/>
          <w:color w:val="auto"/>
          <w:sz w:val="28"/>
          <w:szCs w:val="28"/>
        </w:rPr>
      </w:pPr>
      <w:r w:rsidRPr="00EE5BC3">
        <w:rPr>
          <w:b/>
          <w:color w:val="auto"/>
          <w:sz w:val="28"/>
          <w:szCs w:val="28"/>
        </w:rPr>
        <w:t>Safeguarding and working in complex situations – Case Study</w:t>
      </w:r>
    </w:p>
    <w:p w:rsidR="00094C37" w:rsidRDefault="00094C37" w:rsidP="00094C37">
      <w:pPr>
        <w:rPr>
          <w:b/>
          <w:color w:val="auto"/>
          <w:sz w:val="24"/>
          <w:szCs w:val="24"/>
        </w:rPr>
      </w:pPr>
    </w:p>
    <w:p w:rsidR="00094C37" w:rsidRDefault="00094C37" w:rsidP="00094C37">
      <w:pPr>
        <w:rPr>
          <w:b/>
          <w:color w:val="auto"/>
          <w:sz w:val="24"/>
          <w:szCs w:val="24"/>
        </w:rPr>
      </w:pPr>
      <w:r>
        <w:rPr>
          <w:b/>
          <w:color w:val="auto"/>
          <w:sz w:val="24"/>
          <w:szCs w:val="24"/>
        </w:rPr>
        <w:t>Guidance;</w:t>
      </w:r>
    </w:p>
    <w:p w:rsidR="00094C37" w:rsidRPr="00706BB5" w:rsidRDefault="00094C37" w:rsidP="00094C37">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rsidR="00094C37" w:rsidRDefault="00094C37" w:rsidP="00094C37">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94C37" w:rsidRPr="008B28E7" w:rsidTr="008F01C7">
        <w:tc>
          <w:tcPr>
            <w:tcW w:w="10031" w:type="dxa"/>
            <w:shd w:val="clear" w:color="auto" w:fill="auto"/>
          </w:tcPr>
          <w:p w:rsidR="00094C37" w:rsidRPr="006872A0" w:rsidRDefault="00094C37" w:rsidP="008F01C7">
            <w:pPr>
              <w:jc w:val="both"/>
              <w:rPr>
                <w:b/>
                <w:sz w:val="24"/>
                <w:szCs w:val="24"/>
              </w:rPr>
            </w:pPr>
            <w:r w:rsidRPr="006872A0">
              <w:rPr>
                <w:b/>
                <w:sz w:val="24"/>
                <w:szCs w:val="24"/>
              </w:rPr>
              <w:t>Question</w:t>
            </w:r>
            <w:r>
              <w:rPr>
                <w:b/>
                <w:sz w:val="24"/>
                <w:szCs w:val="24"/>
              </w:rPr>
              <w:t>:</w:t>
            </w:r>
          </w:p>
          <w:p w:rsidR="00094C37" w:rsidRPr="00706BB5" w:rsidRDefault="00094C37" w:rsidP="008F01C7">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rsidR="00094C37" w:rsidRDefault="00094C37" w:rsidP="008F01C7">
            <w:pPr>
              <w:jc w:val="both"/>
              <w:rPr>
                <w:sz w:val="24"/>
                <w:szCs w:val="24"/>
              </w:rPr>
            </w:pPr>
          </w:p>
          <w:p w:rsidR="00094C37" w:rsidRDefault="00094C37" w:rsidP="008F01C7">
            <w:pPr>
              <w:jc w:val="both"/>
              <w:rPr>
                <w:sz w:val="24"/>
                <w:szCs w:val="24"/>
              </w:rPr>
            </w:pPr>
          </w:p>
          <w:p w:rsidR="00094C37" w:rsidRDefault="00094C37" w:rsidP="008F01C7">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rsidR="00094C37" w:rsidRDefault="00094C37" w:rsidP="008F01C7">
            <w:pPr>
              <w:jc w:val="both"/>
              <w:rPr>
                <w:i/>
                <w:sz w:val="24"/>
                <w:szCs w:val="24"/>
              </w:rPr>
            </w:pPr>
          </w:p>
          <w:p w:rsidR="00094C37" w:rsidRPr="00BD4C0F" w:rsidRDefault="00094C37" w:rsidP="008F01C7">
            <w:pPr>
              <w:rPr>
                <w:sz w:val="24"/>
                <w:szCs w:val="24"/>
              </w:rPr>
            </w:pPr>
            <w:r w:rsidRPr="00BD4C0F">
              <w:rPr>
                <w:sz w:val="24"/>
                <w:szCs w:val="24"/>
              </w:rPr>
              <w:t xml:space="preserve">This question will focus on a recent case that was open to me that concerns the safeguarding of a child. I will refer to this young person as 2 and I will start by providing some context of the case for the purpose of briefly explaining how this case developed to be one that consisted of a safeguarding concern and its relation to wider Welsh legislation. Following the Government of Wales Act 1998 coming into force in 1999, Wales received certain devolved powers with the Welsh Government receiving full control of public services. Wales received enhanced legislative powers following the Government of Wales Act 2006, therefore it’s crucial that care is taken when legislations prior to </w:t>
            </w:r>
            <w:proofErr w:type="spellStart"/>
            <w:r w:rsidRPr="00BD4C0F">
              <w:rPr>
                <w:sz w:val="24"/>
                <w:szCs w:val="24"/>
              </w:rPr>
              <w:t>GoWA</w:t>
            </w:r>
            <w:proofErr w:type="spellEnd"/>
            <w:r w:rsidRPr="00BD4C0F">
              <w:rPr>
                <w:sz w:val="24"/>
                <w:szCs w:val="24"/>
              </w:rPr>
              <w:t xml:space="preserve"> 2006 is considered in relation to the safeguarding of 2 (Law Wales, 2021). </w:t>
            </w:r>
          </w:p>
          <w:p w:rsidR="00094C37" w:rsidRPr="00BD4C0F" w:rsidRDefault="00094C37" w:rsidP="008F01C7">
            <w:pPr>
              <w:rPr>
                <w:sz w:val="24"/>
                <w:szCs w:val="24"/>
              </w:rPr>
            </w:pPr>
          </w:p>
          <w:p w:rsidR="00094C37" w:rsidRPr="00BD4C0F" w:rsidRDefault="00094C37" w:rsidP="008F01C7">
            <w:pPr>
              <w:rPr>
                <w:sz w:val="24"/>
                <w:szCs w:val="24"/>
              </w:rPr>
            </w:pPr>
            <w:r w:rsidRPr="00BD4C0F">
              <w:rPr>
                <w:sz w:val="24"/>
                <w:szCs w:val="24"/>
              </w:rPr>
              <w:t xml:space="preserve">During my time at CAMHS, this case was opened and closed to me within the span of 4 months and it was quickly identified that 2 and their family preferred communication through the medium of English. They were a young person in their late teens who lived with their parents and younger sibling who had autism in a relatively deprived area in North Wales and all dependant on dad for transport. It was also evident from the beginning that there was other communication needs that needed to be considered due to dad having a suspected learning disability and requiring the use of clear, </w:t>
            </w:r>
            <w:proofErr w:type="spellStart"/>
            <w:r w:rsidRPr="00BD4C0F">
              <w:rPr>
                <w:sz w:val="24"/>
                <w:szCs w:val="24"/>
              </w:rPr>
              <w:t>boundaried</w:t>
            </w:r>
            <w:proofErr w:type="spellEnd"/>
            <w:r w:rsidRPr="00BD4C0F">
              <w:rPr>
                <w:sz w:val="24"/>
                <w:szCs w:val="24"/>
              </w:rPr>
              <w:t xml:space="preserve"> language and also mum who did not verbally participate much within discussions. Prior to my involvement, the family were open to social services under care and support which focuses on an early intervention and prevention approach, but that the engagement of the family is not a statutory requirement (NSPCC, 2023). The Social Services and Wellbeing (Wales) Act 2014 underpins the local authority’s duty to assess and meet the needs of individuals who need care and support and it had been determined that 2 and their family met the necessary criteria (Law Wales, 2021). </w:t>
            </w:r>
          </w:p>
          <w:p w:rsidR="00094C37" w:rsidRPr="00BD4C0F" w:rsidRDefault="00094C37" w:rsidP="008F01C7">
            <w:pPr>
              <w:rPr>
                <w:sz w:val="24"/>
                <w:szCs w:val="24"/>
              </w:rPr>
            </w:pPr>
          </w:p>
          <w:p w:rsidR="00094C37" w:rsidRPr="00BD4C0F" w:rsidRDefault="00094C37" w:rsidP="008F01C7">
            <w:pPr>
              <w:rPr>
                <w:sz w:val="24"/>
                <w:szCs w:val="24"/>
              </w:rPr>
            </w:pPr>
          </w:p>
          <w:p w:rsidR="00094C37" w:rsidRPr="00BD4C0F" w:rsidRDefault="00094C37" w:rsidP="008F01C7">
            <w:pPr>
              <w:rPr>
                <w:sz w:val="24"/>
                <w:szCs w:val="24"/>
              </w:rPr>
            </w:pPr>
            <w:r w:rsidRPr="00BD4C0F">
              <w:rPr>
                <w:sz w:val="24"/>
                <w:szCs w:val="24"/>
              </w:rPr>
              <w:t xml:space="preserve">2 was initially assigned to me for care co-ordination which meant they qualified as a patient under secondary care. Being under secondary care entitled 2 to a care-coordinator as well as a specified care and treatment plan. This care and treatment plan covers various aspects such as education, accommodation and adherence to a treatment plan and was only completed with 2’s approval. How often the plan is reviewed is dependent on the young person’s level of need but can be changed if their presentation deems it to be necessary such as an increase in risk or shift in circumstances. Also, in Wales, a young person under secondary care that’s been discharged from a mental health service is also able to re-refer themselves back into the service within the first three years without seeing a GP first (Mind, 2023). In 2’s case, they were not initially assessed within a community setting as per usual practice but rather assessed through the crisis pathway as they’d presented on the ward due to expressing suicidal ideation. </w:t>
            </w:r>
          </w:p>
          <w:p w:rsidR="00094C37" w:rsidRPr="00BD4C0F" w:rsidRDefault="00094C37" w:rsidP="008F01C7">
            <w:pPr>
              <w:rPr>
                <w:sz w:val="24"/>
                <w:szCs w:val="24"/>
              </w:rPr>
            </w:pPr>
          </w:p>
          <w:p w:rsidR="00094C37" w:rsidRPr="00BD4C0F" w:rsidRDefault="00094C37" w:rsidP="008F01C7">
            <w:pPr>
              <w:rPr>
                <w:sz w:val="24"/>
                <w:szCs w:val="24"/>
              </w:rPr>
            </w:pPr>
            <w:r w:rsidRPr="00BD4C0F">
              <w:rPr>
                <w:sz w:val="24"/>
                <w:szCs w:val="24"/>
              </w:rPr>
              <w:t>A mental health crisis is when there’s a quick deterioration in someone’s mental health presentation that cannot be mitigated by the immediate family but rather requires an immediate review by the unscheduled crisis team as to assess the current risks as stipulated by the local health board. Worldwide, there has been an increase of people with mental health difficulties presenting in Emergency Departments and understandably, this has an impact on the staff’s ability to accurately assess a young person which inadvertently increases tensions for the patient and staff member (</w:t>
            </w:r>
            <w:proofErr w:type="spellStart"/>
            <w:r w:rsidRPr="00BD4C0F">
              <w:rPr>
                <w:sz w:val="24"/>
                <w:szCs w:val="24"/>
              </w:rPr>
              <w:t>Roennfeldt</w:t>
            </w:r>
            <w:proofErr w:type="spellEnd"/>
            <w:r w:rsidRPr="00BD4C0F">
              <w:rPr>
                <w:sz w:val="24"/>
                <w:szCs w:val="24"/>
              </w:rPr>
              <w:t>, H. </w:t>
            </w:r>
            <w:r w:rsidRPr="00BD4C0F">
              <w:rPr>
                <w:iCs/>
                <w:sz w:val="24"/>
                <w:szCs w:val="24"/>
              </w:rPr>
              <w:t xml:space="preserve">et al., </w:t>
            </w:r>
            <w:r w:rsidRPr="00BD4C0F">
              <w:rPr>
                <w:sz w:val="24"/>
                <w:szCs w:val="24"/>
              </w:rPr>
              <w:t xml:space="preserve">2021). Despite these existent barriers, the crisis team was able to identify a correlation between 2’s episode of crisis and a fallout with a close peer. 2 agreed that they would benefit from continued support whilst admitted to the paediatric ward but this was re-assessed during a follow up in order to avoid making a decision that may be skewed by their presenting needs within a crisis. </w:t>
            </w:r>
          </w:p>
          <w:p w:rsidR="00094C37" w:rsidRPr="00BD4C0F" w:rsidRDefault="00094C37" w:rsidP="008F01C7">
            <w:pPr>
              <w:rPr>
                <w:sz w:val="24"/>
                <w:szCs w:val="24"/>
              </w:rPr>
            </w:pPr>
          </w:p>
          <w:p w:rsidR="00094C37" w:rsidRPr="00BD4C0F" w:rsidRDefault="00094C37" w:rsidP="008F01C7">
            <w:pPr>
              <w:rPr>
                <w:sz w:val="24"/>
                <w:szCs w:val="24"/>
              </w:rPr>
            </w:pPr>
            <w:r w:rsidRPr="00BD4C0F">
              <w:rPr>
                <w:sz w:val="24"/>
                <w:szCs w:val="24"/>
              </w:rPr>
              <w:t xml:space="preserve">With 2’s consent, they were placed on CAMHS waiting list and later allocated to me but there were immediate difficulties with 2’s overall engagement with them and their father turning up 45 minutes late to their first appointment. Once 2 were eventually seen, there were apparent hesitancy regarding wanting to support for their mental health and it had to be made clear that their engagement had to be voluntary. Not only does a young person have input into how they think their care and treatment plan should look like, they also have a right to disagree with receiving support altogether and this choice requires just as much respect (Mind, 2022). But if a young person does choose to disengage, this can cause an internal conflict for the practitioner as they can no longer accurately assess risk on an ongoing basis, especially if they have recently been in crisis such as in 2’s case. This will then inadvertently impact the practitioner’s ability to liaise with the wider multi-disciplinary team to ensure that the necessary safeguarding measures are being implemented. </w:t>
            </w:r>
          </w:p>
          <w:p w:rsidR="00094C37" w:rsidRPr="00BD4C0F" w:rsidRDefault="00094C37" w:rsidP="008F01C7">
            <w:pPr>
              <w:pStyle w:val="NormalWeb"/>
              <w:rPr>
                <w:rFonts w:ascii="Arial" w:hAnsi="Arial" w:cs="Arial"/>
                <w:color w:val="262326"/>
              </w:rPr>
            </w:pPr>
            <w:r w:rsidRPr="00BD4C0F">
              <w:rPr>
                <w:rFonts w:ascii="Arial" w:hAnsi="Arial" w:cs="Arial"/>
              </w:rPr>
              <w:t xml:space="preserve">The family’s allocated social worker later shared that 2 wished to continue with CAMHS involvement due to their belief that they were suffering from ‘depression’ but the impact that this may be having on their overall wellbeing couldn’t be assessed due to continued difficulties with engagement. Depression is related to increased risk of suicide as well as contributes to self-harm and self-neglect, therefore it’s important for an individual who may be experiencing symptoms of </w:t>
            </w:r>
            <w:r w:rsidRPr="00BD4C0F">
              <w:rPr>
                <w:rFonts w:ascii="Arial" w:hAnsi="Arial" w:cs="Arial"/>
              </w:rPr>
              <w:lastRenderedPageBreak/>
              <w:t>depression to be frequently assessed with a focus on adopting a systemic approach to ensure that the risks are being mitigated (</w:t>
            </w:r>
            <w:r w:rsidRPr="00BD4C0F">
              <w:rPr>
                <w:rFonts w:ascii="Arial" w:hAnsi="Arial" w:cs="Arial"/>
                <w:color w:val="000000"/>
              </w:rPr>
              <w:t>Vail, L. </w:t>
            </w:r>
            <w:r w:rsidRPr="00BD4C0F">
              <w:rPr>
                <w:rFonts w:ascii="Arial" w:hAnsi="Arial" w:cs="Arial"/>
                <w:iCs/>
                <w:color w:val="000000"/>
              </w:rPr>
              <w:t>et al.</w:t>
            </w:r>
            <w:r w:rsidRPr="00BD4C0F">
              <w:rPr>
                <w:rFonts w:ascii="Arial" w:hAnsi="Arial" w:cs="Arial"/>
                <w:color w:val="000000"/>
              </w:rPr>
              <w:t>, 2012). 2’s next appointment was not able to take place for another 6 weeks despite several appointments offered and continuous contact with 2’s father. This continued pattern raised safeguarding concerns due to the already existing concerns around risk to self as well as the local health board’s implementation of the ‘Was not brought policy’. T</w:t>
            </w:r>
            <w:r w:rsidRPr="00BD4C0F">
              <w:rPr>
                <w:rFonts w:ascii="Arial" w:hAnsi="Arial" w:cs="Arial"/>
                <w:color w:val="262326"/>
              </w:rPr>
              <w:t>he Welsh Government’s Delivery Assurance Group and the National Expert Reference Group agreed on an all Wales protocol (</w:t>
            </w:r>
            <w:r w:rsidRPr="00BD4C0F">
              <w:rPr>
                <w:rFonts w:ascii="Arial" w:hAnsi="Arial" w:cs="Arial"/>
                <w:color w:val="000000"/>
              </w:rPr>
              <w:t xml:space="preserve">Healthcare </w:t>
            </w:r>
            <w:proofErr w:type="spellStart"/>
            <w:r w:rsidRPr="00BD4C0F">
              <w:rPr>
                <w:rFonts w:ascii="Arial" w:hAnsi="Arial" w:cs="Arial"/>
                <w:color w:val="000000"/>
              </w:rPr>
              <w:t>Inspecorate</w:t>
            </w:r>
            <w:proofErr w:type="spellEnd"/>
            <w:r w:rsidRPr="00BD4C0F">
              <w:rPr>
                <w:rFonts w:ascii="Arial" w:hAnsi="Arial" w:cs="Arial"/>
                <w:color w:val="000000"/>
              </w:rPr>
              <w:t xml:space="preserve"> Wales &amp; Wales Audit Office, 2013)</w:t>
            </w:r>
            <w:r w:rsidRPr="00BD4C0F">
              <w:rPr>
                <w:rFonts w:ascii="Arial" w:hAnsi="Arial" w:cs="Arial"/>
                <w:color w:val="262326"/>
              </w:rPr>
              <w:t xml:space="preserve"> that requires a professional to consider if there are safeguarding concerns if a child is repeatedly not brought to medical appointments (</w:t>
            </w:r>
            <w:proofErr w:type="spellStart"/>
            <w:r w:rsidRPr="00BD4C0F">
              <w:rPr>
                <w:rFonts w:ascii="Arial" w:hAnsi="Arial" w:cs="Arial"/>
                <w:color w:val="262326"/>
              </w:rPr>
              <w:t>Hywel</w:t>
            </w:r>
            <w:proofErr w:type="spellEnd"/>
            <w:r w:rsidRPr="00BD4C0F">
              <w:rPr>
                <w:rFonts w:ascii="Arial" w:hAnsi="Arial" w:cs="Arial"/>
                <w:color w:val="262326"/>
              </w:rPr>
              <w:t xml:space="preserve"> </w:t>
            </w:r>
            <w:proofErr w:type="spellStart"/>
            <w:r w:rsidRPr="00BD4C0F">
              <w:rPr>
                <w:rFonts w:ascii="Arial" w:hAnsi="Arial" w:cs="Arial"/>
                <w:color w:val="262326"/>
              </w:rPr>
              <w:t>Dda</w:t>
            </w:r>
            <w:proofErr w:type="spellEnd"/>
            <w:r w:rsidRPr="00BD4C0F">
              <w:rPr>
                <w:rFonts w:ascii="Arial" w:hAnsi="Arial" w:cs="Arial"/>
                <w:color w:val="262326"/>
              </w:rPr>
              <w:t xml:space="preserve"> University Health Board, 2020). Under The Children Act 1989, section 105 a child is defined as a person under the age of 18 and due to 2’s age, they were dependent on their parents for transport and for arranging all their appointments, so their non-attendance indicated that their needs were not being met by their parents as outlined under Article 24 of the United Nations Convention on the Rights of the Child 1989 (UNCRC) (UNICEF UK, 1990) that recognises a child’s right to healthcare. </w:t>
            </w:r>
          </w:p>
          <w:p w:rsidR="00094C37" w:rsidRPr="00BD4C0F" w:rsidRDefault="00094C37" w:rsidP="008F01C7">
            <w:pPr>
              <w:pStyle w:val="NormalWeb"/>
              <w:rPr>
                <w:rFonts w:ascii="Arial" w:hAnsi="Arial" w:cs="Arial"/>
              </w:rPr>
            </w:pPr>
            <w:r w:rsidRPr="00BD4C0F">
              <w:rPr>
                <w:rFonts w:ascii="Arial" w:hAnsi="Arial" w:cs="Arial"/>
              </w:rPr>
              <w:t xml:space="preserve">As highlighted under section 130 of the Social Services and Wellbeing (Wales) Act 2014, if there are suspicions that a child is at risk, a relevant partner (as specified under section 162) has a duty to report this to the local authority. In 2’s case, it did not matter that they were already open to social services and it did not negate my duty to share my concerns (Safeguarding Wales). I contacted their allocated social worker and an MDT (multi-disciplinary team) meeting took place prior to 2’s second appointment taking place. MDT’s provides a forum to bring practitioners from across health, social care and education whilst ensuring that the individuals and families remains central in any decision-making (SCIE, 2018). From a CAMHS perspective, I had minimal current information to share regarding 2’s progress but highlighted that this was mainly due to the minimal engagement and that this in itself was a grave concern due to the associated risks. The whole wider team agreed with me, but it was also crucial to manage their expectations as to what we could offer. As my direct observations of 2 had been scarce, I was heavily dependent on the other professional’s input but remained mindful of any possible bias resulting from the information provided. Bias does not need to be intentional but we all hold certain social stereotypes when it comes to what we consider to be ‘safe’ or ‘unsafe (Stuart, 2016) and I already held an unsavoury opinion due to the family’s inconsistent engagement and perceived lack of care. </w:t>
            </w:r>
          </w:p>
          <w:p w:rsidR="00094C37" w:rsidRPr="00BD4C0F" w:rsidRDefault="00094C37" w:rsidP="008F01C7">
            <w:pPr>
              <w:pStyle w:val="NormalWeb"/>
              <w:rPr>
                <w:rFonts w:ascii="Arial" w:hAnsi="Arial" w:cs="Arial"/>
              </w:rPr>
            </w:pPr>
            <w:r w:rsidRPr="00BD4C0F">
              <w:rPr>
                <w:rFonts w:ascii="Arial" w:hAnsi="Arial" w:cs="Arial"/>
              </w:rPr>
              <w:t xml:space="preserve">The wider team was able to provide more detailed information around the family’s dynamics as well as some concerning chronological events. An incident was discussed at length that resulted in 2 being admitted to the paediatric ward following a drug overdose. This was deemed not mental health related therefore, they were not seen by CAMHS but the incident was incredibly alarming from a safeguarding perspective. It had been discovered that 2 and their peers had consumed a mixture of illegal substances at 2’s house that their dad had inadvertently assisted them to obtain. Due to the high level of risk posed to 2 during this situation and previous queries around dad possibly having a learning difficulty, dad’s capacity was questioned by the wider multi-disciplinary team. Capacity refers to a person’s ability to understand information and use this information to make decisions about their lives. If someone lacks capacity, then </w:t>
            </w:r>
            <w:r w:rsidRPr="00BD4C0F">
              <w:rPr>
                <w:rFonts w:ascii="Arial" w:hAnsi="Arial" w:cs="Arial"/>
              </w:rPr>
              <w:lastRenderedPageBreak/>
              <w:t xml:space="preserve">they’re unable to make a decision either in the short or long-term (Mind, 2023). When this conversation occurred, I took the time to notice the discomfort I felt as capacity is something that requires proper assessment and the Mental Capacity Act 2005 stipulates that it must be assumed that a person has capacity unless it’s otherwise established. The professionals were reminded of this fact and that caution should be taken around this specific topic as to avoid making assumptions on a matter that wasn’t yet demonstrated. As it was queried whether dad had a learning difficulty, it was understandable for the team to question whether this may have an impact on his parenting ability, but that they also remain mindful that this does not automatically mean a lack of capacity. </w:t>
            </w:r>
          </w:p>
          <w:p w:rsidR="00094C37" w:rsidRPr="00BD4C0F" w:rsidRDefault="00094C37" w:rsidP="008F01C7">
            <w:pPr>
              <w:pStyle w:val="NormalWeb"/>
              <w:rPr>
                <w:rFonts w:ascii="Arial" w:hAnsi="Arial" w:cs="Arial"/>
              </w:rPr>
            </w:pPr>
            <w:r w:rsidRPr="00BD4C0F">
              <w:rPr>
                <w:rFonts w:ascii="Arial" w:hAnsi="Arial" w:cs="Arial"/>
              </w:rPr>
              <w:t xml:space="preserve">Regarding 2’s father, it would be unwise to just assume that his speculated learning difficulty would be an automatic safeguarding concern, but research indicates that it does often increase the likelihood of an absence of order and routine in family life (Cleaver &amp; Nicholson, 2007). This was later confirmed by 2 in their second appointment with myself where they shared their dissatisfaction with their current living situation due to the family home’s uncleanliness and chaos. 2 also had a sibling with a disability which could be stressful for any parent and often leads to a sibling such as 2 either feeling or being neglected (Epstein et al., 2008). Taking into consideration 2’s age and the changes that inevitably come with entering </w:t>
            </w:r>
            <w:proofErr w:type="spellStart"/>
            <w:r w:rsidRPr="00BD4C0F">
              <w:rPr>
                <w:rFonts w:ascii="Arial" w:hAnsi="Arial" w:cs="Arial"/>
              </w:rPr>
              <w:t>teenagerhood</w:t>
            </w:r>
            <w:proofErr w:type="spellEnd"/>
            <w:r w:rsidRPr="00BD4C0F">
              <w:rPr>
                <w:rFonts w:ascii="Arial" w:hAnsi="Arial" w:cs="Arial"/>
              </w:rPr>
              <w:t xml:space="preserve"> such as puberty and experimentation with substances (Cleaver et al., 2011), it was concerning to hear this distress over the home conditions as well as their fixed view on rather being homeless. </w:t>
            </w:r>
          </w:p>
          <w:p w:rsidR="00094C37" w:rsidRPr="00BD4C0F" w:rsidRDefault="00094C37" w:rsidP="008F01C7">
            <w:pPr>
              <w:pStyle w:val="NormalWeb"/>
              <w:rPr>
                <w:rFonts w:ascii="Arial" w:hAnsi="Arial" w:cs="Arial"/>
                <w:color w:val="FF0000"/>
              </w:rPr>
            </w:pPr>
            <w:r w:rsidRPr="00BD4C0F">
              <w:rPr>
                <w:rFonts w:ascii="Arial" w:hAnsi="Arial" w:cs="Arial"/>
              </w:rPr>
              <w:t xml:space="preserve">Section 20 of the Children Act 1989 places a duty on the local authority to provide accommodation to any ‘child in need’ who lacks suitable accommodation or care and where this duty is owed, it takes precedence over the duties in the Housing Act 1996. Within Wales, section 76 of the Social Services and Wellbeing (Wales) Act 2014 places a duty on the local authority to provide accommodation to any child who appears to be need but this responsibility is negated if it’s determined that their guardian is willing and able to provide suitable accommodation. Due to the already known vulnerabilities, I was instantly concerned about the danger this would pose to 2 as well as the difficulty they would have in maintaining independence due to risks associated with their mental health presentation. It had also been identified that 2 had a propensity to develop strong attachments to fellow peers as well as form intense reliance on others that would ultimately make them more susceptible to being influenced or coerced.  According to Erikson (1968), there are specific stages an individual goes through as they change in life, one being ‘Identity v Role Confusion’. As a young person transitions from childhood to adulthood, they regularly feel lost about how they fit into society and it’s important that they are able to build an identity that’s formed around distinct experiences (Cherry, 2023). It’s also recognised that peer influence is also important for adolescents when forming this identity (Kroger, 2017) but it would be presumed that 2 is left in a position of role confusion due to all the barriers in the way of this exploration (Cherry, 2023).  </w:t>
            </w:r>
          </w:p>
          <w:p w:rsidR="00094C37" w:rsidRPr="00BD4C0F" w:rsidRDefault="00094C37" w:rsidP="008F01C7">
            <w:pPr>
              <w:pStyle w:val="NormalWeb"/>
              <w:rPr>
                <w:rFonts w:ascii="Arial" w:hAnsi="Arial" w:cs="Arial"/>
              </w:rPr>
            </w:pPr>
            <w:r w:rsidRPr="00BD4C0F">
              <w:rPr>
                <w:rFonts w:ascii="Arial" w:hAnsi="Arial" w:cs="Arial"/>
              </w:rPr>
              <w:t xml:space="preserve">Whilst it only being the second appointment with 2, my own professional assessment and formulation was still continuing and my assertion that the majority of 2’s difficulties stemmed from their environment continued to be supported.  Maslow’s hierarchy of needs (Maslow, 1943) sets out human needs into a </w:t>
            </w:r>
            <w:r w:rsidRPr="00BD4C0F">
              <w:rPr>
                <w:rFonts w:ascii="Arial" w:hAnsi="Arial" w:cs="Arial"/>
              </w:rPr>
              <w:lastRenderedPageBreak/>
              <w:t>hierarchy with the survival needs being at the bottom. These survival needs are summarised as air, food, drink, shelter as well as clothing and without these being fulfilled, they cannot move up the hierarchy to the next level. Without these basic necessities, any person would find it difficult to attain the motivation to be hopeful about matters ever improving and this was evident in 2’s case. The next level refers to safety which can be fulfilled by family and society but as this was also not being achieved, the likelihood of 2 moving up the hierarchy and fulfilling their full potential was evidently unlikely (McLeod, 2023). This developing formulation and further insight also raised ethical questions for me as feeling safe and secure is essential for a young person if the intention is to carry out a meaningful therapeutic intervention. This is further underpinned as medical practitioners, we are responsible for adhering to four main ethical principles which are beneficence, non-maleficence, autonomy and justice all of which underpin our decision-making when it comes to patient care. Beneficence can be traced back to the principle of ‘do no harm’ and establishes that practitioners must act for the patient’s benefit and promote their welfare (</w:t>
            </w:r>
            <w:proofErr w:type="spellStart"/>
            <w:r w:rsidRPr="00BD4C0F">
              <w:rPr>
                <w:rFonts w:ascii="Arial" w:hAnsi="Arial" w:cs="Arial"/>
              </w:rPr>
              <w:t>Varkey</w:t>
            </w:r>
            <w:proofErr w:type="spellEnd"/>
            <w:r w:rsidRPr="00BD4C0F">
              <w:rPr>
                <w:rFonts w:ascii="Arial" w:hAnsi="Arial" w:cs="Arial"/>
              </w:rPr>
              <w:t xml:space="preserve">, 2020). In 2’s case, it could be concluded that by encouraging them to continue engaging in therapy whilst they remain in an unstable environment not only places the onus on only 2 needing to make changes but also that I as a practitioner was not making the necessary steps to remove conditions that are causing them harm.   </w:t>
            </w:r>
          </w:p>
          <w:p w:rsidR="00094C37" w:rsidRPr="00BD4C0F" w:rsidRDefault="00094C37" w:rsidP="008F01C7">
            <w:pPr>
              <w:pStyle w:val="NormalWeb"/>
              <w:rPr>
                <w:rFonts w:ascii="Arial" w:hAnsi="Arial" w:cs="Arial"/>
              </w:rPr>
            </w:pPr>
            <w:r w:rsidRPr="00BD4C0F">
              <w:rPr>
                <w:rFonts w:ascii="Arial" w:hAnsi="Arial" w:cs="Arial"/>
              </w:rPr>
              <w:t>A few days following the second appointment that had taken place within a space of two months, 2 presented on the children’s ward in the early hours following an overdose. Protocol dictates that any child who presents in the Emergency Department following a mental health crisis must be seen by a member of the unscheduled team (NICE, 2022) as to determine continuing risk. Ideally, we would like to prevent a child from reaching a crisis point by working with the family (</w:t>
            </w:r>
            <w:proofErr w:type="spellStart"/>
            <w:r w:rsidRPr="00BD4C0F">
              <w:rPr>
                <w:rFonts w:ascii="Arial" w:hAnsi="Arial" w:cs="Arial"/>
              </w:rPr>
              <w:t>Criddle</w:t>
            </w:r>
            <w:proofErr w:type="spellEnd"/>
            <w:r w:rsidRPr="00BD4C0F">
              <w:rPr>
                <w:rFonts w:ascii="Arial" w:hAnsi="Arial" w:cs="Arial"/>
              </w:rPr>
              <w:t xml:space="preserve"> and Davies, 2019) but currently, the local emergency department is not covered by a children’s mental health practitioner at night and the community team’s hours are limited to between 09:00am and 5:00pm. As 2 presented in the early hours, they had to wait until the start of the staff’s shift at 09:00am. But, this review wasn’t able to take place as 2 had absconded from the hospital prior to being seen and was instead out in the community being located by the police. Hospital staff had managed to carry out blood tests and they indicated that 2 did not require further medical intervention, but after consulting with </w:t>
            </w:r>
            <w:proofErr w:type="spellStart"/>
            <w:r w:rsidRPr="00BD4C0F">
              <w:rPr>
                <w:rFonts w:ascii="Arial" w:hAnsi="Arial" w:cs="Arial"/>
              </w:rPr>
              <w:t>toxbase</w:t>
            </w:r>
            <w:proofErr w:type="spellEnd"/>
            <w:r w:rsidRPr="00BD4C0F">
              <w:rPr>
                <w:rFonts w:ascii="Arial" w:hAnsi="Arial" w:cs="Arial"/>
              </w:rPr>
              <w:t>, it was then discovered that these took place too early and may have not displayed complete accuracy due to consideration given to the rate of ingestion and possible delayed-onset toxicity (NICE). Understandably, without observations and the police’s difficult in locating them, there was no way of assessing or ensuring 2’s mental or physical wellbeing. Coincidentally, on the same day a care and support review meeting was due to take place between health, education, the local authority and family.</w:t>
            </w:r>
          </w:p>
          <w:p w:rsidR="00094C37" w:rsidRPr="00BD4C0F" w:rsidRDefault="00094C37" w:rsidP="008F01C7">
            <w:pPr>
              <w:pStyle w:val="NormalWeb"/>
              <w:rPr>
                <w:rFonts w:ascii="Arial" w:hAnsi="Arial" w:cs="Arial"/>
              </w:rPr>
            </w:pPr>
            <w:r w:rsidRPr="00BD4C0F">
              <w:rPr>
                <w:rFonts w:ascii="Arial" w:hAnsi="Arial" w:cs="Arial"/>
              </w:rPr>
              <w:t xml:space="preserve">2 was eventually located and brought to the hospital but another obstacle arose due to 2’s refusal to attend the hospital and there was no way for a comprehensive assessment to be carried out. Rational Choice Theory (Smith, 1776) helps professionals understand why an individual might be doing certain things or getting into certain situations even when they appear questionable or self-destructive. This in return will hopefully inform their intervention and promote engagement (2022). But whilst attempts were made to encourage them into the hospital, 2 remained </w:t>
            </w:r>
            <w:r w:rsidRPr="00BD4C0F">
              <w:rPr>
                <w:rFonts w:ascii="Arial" w:hAnsi="Arial" w:cs="Arial"/>
              </w:rPr>
              <w:lastRenderedPageBreak/>
              <w:t xml:space="preserve">fixed on their decision but couldn’t provide a valid reason.   Whilst 2 remained outside, the MDT review went ahead and a colleague based at the hospital agreed to attend the meeting with the parents alongside him. It was explained that 2 was accompanied by another staff member on hospital grounds and the parents were queried on the events following up to 2’s admission. They advised that 2 had been caught out engaging in hurtful conversations about a close friend and 2 had previously referred to this friend as their ‘other half’ and a possible fracture to this strong attachment provided some insight into their very extreme reaction. Attachment is a clinical term that describes a “psychological connectedness between human beings” (Bowlby, 1997) and attachment theory highlights that any disruption to a child’s bond with their caregiver in infancy will impact their future relationships as well as their emotional and psychological state (NSPCC, 2021).  It was clear that 2 valued their friendships much greater than their relations with their family and this unbalanced attachment evidently increased their risk. </w:t>
            </w:r>
          </w:p>
          <w:p w:rsidR="00094C37" w:rsidRPr="00BD4C0F" w:rsidRDefault="00094C37" w:rsidP="008F01C7">
            <w:pPr>
              <w:pStyle w:val="NormalWeb"/>
              <w:rPr>
                <w:rFonts w:ascii="Arial" w:hAnsi="Arial" w:cs="Arial"/>
                <w:color w:val="000000"/>
                <w:spacing w:val="-1"/>
                <w:shd w:val="clear" w:color="auto" w:fill="FFFFFF"/>
              </w:rPr>
            </w:pPr>
            <w:r w:rsidRPr="00BD4C0F">
              <w:rPr>
                <w:rFonts w:ascii="Arial" w:hAnsi="Arial" w:cs="Arial"/>
              </w:rPr>
              <w:t xml:space="preserve">As part of their previous admission and discharge, a safety plan was agreed upon between the young person and family with an onus placed on the parents to take specific safety measures such as locking away all medication. As this was 2’s second admission, it was assumed that the safety plan had not been adhered to and therefore placing 2 at risk of significant harm that could end with catastrophic consequences. Section 31 of the Children Act 1989 defines ‘harm’ as the </w:t>
            </w:r>
            <w:r w:rsidRPr="00BD4C0F">
              <w:rPr>
                <w:rFonts w:ascii="Arial" w:hAnsi="Arial" w:cs="Arial"/>
                <w:color w:val="000000"/>
                <w:spacing w:val="-1"/>
                <w:shd w:val="clear" w:color="auto" w:fill="FFFFFF"/>
              </w:rPr>
              <w:t xml:space="preserve">“ill treatment or the impairment of the health or development of the child” and whether it’s significant or not is determined by comparing their health and development with what would be reasonably expected from a similar child.  Conversations then continued onto the current care package as section 54 of the Social Services and Well-being (Wales) Act 2014 underlines the requirement to regularly review it with the input of the family and revise it if their circumstances have changed in any way. Understandably, conversations were focused on the development in 2’s mental state and on what the professionals felt would be best for them. </w:t>
            </w:r>
          </w:p>
          <w:p w:rsidR="00094C37" w:rsidRPr="00BD4C0F" w:rsidRDefault="00094C37" w:rsidP="008F01C7">
            <w:pPr>
              <w:pStyle w:val="NormalWeb"/>
              <w:rPr>
                <w:rFonts w:ascii="Arial" w:hAnsi="Arial" w:cs="Arial"/>
              </w:rPr>
            </w:pPr>
            <w:r w:rsidRPr="00BD4C0F">
              <w:rPr>
                <w:rFonts w:ascii="Arial" w:hAnsi="Arial" w:cs="Arial"/>
                <w:color w:val="000000"/>
                <w:spacing w:val="-1"/>
                <w:shd w:val="clear" w:color="auto" w:fill="FFFFFF"/>
              </w:rPr>
              <w:t>As the mental health professional, I held quite strongly to the belief that the focus should continue to be on the environment and any perpetuating factors. Systems theory (</w:t>
            </w:r>
            <w:proofErr w:type="spellStart"/>
            <w:r w:rsidRPr="00BD4C0F">
              <w:rPr>
                <w:rFonts w:ascii="Arial" w:hAnsi="Arial" w:cs="Arial"/>
              </w:rPr>
              <w:t>Bertalanffy</w:t>
            </w:r>
            <w:proofErr w:type="spellEnd"/>
            <w:r w:rsidRPr="00BD4C0F">
              <w:rPr>
                <w:rFonts w:ascii="Arial" w:hAnsi="Arial" w:cs="Arial"/>
              </w:rPr>
              <w:t xml:space="preserve">, 1968) offers a conceptual framework for understanding how a person exists with consideration given to how they interact to their system as a whole rather that in isolation. It’s considered as important to apply this approach as it assists the professional in understanding someone’s actions within their environment as to build on their strengths as well as apply the most appropriate balanced intervention (Friedman &amp; Allen, 2014). By omitting this approach, there’s a danger of developing a narrow-minded view that dismisses crucial and imperative details that ultimately places the individual at a disadvantage. This became evident during the meeting when the teacher queried why admission wasn’t being considered for 2 which indicated that the teacher was of the belief that it was only 2 that required an intervention. </w:t>
            </w:r>
          </w:p>
          <w:p w:rsidR="00094C37" w:rsidRPr="00BD4C0F" w:rsidRDefault="00094C37" w:rsidP="008F01C7">
            <w:pPr>
              <w:pStyle w:val="NormalWeb"/>
              <w:rPr>
                <w:rFonts w:ascii="Arial" w:hAnsi="Arial" w:cs="Arial"/>
              </w:rPr>
            </w:pPr>
            <w:r w:rsidRPr="00BD4C0F">
              <w:rPr>
                <w:rFonts w:ascii="Arial" w:hAnsi="Arial" w:cs="Arial"/>
              </w:rPr>
              <w:t>The application of medical model vs social model within the healthcare provision has long been disputed. Historically, the medical model has taken precedence with its origin going back to the presence of asylums in the 18</w:t>
            </w:r>
            <w:r w:rsidRPr="00BD4C0F">
              <w:rPr>
                <w:rFonts w:ascii="Arial" w:hAnsi="Arial" w:cs="Arial"/>
                <w:vertAlign w:val="superscript"/>
              </w:rPr>
              <w:t>th</w:t>
            </w:r>
            <w:r w:rsidRPr="00BD4C0F">
              <w:rPr>
                <w:rFonts w:ascii="Arial" w:hAnsi="Arial" w:cs="Arial"/>
              </w:rPr>
              <w:t xml:space="preserve"> and 19</w:t>
            </w:r>
            <w:r w:rsidRPr="00BD4C0F">
              <w:rPr>
                <w:rFonts w:ascii="Arial" w:hAnsi="Arial" w:cs="Arial"/>
                <w:vertAlign w:val="superscript"/>
              </w:rPr>
              <w:t>th</w:t>
            </w:r>
            <w:r w:rsidRPr="00BD4C0F">
              <w:rPr>
                <w:rFonts w:ascii="Arial" w:hAnsi="Arial" w:cs="Arial"/>
              </w:rPr>
              <w:t xml:space="preserve"> century. This approach has continued to dominate the mental health field but not without its criticism due to its propensity to label problematic thoughts, feelings and behaviours as mental health problems or disorders (Huda, 2020). This has the </w:t>
            </w:r>
            <w:r w:rsidRPr="00BD4C0F">
              <w:rPr>
                <w:rFonts w:ascii="Arial" w:hAnsi="Arial" w:cs="Arial"/>
              </w:rPr>
              <w:lastRenderedPageBreak/>
              <w:t>unfortunate consequence of those individuals being associated with negative stereotypes and being seen as pitiable and pathetic (Payne, 2006) which in turn limits the person’s autonomy as well as their perceived ability to participate in society (Bunbury, 2019). It took some arguing as to explain the lengthy process for admission and an assessment not having yet taken place, we wanted to avoid reinforcing the adoption of the ‘sick role’ (</w:t>
            </w:r>
            <w:proofErr w:type="spellStart"/>
            <w:r w:rsidRPr="00BD4C0F">
              <w:rPr>
                <w:rFonts w:ascii="Arial" w:hAnsi="Arial" w:cs="Arial"/>
              </w:rPr>
              <w:t>Finkelestein</w:t>
            </w:r>
            <w:proofErr w:type="spellEnd"/>
            <w:r w:rsidRPr="00BD4C0F">
              <w:rPr>
                <w:rFonts w:ascii="Arial" w:hAnsi="Arial" w:cs="Arial"/>
              </w:rPr>
              <w:t xml:space="preserve">, 1998). </w:t>
            </w:r>
          </w:p>
          <w:p w:rsidR="00094C37" w:rsidRPr="00BD4C0F" w:rsidRDefault="00094C37" w:rsidP="008F01C7">
            <w:pPr>
              <w:pStyle w:val="NormalWeb"/>
              <w:rPr>
                <w:rFonts w:ascii="Arial" w:hAnsi="Arial" w:cs="Arial"/>
              </w:rPr>
            </w:pPr>
            <w:r w:rsidRPr="00BD4C0F">
              <w:rPr>
                <w:rFonts w:ascii="Arial" w:hAnsi="Arial" w:cs="Arial"/>
              </w:rPr>
              <w:t xml:space="preserve">Whilst conversations were ongoing, updates were provided on 2’s presentation and the information indicated a concerning escalation in behaviour. Behaviours included 2 barricading themselves in their parents’ car and releasing the handbrake on hospital grounds. These actions reinforced the teacher’s stance on adopting a medical approach but we persisted with our view that admission should be avoided at all costs as other avenues should be explored first. In response to the criticisms of the medical model, the social model was developed in an attempt to change ingrained deep-rooted attitudes and I as well as my colleague attempted to shift from the mental health element by itself to focusing more on the probable impacting elements based within the society (Bunbury, 2019).  Whilst 2 remained in the car, they were unwilling to impart any information that would inform our overall assessment but it was identified that any attempt made by the parents to initiate a conversation would only intensify matters. 2’s response supported our formulation as it indicated a rift within their environment and thus where the focus should be placed.  Unfortunately, the social model does not always prevail due to the various barriers in accessing resources as well as certain scenarios where individuals can benefit from medical treatment, quite possibly when in a crisis as evidenced with 2 (Shakespeare and Watson, 2002). </w:t>
            </w:r>
          </w:p>
          <w:p w:rsidR="00094C37" w:rsidRPr="00BD4C0F" w:rsidRDefault="00094C37" w:rsidP="008F01C7">
            <w:pPr>
              <w:pStyle w:val="NormalWeb"/>
              <w:rPr>
                <w:rFonts w:ascii="Arial" w:hAnsi="Arial" w:cs="Arial"/>
              </w:rPr>
            </w:pPr>
            <w:r w:rsidRPr="00BD4C0F">
              <w:rPr>
                <w:rFonts w:ascii="Arial" w:hAnsi="Arial" w:cs="Arial"/>
              </w:rPr>
              <w:t xml:space="preserve">The meeting was concluded with the agreement that the local authority would be offering further support for the family and that the healthcare professionals would continue to engage 2 in the assessment process. At this point, 2 had been outside on hospital grounds for approximately 10 hours and had not consumed any fluids or food or used the bathroom in over ten hours. There were queries whether they could be allowed home against medical advice and without assessment but their overall capacity was questioned due to the safeguarding risks associated with their decision making and presentation. Another meeting was held with representation from psychiatry, head of nursing, clinical service manager and a representative from North Wales Police.  </w:t>
            </w:r>
            <w:r w:rsidRPr="00BD4C0F">
              <w:rPr>
                <w:rFonts w:ascii="Arial" w:hAnsi="Arial" w:cs="Arial"/>
                <w:color w:val="2A2A2A"/>
                <w:shd w:val="clear" w:color="auto" w:fill="FFFFFF"/>
              </w:rPr>
              <w:t xml:space="preserve">This multi-disciplinary discussion differed from the first MDT with the focus mainly being on how to overcome the present crisis rather than thinking about future outcomes and environmental matters. Crisis results from ineffective coping strategies and problem skills and the crisis intervention model (Caplan, 1961) aims to increase an individual’s functioning that </w:t>
            </w:r>
            <w:r w:rsidRPr="00BD4C0F">
              <w:rPr>
                <w:rFonts w:ascii="Arial" w:hAnsi="Arial" w:cs="Arial"/>
                <w:color w:val="111111"/>
                <w:shd w:val="clear" w:color="auto" w:fill="F9F9F9"/>
              </w:rPr>
              <w:t>involves seven steps to assess, support, and stabilize the situation (</w:t>
            </w:r>
            <w:proofErr w:type="spellStart"/>
            <w:r w:rsidRPr="00BD4C0F">
              <w:rPr>
                <w:rFonts w:ascii="Arial" w:hAnsi="Arial" w:cs="Arial"/>
                <w:color w:val="111111"/>
                <w:shd w:val="clear" w:color="auto" w:fill="F9F9F9"/>
              </w:rPr>
              <w:t>Ahman</w:t>
            </w:r>
            <w:proofErr w:type="spellEnd"/>
            <w:r w:rsidRPr="00BD4C0F">
              <w:rPr>
                <w:rFonts w:ascii="Arial" w:hAnsi="Arial" w:cs="Arial"/>
                <w:color w:val="111111"/>
                <w:shd w:val="clear" w:color="auto" w:fill="F9F9F9"/>
              </w:rPr>
              <w:t xml:space="preserve">, 2019). </w:t>
            </w:r>
          </w:p>
          <w:p w:rsidR="00094C37" w:rsidRPr="00BD4C0F" w:rsidRDefault="00094C37" w:rsidP="008F01C7">
            <w:pPr>
              <w:pStyle w:val="NormalWeb"/>
              <w:rPr>
                <w:rFonts w:ascii="Arial" w:hAnsi="Arial" w:cs="Arial"/>
                <w:color w:val="2A2A2A"/>
                <w:shd w:val="clear" w:color="auto" w:fill="FFFFFF"/>
              </w:rPr>
            </w:pPr>
            <w:r w:rsidRPr="00BD4C0F">
              <w:rPr>
                <w:rFonts w:ascii="Arial" w:hAnsi="Arial" w:cs="Arial"/>
              </w:rPr>
              <w:t xml:space="preserve">At this point, the police had left but it had been requested that they return as to detain 2 under s136 of the Mental Capacity Act 1983 which provides the police with the power to temporarily deprive a person of their liberty if they are displaying behaviours of concerns but only if the certain conditions are met. It was hoped that if this was done, then 2 could be brought into the hospital against their will for an assessment to be completed. However, the police refused this request as they could not come out for the purpose of detaining 2 purely from the request of another professional when the immediate risks or the instant requirement for care </w:t>
            </w:r>
            <w:r w:rsidRPr="00BD4C0F">
              <w:rPr>
                <w:rFonts w:ascii="Arial" w:hAnsi="Arial" w:cs="Arial"/>
              </w:rPr>
              <w:lastRenderedPageBreak/>
              <w:t xml:space="preserve">and control were not clear. The application of section 136 must be considered with care as of since March 2008, the police are required to comply with the duties by the Human Rights Act 1998 (Morgan &amp; Paterson, 2017) </w:t>
            </w:r>
            <w:r w:rsidRPr="00BD4C0F">
              <w:rPr>
                <w:rFonts w:ascii="Arial" w:hAnsi="Arial" w:cs="Arial"/>
                <w:color w:val="2A2A2A"/>
                <w:shd w:val="clear" w:color="auto" w:fill="FFFFFF"/>
              </w:rPr>
              <w:t xml:space="preserve">as well as the potential of human rights breaches under Articles 2, 3, and 5 of the European Convention of Human Rights (Scott, 2014). Consideration was then given to detention under section 5 as to allow the staff 72 hours to complete their assessment if there was a fear of 2 absconding or discharging themselves before the possible application for section 2 or 3. But this would have only been allowed if the assessment had already started and the H1 form received which was not the case with 2 as they had already left the hospital. </w:t>
            </w:r>
          </w:p>
          <w:p w:rsidR="00094C37" w:rsidRPr="00BD4C0F" w:rsidRDefault="00094C37" w:rsidP="008F01C7">
            <w:pPr>
              <w:pStyle w:val="NormalWeb"/>
              <w:rPr>
                <w:rFonts w:ascii="Arial" w:hAnsi="Arial" w:cs="Arial"/>
              </w:rPr>
            </w:pPr>
            <w:r w:rsidRPr="00BD4C0F">
              <w:rPr>
                <w:rFonts w:ascii="Arial" w:hAnsi="Arial" w:cs="Arial"/>
              </w:rPr>
              <w:t>This left us as the professionals in a difficult scenario regarding any remaining options as the safeguarding concerns were still present but our powers under the legal framework were limited. It was therefore agreed that a psychiatrist make his way to the hospital in the hopes that the staff with 2 will have managed to overcome stage 2 of the crisis intervention model which includes establishing rapport and working towards stage 4 of exploring feelings and emotions. This would then build a promising foundation for the psychiatrist to achieve the hoped outcome of the model of developing an action plan and leaving me with the opportunity to follow up at a later date (Roberts, 2005).</w:t>
            </w:r>
          </w:p>
          <w:p w:rsidR="00094C37" w:rsidRPr="00BD4C0F" w:rsidRDefault="00094C37" w:rsidP="008F01C7">
            <w:pPr>
              <w:pStyle w:val="NormalWeb"/>
              <w:rPr>
                <w:rFonts w:ascii="Arial" w:hAnsi="Arial" w:cs="Arial"/>
              </w:rPr>
            </w:pPr>
            <w:r w:rsidRPr="00BD4C0F">
              <w:rPr>
                <w:rFonts w:ascii="Arial" w:hAnsi="Arial" w:cs="Arial"/>
              </w:rPr>
              <w:t xml:space="preserve">Following this incident that required intense multi-disciplinary working as to achieve the best outcome for 2, the continued role I played within their care and treatment plan became increasingly unclear.  Whilst they were able to be successfully discharged home to the care of their parents, the pattern of non-engagement continued despite offering weekly appointments that are commonly reserved for young people with risky profiles. Therefore, they were ultimately discharged from my care whilst remaining open to psychiatry as I could not continue to assess or assist a young person that I did not see as it ultimately left me in a vulnerable position as the care co-ordinator. Overall, this case increased my knowledge of the legislation relating to mental health especially due to co-working with multiple </w:t>
            </w:r>
            <w:proofErr w:type="spellStart"/>
            <w:r w:rsidRPr="00BD4C0F">
              <w:rPr>
                <w:rFonts w:ascii="Arial" w:hAnsi="Arial" w:cs="Arial"/>
              </w:rPr>
              <w:t>disciplinary’s</w:t>
            </w:r>
            <w:proofErr w:type="spellEnd"/>
            <w:r w:rsidRPr="00BD4C0F">
              <w:rPr>
                <w:rFonts w:ascii="Arial" w:hAnsi="Arial" w:cs="Arial"/>
              </w:rPr>
              <w:t xml:space="preserve"> as well as senior practitioners whose knowledge was immeasurable to my own knowledge. Whilst my long-term involvement eventually ceased, I’m confident that I played an important role in ensuring that the wider team and parents were understanding of the safeguarding concerns and hopefully in the future, 2 will eventually feel able to engage in meaningful therapy. </w:t>
            </w:r>
          </w:p>
          <w:p w:rsidR="00094C37" w:rsidRPr="00BD4C0F" w:rsidRDefault="00094C37" w:rsidP="008F01C7">
            <w:pPr>
              <w:jc w:val="both"/>
              <w:rPr>
                <w:sz w:val="24"/>
                <w:szCs w:val="24"/>
              </w:rPr>
            </w:pPr>
          </w:p>
          <w:p w:rsidR="00094C37" w:rsidRPr="00BD4C0F" w:rsidRDefault="00094C37" w:rsidP="008F01C7">
            <w:pPr>
              <w:jc w:val="both"/>
              <w:rPr>
                <w:sz w:val="24"/>
                <w:szCs w:val="24"/>
              </w:rPr>
            </w:pPr>
            <w:r w:rsidRPr="00BD4C0F">
              <w:rPr>
                <w:sz w:val="24"/>
                <w:szCs w:val="24"/>
              </w:rPr>
              <w:t>Word count: 4367</w:t>
            </w:r>
          </w:p>
          <w:p w:rsidR="00094C37" w:rsidRDefault="00094C37" w:rsidP="008F01C7">
            <w:pPr>
              <w:jc w:val="both"/>
              <w:rPr>
                <w:i/>
                <w:sz w:val="24"/>
                <w:szCs w:val="24"/>
              </w:rPr>
            </w:pPr>
          </w:p>
          <w:p w:rsidR="00094C37" w:rsidRPr="008B28E7" w:rsidRDefault="00094C37" w:rsidP="008F01C7">
            <w:pPr>
              <w:jc w:val="both"/>
              <w:rPr>
                <w:sz w:val="24"/>
                <w:szCs w:val="24"/>
              </w:rPr>
            </w:pPr>
          </w:p>
        </w:tc>
      </w:tr>
    </w:tbl>
    <w:p w:rsidR="00094C37" w:rsidRDefault="00094C37" w:rsidP="00094C37">
      <w:pPr>
        <w:jc w:val="both"/>
        <w:rPr>
          <w:sz w:val="24"/>
          <w:szCs w:val="24"/>
        </w:rPr>
      </w:pPr>
    </w:p>
    <w:p w:rsidR="00094C37" w:rsidRDefault="00094C37" w:rsidP="00094C37">
      <w:pPr>
        <w:ind w:firstLine="720"/>
        <w:jc w:val="both"/>
        <w:rPr>
          <w:b/>
          <w:sz w:val="24"/>
          <w:szCs w:val="24"/>
        </w:rPr>
      </w:pPr>
    </w:p>
    <w:p w:rsidR="00094C37" w:rsidRPr="008B28E7" w:rsidRDefault="00094C37" w:rsidP="00094C37">
      <w:pPr>
        <w:ind w:firstLine="720"/>
        <w:jc w:val="both"/>
        <w:rPr>
          <w:b/>
          <w:sz w:val="24"/>
          <w:szCs w:val="24"/>
        </w:rPr>
      </w:pPr>
    </w:p>
    <w:p w:rsidR="001B65BA" w:rsidRDefault="00094C37" w:rsidP="00094C37">
      <w:r w:rsidRPr="008B28E7">
        <w:rPr>
          <w:sz w:val="24"/>
          <w:szCs w:val="24"/>
        </w:rPr>
        <w:br w:type="page"/>
      </w:r>
      <w:bookmarkStart w:id="0" w:name="_GoBack"/>
      <w:bookmarkEnd w:id="0"/>
    </w:p>
    <w:sectPr w:rsidR="001B6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C37"/>
    <w:rsid w:val="00094C37"/>
    <w:rsid w:val="005A1398"/>
    <w:rsid w:val="00AF7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520B18-68BC-46BF-979E-294D20FA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C37"/>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4C37"/>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4178</Words>
  <Characters>23819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27942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Inger Williams (BCUHB - CAMHS EIPT)</dc:creator>
  <cp:keywords/>
  <dc:description/>
  <cp:lastModifiedBy>Inger Williams (BCUHB - CAMHS EIPT)</cp:lastModifiedBy>
  <cp:revision>1</cp:revision>
  <dcterms:created xsi:type="dcterms:W3CDTF">2024-02-13T21:07:00Z</dcterms:created>
  <dcterms:modified xsi:type="dcterms:W3CDTF">2024-02-13T21:08:00Z</dcterms:modified>
</cp:coreProperties>
</file>