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10713" w:rsidRPr="00810713" w:rsidRDefault="00810713">
      <w:pPr>
        <w:rPr>
          <w:b/>
          <w:sz w:val="32"/>
          <w:szCs w:val="32"/>
        </w:rPr>
      </w:pPr>
      <w:r w:rsidRPr="00810713">
        <w:rPr>
          <w:b/>
          <w:sz w:val="32"/>
          <w:szCs w:val="32"/>
        </w:rPr>
        <w:t>THE FINANCIAL STATEMENTS</w:t>
      </w:r>
    </w:p>
    <w:p w:rsidR="00810713" w:rsidRPr="00810713" w:rsidRDefault="00810713">
      <w:pPr>
        <w:rPr>
          <w:sz w:val="24"/>
          <w:szCs w:val="24"/>
        </w:rPr>
      </w:pPr>
      <w:r w:rsidRPr="00810713">
        <w:rPr>
          <w:sz w:val="24"/>
          <w:szCs w:val="24"/>
        </w:rPr>
        <w:t>A set of financial statements is made up of 4 primary statements:</w:t>
      </w:r>
    </w:p>
    <w:p w:rsidR="00810713" w:rsidRPr="00810713" w:rsidRDefault="00810713">
      <w:pPr>
        <w:rPr>
          <w:b/>
          <w:sz w:val="28"/>
          <w:szCs w:val="28"/>
        </w:rPr>
      </w:pPr>
    </w:p>
    <w:p w:rsidR="00810713" w:rsidRPr="00810713" w:rsidRDefault="00810713" w:rsidP="00810713">
      <w:pPr>
        <w:rPr>
          <w:b/>
          <w:sz w:val="28"/>
          <w:szCs w:val="28"/>
        </w:rPr>
      </w:pPr>
      <w:r w:rsidRPr="00810713">
        <w:rPr>
          <w:b/>
          <w:sz w:val="28"/>
          <w:szCs w:val="28"/>
        </w:rPr>
        <w:t>The Profit and Loss Account (Income Statement)</w:t>
      </w:r>
    </w:p>
    <w:p w:rsidR="00810713" w:rsidRDefault="00810713">
      <w:pPr>
        <w:rPr>
          <w:sz w:val="24"/>
          <w:szCs w:val="24"/>
        </w:rPr>
      </w:pPr>
      <w:r>
        <w:rPr>
          <w:sz w:val="24"/>
          <w:szCs w:val="24"/>
        </w:rPr>
        <w:t>This</w:t>
      </w:r>
      <w:r w:rsidR="008A7BD1" w:rsidRPr="00810713">
        <w:rPr>
          <w:sz w:val="24"/>
          <w:szCs w:val="24"/>
        </w:rPr>
        <w:t xml:space="preserve"> is a measurement of the performance of the business</w:t>
      </w:r>
      <w:r>
        <w:rPr>
          <w:sz w:val="24"/>
          <w:szCs w:val="24"/>
        </w:rPr>
        <w:t>.</w:t>
      </w:r>
    </w:p>
    <w:p w:rsidR="00810713" w:rsidRPr="00810713" w:rsidRDefault="00810713">
      <w:pPr>
        <w:rPr>
          <w:sz w:val="24"/>
          <w:szCs w:val="24"/>
        </w:rPr>
      </w:pPr>
    </w:p>
    <w:p w:rsidR="00810713" w:rsidRPr="00810713" w:rsidRDefault="00810713" w:rsidP="00810713">
      <w:pPr>
        <w:rPr>
          <w:b/>
          <w:sz w:val="28"/>
          <w:szCs w:val="28"/>
        </w:rPr>
      </w:pPr>
      <w:r w:rsidRPr="00810713">
        <w:rPr>
          <w:b/>
          <w:sz w:val="28"/>
          <w:szCs w:val="28"/>
        </w:rPr>
        <w:t>The Balance Sheet (Statement of Financial Position)</w:t>
      </w:r>
    </w:p>
    <w:p w:rsidR="00F614E0" w:rsidRPr="00810713" w:rsidRDefault="008A7BD1" w:rsidP="00810713">
      <w:pPr>
        <w:rPr>
          <w:sz w:val="24"/>
          <w:szCs w:val="24"/>
        </w:rPr>
      </w:pPr>
      <w:r w:rsidRPr="00810713">
        <w:rPr>
          <w:sz w:val="24"/>
          <w:szCs w:val="24"/>
        </w:rPr>
        <w:t>This is a statement of the financial position of the business at the year end</w:t>
      </w:r>
    </w:p>
    <w:p w:rsidR="00810713" w:rsidRPr="00810713" w:rsidRDefault="00810713">
      <w:pPr>
        <w:rPr>
          <w:sz w:val="24"/>
          <w:szCs w:val="24"/>
        </w:rPr>
      </w:pPr>
    </w:p>
    <w:p w:rsidR="00810713" w:rsidRPr="00810713" w:rsidRDefault="00810713">
      <w:pPr>
        <w:rPr>
          <w:b/>
          <w:sz w:val="28"/>
          <w:szCs w:val="28"/>
        </w:rPr>
      </w:pPr>
      <w:r w:rsidRPr="00810713">
        <w:rPr>
          <w:b/>
          <w:sz w:val="28"/>
          <w:szCs w:val="28"/>
        </w:rPr>
        <w:t>Statement of Comprehensive Income (Statement of Recognised gains and Losses)</w:t>
      </w:r>
    </w:p>
    <w:p w:rsidR="00E34F92" w:rsidRPr="00E34F92" w:rsidRDefault="00810713" w:rsidP="00E34F92">
      <w:pPr>
        <w:rPr>
          <w:sz w:val="24"/>
          <w:szCs w:val="24"/>
        </w:rPr>
      </w:pPr>
      <w:r w:rsidRPr="00810713">
        <w:rPr>
          <w:sz w:val="24"/>
          <w:szCs w:val="24"/>
        </w:rPr>
        <w:t xml:space="preserve">This can be shown as a separate statement or added to the end of the profit and loss account. The profit and loss account shows all </w:t>
      </w:r>
      <w:r w:rsidRPr="008A7BD1">
        <w:rPr>
          <w:b/>
          <w:i/>
          <w:sz w:val="24"/>
          <w:szCs w:val="24"/>
        </w:rPr>
        <w:t>realised</w:t>
      </w:r>
      <w:r w:rsidRPr="00810713">
        <w:rPr>
          <w:sz w:val="24"/>
          <w:szCs w:val="24"/>
        </w:rPr>
        <w:t xml:space="preserve"> gains and losses that are recognised in the year. The sta</w:t>
      </w:r>
      <w:r w:rsidR="008A7BD1">
        <w:rPr>
          <w:sz w:val="24"/>
          <w:szCs w:val="24"/>
        </w:rPr>
        <w:t>te</w:t>
      </w:r>
      <w:r w:rsidRPr="00810713">
        <w:rPr>
          <w:sz w:val="24"/>
          <w:szCs w:val="24"/>
        </w:rPr>
        <w:t>men</w:t>
      </w:r>
      <w:r w:rsidR="008A7BD1">
        <w:rPr>
          <w:sz w:val="24"/>
          <w:szCs w:val="24"/>
        </w:rPr>
        <w:t>t</w:t>
      </w:r>
      <w:r w:rsidRPr="00810713">
        <w:rPr>
          <w:sz w:val="24"/>
          <w:szCs w:val="24"/>
        </w:rPr>
        <w:t xml:space="preserve"> of comprehensive income adds any </w:t>
      </w:r>
      <w:r w:rsidRPr="008A7BD1">
        <w:rPr>
          <w:b/>
          <w:i/>
          <w:sz w:val="24"/>
          <w:szCs w:val="24"/>
        </w:rPr>
        <w:t>unrealised</w:t>
      </w:r>
      <w:r w:rsidRPr="00810713">
        <w:rPr>
          <w:sz w:val="24"/>
          <w:szCs w:val="24"/>
        </w:rPr>
        <w:t xml:space="preserve"> gains and losses to this. </w:t>
      </w:r>
    </w:p>
    <w:p w:rsidR="00E34F92" w:rsidRPr="00E34F92" w:rsidRDefault="00E34F92" w:rsidP="00E34F92">
      <w:pPr>
        <w:spacing w:before="100" w:beforeAutospacing="1" w:after="100" w:afterAutospacing="1" w:line="240" w:lineRule="auto"/>
        <w:rPr>
          <w:rFonts w:eastAsia="Times New Roman" w:cs="Times New Roman"/>
          <w:sz w:val="24"/>
          <w:szCs w:val="24"/>
          <w:lang w:val="en-US" w:eastAsia="en-GB"/>
        </w:rPr>
      </w:pPr>
      <w:r w:rsidRPr="00E34F92">
        <w:rPr>
          <w:rFonts w:eastAsia="Times New Roman" w:cs="Times New Roman"/>
          <w:sz w:val="24"/>
          <w:szCs w:val="24"/>
          <w:lang w:val="en-US" w:eastAsia="en-GB"/>
        </w:rPr>
        <w:t xml:space="preserve">Revenues, expenses, gains and losses appear in other comprehensive income when they have not yet been </w:t>
      </w:r>
      <w:hyperlink r:id="rId5" w:history="1">
        <w:r w:rsidRPr="00E34F92">
          <w:rPr>
            <w:rFonts w:eastAsia="Times New Roman" w:cs="Times New Roman"/>
            <w:sz w:val="24"/>
            <w:szCs w:val="24"/>
            <w:lang w:val="en-US" w:eastAsia="en-GB"/>
          </w:rPr>
          <w:t>realized</w:t>
        </w:r>
      </w:hyperlink>
      <w:r w:rsidRPr="00E34F92">
        <w:rPr>
          <w:rFonts w:eastAsia="Times New Roman" w:cs="Times New Roman"/>
          <w:sz w:val="24"/>
          <w:szCs w:val="24"/>
          <w:lang w:val="en-US" w:eastAsia="en-GB"/>
        </w:rPr>
        <w:t xml:space="preserve">. Something has been realized when the underlying transaction has been completed, such as when an investment is sold. Thus, if your company has invested in </w:t>
      </w:r>
      <w:hyperlink r:id="rId6" w:history="1">
        <w:r w:rsidRPr="00E34F92">
          <w:rPr>
            <w:rFonts w:eastAsia="Times New Roman" w:cs="Times New Roman"/>
            <w:sz w:val="24"/>
            <w:szCs w:val="24"/>
            <w:lang w:val="en-US" w:eastAsia="en-GB"/>
          </w:rPr>
          <w:t>bonds</w:t>
        </w:r>
      </w:hyperlink>
      <w:r w:rsidRPr="00E34F92">
        <w:rPr>
          <w:rFonts w:eastAsia="Times New Roman" w:cs="Times New Roman"/>
          <w:sz w:val="24"/>
          <w:szCs w:val="24"/>
          <w:lang w:val="en-US" w:eastAsia="en-GB"/>
        </w:rPr>
        <w:t>, and the value of those bonds changes, you recognize the difference as a gain or loss in other comprehensive income. Once you sell the bonds, you have then realized the gain or loss associated with the bonds, and can then shift the gain or loss out of other comprehensive income and into a line item higher in the income statement, so that it is a part of net income.</w:t>
      </w:r>
    </w:p>
    <w:p w:rsidR="00E34F92" w:rsidRPr="00E34F92" w:rsidRDefault="00E34F92" w:rsidP="00E34F92">
      <w:pPr>
        <w:rPr>
          <w:sz w:val="24"/>
          <w:szCs w:val="24"/>
        </w:rPr>
      </w:pPr>
      <w:r w:rsidRPr="00E34F92">
        <w:rPr>
          <w:sz w:val="24"/>
          <w:szCs w:val="24"/>
        </w:rPr>
        <w:t xml:space="preserve">The most common example of an unrealised gain would be a surplus on the revaluation of property. It is merely a fluctuation in the market value and would not be accounted for as a realised gain (i.e. </w:t>
      </w:r>
      <w:proofErr w:type="gramStart"/>
      <w:r w:rsidRPr="00E34F92">
        <w:rPr>
          <w:sz w:val="24"/>
          <w:szCs w:val="24"/>
        </w:rPr>
        <w:t>a ”</w:t>
      </w:r>
      <w:proofErr w:type="gramEnd"/>
      <w:r w:rsidRPr="00E34F92">
        <w:rPr>
          <w:sz w:val="24"/>
          <w:szCs w:val="24"/>
        </w:rPr>
        <w:t xml:space="preserve">true gain”) until the property is sold. </w:t>
      </w:r>
    </w:p>
    <w:p w:rsidR="00E34F92" w:rsidRPr="00E34F92" w:rsidRDefault="00E34F92" w:rsidP="00E34F92">
      <w:pPr>
        <w:spacing w:before="100" w:beforeAutospacing="1" w:after="100" w:afterAutospacing="1" w:line="240" w:lineRule="auto"/>
        <w:rPr>
          <w:rFonts w:eastAsia="Times New Roman" w:cs="Times New Roman"/>
          <w:sz w:val="24"/>
          <w:szCs w:val="24"/>
          <w:lang w:val="en-US" w:eastAsia="en-GB"/>
        </w:rPr>
      </w:pPr>
      <w:r w:rsidRPr="00E34F92">
        <w:rPr>
          <w:rFonts w:eastAsia="Times New Roman" w:cs="Times New Roman"/>
          <w:sz w:val="24"/>
          <w:szCs w:val="24"/>
          <w:lang w:val="en-US" w:eastAsia="en-GB"/>
        </w:rPr>
        <w:t>Examples of other items that may be classified in other comprehensive income are:</w:t>
      </w:r>
    </w:p>
    <w:p w:rsidR="00F11042" w:rsidRDefault="00F324F4" w:rsidP="00F11042">
      <w:pPr>
        <w:numPr>
          <w:ilvl w:val="0"/>
          <w:numId w:val="3"/>
        </w:numPr>
        <w:spacing w:before="100" w:beforeAutospacing="1" w:after="100" w:afterAutospacing="1" w:line="240" w:lineRule="auto"/>
        <w:rPr>
          <w:rFonts w:eastAsia="Times New Roman" w:cs="Times New Roman"/>
          <w:sz w:val="24"/>
          <w:szCs w:val="24"/>
          <w:lang w:val="en-US" w:eastAsia="en-GB"/>
        </w:rPr>
      </w:pPr>
      <w:r>
        <w:rPr>
          <w:rFonts w:eastAsia="Times New Roman" w:cs="Times New Roman"/>
          <w:sz w:val="24"/>
          <w:szCs w:val="24"/>
          <w:lang w:val="en-US" w:eastAsia="en-GB"/>
        </w:rPr>
        <w:t>Unrealis</w:t>
      </w:r>
      <w:bookmarkStart w:id="0" w:name="_GoBack"/>
      <w:bookmarkEnd w:id="0"/>
      <w:r w:rsidR="00E34F92" w:rsidRPr="00E34F92">
        <w:rPr>
          <w:rFonts w:eastAsia="Times New Roman" w:cs="Times New Roman"/>
          <w:sz w:val="24"/>
          <w:szCs w:val="24"/>
          <w:lang w:val="en-US" w:eastAsia="en-GB"/>
        </w:rPr>
        <w:t xml:space="preserve">ed holding gains or losses on investments that are classified as </w:t>
      </w:r>
      <w:hyperlink r:id="rId7" w:history="1">
        <w:r w:rsidR="00E34F92" w:rsidRPr="00E34F92">
          <w:rPr>
            <w:rFonts w:eastAsia="Times New Roman" w:cs="Times New Roman"/>
            <w:sz w:val="24"/>
            <w:szCs w:val="24"/>
            <w:lang w:val="en-US" w:eastAsia="en-GB"/>
          </w:rPr>
          <w:t>available for sale</w:t>
        </w:r>
      </w:hyperlink>
    </w:p>
    <w:p w:rsidR="00F11042" w:rsidRPr="00E34F92" w:rsidRDefault="00F11042" w:rsidP="00F11042">
      <w:pPr>
        <w:numPr>
          <w:ilvl w:val="0"/>
          <w:numId w:val="3"/>
        </w:numPr>
        <w:spacing w:before="100" w:beforeAutospacing="1" w:after="100" w:afterAutospacing="1" w:line="240" w:lineRule="auto"/>
        <w:rPr>
          <w:rFonts w:eastAsia="Times New Roman" w:cs="Times New Roman"/>
          <w:sz w:val="24"/>
          <w:szCs w:val="24"/>
          <w:lang w:val="en-US" w:eastAsia="en-GB"/>
        </w:rPr>
      </w:pPr>
      <w:r w:rsidRPr="00F11042">
        <w:rPr>
          <w:rFonts w:ascii="ArialMT" w:hAnsi="ArialMT" w:cs="ArialMT"/>
          <w:sz w:val="21"/>
          <w:szCs w:val="21"/>
        </w:rPr>
        <w:t xml:space="preserve">some </w:t>
      </w:r>
      <w:r w:rsidRPr="00F11042">
        <w:rPr>
          <w:rFonts w:ascii="Arial" w:hAnsi="Arial" w:cs="Arial"/>
          <w:bCs/>
          <w:sz w:val="21"/>
          <w:szCs w:val="21"/>
        </w:rPr>
        <w:t xml:space="preserve">gains </w:t>
      </w:r>
      <w:r w:rsidRPr="00F11042">
        <w:rPr>
          <w:rFonts w:ascii="ArialMT" w:hAnsi="ArialMT" w:cs="ArialMT"/>
          <w:sz w:val="21"/>
          <w:szCs w:val="21"/>
        </w:rPr>
        <w:t xml:space="preserve">and </w:t>
      </w:r>
      <w:r w:rsidRPr="00F11042">
        <w:rPr>
          <w:rFonts w:ascii="Arial" w:hAnsi="Arial" w:cs="Arial"/>
          <w:bCs/>
          <w:sz w:val="21"/>
          <w:szCs w:val="21"/>
        </w:rPr>
        <w:t xml:space="preserve">losses </w:t>
      </w:r>
      <w:r w:rsidRPr="00F11042">
        <w:rPr>
          <w:rFonts w:ascii="ArialMT" w:hAnsi="ArialMT" w:cs="ArialMT"/>
          <w:sz w:val="21"/>
          <w:szCs w:val="21"/>
        </w:rPr>
        <w:t xml:space="preserve">arising on translating the </w:t>
      </w:r>
      <w:r w:rsidRPr="00F11042">
        <w:rPr>
          <w:rFonts w:ascii="Arial" w:hAnsi="Arial" w:cs="Arial"/>
          <w:bCs/>
          <w:sz w:val="21"/>
          <w:szCs w:val="21"/>
        </w:rPr>
        <w:t xml:space="preserve">financial statements </w:t>
      </w:r>
      <w:r w:rsidRPr="00F11042">
        <w:rPr>
          <w:rFonts w:ascii="ArialMT" w:hAnsi="ArialMT" w:cs="ArialMT"/>
          <w:sz w:val="21"/>
          <w:szCs w:val="21"/>
        </w:rPr>
        <w:t>of a</w:t>
      </w:r>
      <w:r w:rsidRPr="00F11042">
        <w:rPr>
          <w:rFonts w:eastAsia="Times New Roman" w:cs="Times New Roman"/>
          <w:sz w:val="24"/>
          <w:szCs w:val="24"/>
          <w:lang w:val="en-US" w:eastAsia="en-GB"/>
        </w:rPr>
        <w:t xml:space="preserve"> </w:t>
      </w:r>
      <w:r w:rsidRPr="00F11042">
        <w:rPr>
          <w:rFonts w:ascii="ArialMT" w:hAnsi="ArialMT" w:cs="ArialMT"/>
          <w:sz w:val="21"/>
          <w:szCs w:val="21"/>
        </w:rPr>
        <w:t>foreign operation</w:t>
      </w:r>
    </w:p>
    <w:p w:rsidR="00E34F92" w:rsidRPr="00E34F92" w:rsidRDefault="00E34F92" w:rsidP="00E34F92">
      <w:pPr>
        <w:numPr>
          <w:ilvl w:val="0"/>
          <w:numId w:val="3"/>
        </w:numPr>
        <w:spacing w:before="100" w:beforeAutospacing="1" w:after="100" w:afterAutospacing="1" w:line="240" w:lineRule="auto"/>
        <w:rPr>
          <w:rFonts w:eastAsia="Times New Roman" w:cs="Times New Roman"/>
          <w:sz w:val="24"/>
          <w:szCs w:val="24"/>
          <w:lang w:val="en-US" w:eastAsia="en-GB"/>
        </w:rPr>
      </w:pPr>
      <w:r w:rsidRPr="00E34F92">
        <w:rPr>
          <w:rFonts w:eastAsia="Times New Roman" w:cs="Times New Roman"/>
          <w:sz w:val="24"/>
          <w:szCs w:val="24"/>
          <w:lang w:val="en-US" w:eastAsia="en-GB"/>
        </w:rPr>
        <w:t>Pension plan gains or losses</w:t>
      </w:r>
    </w:p>
    <w:p w:rsidR="008A7BD1" w:rsidRPr="00E34F92" w:rsidRDefault="00E34F92" w:rsidP="00E34F92">
      <w:pPr>
        <w:numPr>
          <w:ilvl w:val="0"/>
          <w:numId w:val="3"/>
        </w:numPr>
        <w:spacing w:before="100" w:beforeAutospacing="1" w:after="100" w:afterAutospacing="1" w:line="240" w:lineRule="auto"/>
        <w:rPr>
          <w:rFonts w:eastAsia="Times New Roman" w:cs="Times New Roman"/>
          <w:sz w:val="24"/>
          <w:szCs w:val="24"/>
          <w:lang w:val="en-US" w:eastAsia="en-GB"/>
        </w:rPr>
      </w:pPr>
      <w:r w:rsidRPr="00E34F92">
        <w:rPr>
          <w:rFonts w:eastAsia="Times New Roman" w:cs="Times New Roman"/>
          <w:sz w:val="24"/>
          <w:szCs w:val="24"/>
          <w:lang w:val="en-US" w:eastAsia="en-GB"/>
        </w:rPr>
        <w:t>Pension prior service costs or credits</w:t>
      </w:r>
    </w:p>
    <w:p w:rsidR="00810713" w:rsidRPr="00810713" w:rsidRDefault="00810713">
      <w:pPr>
        <w:rPr>
          <w:b/>
          <w:sz w:val="28"/>
          <w:szCs w:val="28"/>
        </w:rPr>
      </w:pPr>
      <w:r w:rsidRPr="00810713">
        <w:rPr>
          <w:b/>
          <w:sz w:val="28"/>
          <w:szCs w:val="28"/>
        </w:rPr>
        <w:lastRenderedPageBreak/>
        <w:t>The Cashflow Statement</w:t>
      </w:r>
    </w:p>
    <w:p w:rsidR="00810713" w:rsidRDefault="00810713" w:rsidP="00810713">
      <w:pPr>
        <w:autoSpaceDE w:val="0"/>
        <w:autoSpaceDN w:val="0"/>
        <w:adjustRightInd w:val="0"/>
        <w:spacing w:after="0" w:line="240" w:lineRule="auto"/>
        <w:rPr>
          <w:rFonts w:cs="ComicSansMS"/>
          <w:sz w:val="24"/>
          <w:szCs w:val="24"/>
        </w:rPr>
      </w:pPr>
      <w:r w:rsidRPr="00810713">
        <w:rPr>
          <w:rFonts w:cs="ComicSansMS"/>
          <w:sz w:val="24"/>
          <w:szCs w:val="24"/>
        </w:rPr>
        <w:t xml:space="preserve">The primary purpose of the </w:t>
      </w:r>
      <w:r>
        <w:rPr>
          <w:rFonts w:cs="ComicSansMS"/>
          <w:sz w:val="24"/>
          <w:szCs w:val="24"/>
        </w:rPr>
        <w:t xml:space="preserve">cashflow </w:t>
      </w:r>
      <w:r w:rsidRPr="00810713">
        <w:rPr>
          <w:rFonts w:cs="ComicSansMS-Bold"/>
          <w:bCs/>
          <w:sz w:val="24"/>
          <w:szCs w:val="24"/>
        </w:rPr>
        <w:t>statement</w:t>
      </w:r>
      <w:r w:rsidRPr="00810713">
        <w:rPr>
          <w:rFonts w:cs="ComicSansMS-Bold"/>
          <w:b/>
          <w:bCs/>
          <w:sz w:val="24"/>
          <w:szCs w:val="24"/>
        </w:rPr>
        <w:t xml:space="preserve"> </w:t>
      </w:r>
      <w:r w:rsidRPr="00810713">
        <w:rPr>
          <w:rFonts w:cs="ComicSansMS"/>
          <w:sz w:val="24"/>
          <w:szCs w:val="24"/>
        </w:rPr>
        <w:t>is to provide information about cash receipts, cash</w:t>
      </w:r>
      <w:r>
        <w:rPr>
          <w:rFonts w:cs="ComicSansMS"/>
          <w:sz w:val="24"/>
          <w:szCs w:val="24"/>
        </w:rPr>
        <w:t xml:space="preserve"> </w:t>
      </w:r>
      <w:r w:rsidRPr="00810713">
        <w:rPr>
          <w:rFonts w:cs="ComicSansMS"/>
          <w:sz w:val="24"/>
          <w:szCs w:val="24"/>
        </w:rPr>
        <w:t>payments, and the net change in cash resulting from the operating, investing, and financing activities of a</w:t>
      </w:r>
      <w:r>
        <w:rPr>
          <w:rFonts w:cs="ComicSansMS"/>
          <w:sz w:val="24"/>
          <w:szCs w:val="24"/>
        </w:rPr>
        <w:t xml:space="preserve"> </w:t>
      </w:r>
      <w:r w:rsidRPr="00810713">
        <w:rPr>
          <w:rFonts w:cs="ComicSansMS"/>
          <w:sz w:val="24"/>
          <w:szCs w:val="24"/>
        </w:rPr>
        <w:t>company during the period.</w:t>
      </w:r>
    </w:p>
    <w:p w:rsidR="00810713" w:rsidRPr="00810713" w:rsidRDefault="00810713" w:rsidP="00810713">
      <w:pPr>
        <w:autoSpaceDE w:val="0"/>
        <w:autoSpaceDN w:val="0"/>
        <w:adjustRightInd w:val="0"/>
        <w:spacing w:after="0" w:line="240" w:lineRule="auto"/>
        <w:rPr>
          <w:rFonts w:cs="ComicSansMS"/>
          <w:sz w:val="24"/>
          <w:szCs w:val="24"/>
        </w:rPr>
      </w:pPr>
    </w:p>
    <w:p w:rsidR="00810713" w:rsidRPr="00810713" w:rsidRDefault="00810713" w:rsidP="00810713">
      <w:pPr>
        <w:rPr>
          <w:sz w:val="24"/>
          <w:szCs w:val="24"/>
        </w:rPr>
      </w:pPr>
      <w:r w:rsidRPr="00810713">
        <w:rPr>
          <w:rFonts w:cs="ComicSansMS"/>
          <w:sz w:val="24"/>
          <w:szCs w:val="24"/>
        </w:rPr>
        <w:t>It shows historic cashflows form the year ended as compared to a cashflow forecast which shows estimated future cashflows.</w:t>
      </w:r>
    </w:p>
    <w:p w:rsidR="00810713" w:rsidRDefault="00810713"/>
    <w:sectPr w:rsidR="00810713" w:rsidSect="00DF28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MT">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omicSansMS">
    <w:panose1 w:val="00000000000000000000"/>
    <w:charset w:val="00"/>
    <w:family w:val="swiss"/>
    <w:notTrueType/>
    <w:pitch w:val="default"/>
    <w:sig w:usb0="00000003" w:usb1="00000000" w:usb2="00000000" w:usb3="00000000" w:csb0="00000001" w:csb1="00000000"/>
  </w:font>
  <w:font w:name="ComicSansMS-Bold">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4D024F"/>
    <w:multiLevelType w:val="multilevel"/>
    <w:tmpl w:val="662C31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466E7F"/>
    <w:multiLevelType w:val="hybridMultilevel"/>
    <w:tmpl w:val="BE762B86"/>
    <w:lvl w:ilvl="0" w:tplc="2086361E">
      <w:start w:val="1"/>
      <w:numFmt w:val="bullet"/>
      <w:lvlText w:val=""/>
      <w:lvlJc w:val="left"/>
      <w:pPr>
        <w:tabs>
          <w:tab w:val="num" w:pos="720"/>
        </w:tabs>
        <w:ind w:left="720" w:hanging="360"/>
      </w:pPr>
      <w:rPr>
        <w:rFonts w:ascii="Wingdings 2" w:hAnsi="Wingdings 2" w:hint="default"/>
      </w:rPr>
    </w:lvl>
    <w:lvl w:ilvl="1" w:tplc="9F3EAD18" w:tentative="1">
      <w:start w:val="1"/>
      <w:numFmt w:val="bullet"/>
      <w:lvlText w:val=""/>
      <w:lvlJc w:val="left"/>
      <w:pPr>
        <w:tabs>
          <w:tab w:val="num" w:pos="1440"/>
        </w:tabs>
        <w:ind w:left="1440" w:hanging="360"/>
      </w:pPr>
      <w:rPr>
        <w:rFonts w:ascii="Wingdings 2" w:hAnsi="Wingdings 2" w:hint="default"/>
      </w:rPr>
    </w:lvl>
    <w:lvl w:ilvl="2" w:tplc="FE4431A0" w:tentative="1">
      <w:start w:val="1"/>
      <w:numFmt w:val="bullet"/>
      <w:lvlText w:val=""/>
      <w:lvlJc w:val="left"/>
      <w:pPr>
        <w:tabs>
          <w:tab w:val="num" w:pos="2160"/>
        </w:tabs>
        <w:ind w:left="2160" w:hanging="360"/>
      </w:pPr>
      <w:rPr>
        <w:rFonts w:ascii="Wingdings 2" w:hAnsi="Wingdings 2" w:hint="default"/>
      </w:rPr>
    </w:lvl>
    <w:lvl w:ilvl="3" w:tplc="52840548" w:tentative="1">
      <w:start w:val="1"/>
      <w:numFmt w:val="bullet"/>
      <w:lvlText w:val=""/>
      <w:lvlJc w:val="left"/>
      <w:pPr>
        <w:tabs>
          <w:tab w:val="num" w:pos="2880"/>
        </w:tabs>
        <w:ind w:left="2880" w:hanging="360"/>
      </w:pPr>
      <w:rPr>
        <w:rFonts w:ascii="Wingdings 2" w:hAnsi="Wingdings 2" w:hint="default"/>
      </w:rPr>
    </w:lvl>
    <w:lvl w:ilvl="4" w:tplc="0E38D61E" w:tentative="1">
      <w:start w:val="1"/>
      <w:numFmt w:val="bullet"/>
      <w:lvlText w:val=""/>
      <w:lvlJc w:val="left"/>
      <w:pPr>
        <w:tabs>
          <w:tab w:val="num" w:pos="3600"/>
        </w:tabs>
        <w:ind w:left="3600" w:hanging="360"/>
      </w:pPr>
      <w:rPr>
        <w:rFonts w:ascii="Wingdings 2" w:hAnsi="Wingdings 2" w:hint="default"/>
      </w:rPr>
    </w:lvl>
    <w:lvl w:ilvl="5" w:tplc="FEEAFADE" w:tentative="1">
      <w:start w:val="1"/>
      <w:numFmt w:val="bullet"/>
      <w:lvlText w:val=""/>
      <w:lvlJc w:val="left"/>
      <w:pPr>
        <w:tabs>
          <w:tab w:val="num" w:pos="4320"/>
        </w:tabs>
        <w:ind w:left="4320" w:hanging="360"/>
      </w:pPr>
      <w:rPr>
        <w:rFonts w:ascii="Wingdings 2" w:hAnsi="Wingdings 2" w:hint="default"/>
      </w:rPr>
    </w:lvl>
    <w:lvl w:ilvl="6" w:tplc="B13861CA" w:tentative="1">
      <w:start w:val="1"/>
      <w:numFmt w:val="bullet"/>
      <w:lvlText w:val=""/>
      <w:lvlJc w:val="left"/>
      <w:pPr>
        <w:tabs>
          <w:tab w:val="num" w:pos="5040"/>
        </w:tabs>
        <w:ind w:left="5040" w:hanging="360"/>
      </w:pPr>
      <w:rPr>
        <w:rFonts w:ascii="Wingdings 2" w:hAnsi="Wingdings 2" w:hint="default"/>
      </w:rPr>
    </w:lvl>
    <w:lvl w:ilvl="7" w:tplc="F6B41D72" w:tentative="1">
      <w:start w:val="1"/>
      <w:numFmt w:val="bullet"/>
      <w:lvlText w:val=""/>
      <w:lvlJc w:val="left"/>
      <w:pPr>
        <w:tabs>
          <w:tab w:val="num" w:pos="5760"/>
        </w:tabs>
        <w:ind w:left="5760" w:hanging="360"/>
      </w:pPr>
      <w:rPr>
        <w:rFonts w:ascii="Wingdings 2" w:hAnsi="Wingdings 2" w:hint="default"/>
      </w:rPr>
    </w:lvl>
    <w:lvl w:ilvl="8" w:tplc="1B501B8A"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5BB32312"/>
    <w:multiLevelType w:val="hybridMultilevel"/>
    <w:tmpl w:val="D9DAF8B4"/>
    <w:lvl w:ilvl="0" w:tplc="B03CA41E">
      <w:start w:val="1"/>
      <w:numFmt w:val="bullet"/>
      <w:lvlText w:val=""/>
      <w:lvlJc w:val="left"/>
      <w:pPr>
        <w:tabs>
          <w:tab w:val="num" w:pos="720"/>
        </w:tabs>
        <w:ind w:left="720" w:hanging="360"/>
      </w:pPr>
      <w:rPr>
        <w:rFonts w:ascii="Wingdings 2" w:hAnsi="Wingdings 2" w:hint="default"/>
      </w:rPr>
    </w:lvl>
    <w:lvl w:ilvl="1" w:tplc="871A811E" w:tentative="1">
      <w:start w:val="1"/>
      <w:numFmt w:val="bullet"/>
      <w:lvlText w:val=""/>
      <w:lvlJc w:val="left"/>
      <w:pPr>
        <w:tabs>
          <w:tab w:val="num" w:pos="1440"/>
        </w:tabs>
        <w:ind w:left="1440" w:hanging="360"/>
      </w:pPr>
      <w:rPr>
        <w:rFonts w:ascii="Wingdings 2" w:hAnsi="Wingdings 2" w:hint="default"/>
      </w:rPr>
    </w:lvl>
    <w:lvl w:ilvl="2" w:tplc="F2EE4E68" w:tentative="1">
      <w:start w:val="1"/>
      <w:numFmt w:val="bullet"/>
      <w:lvlText w:val=""/>
      <w:lvlJc w:val="left"/>
      <w:pPr>
        <w:tabs>
          <w:tab w:val="num" w:pos="2160"/>
        </w:tabs>
        <w:ind w:left="2160" w:hanging="360"/>
      </w:pPr>
      <w:rPr>
        <w:rFonts w:ascii="Wingdings 2" w:hAnsi="Wingdings 2" w:hint="default"/>
      </w:rPr>
    </w:lvl>
    <w:lvl w:ilvl="3" w:tplc="4FC2566C" w:tentative="1">
      <w:start w:val="1"/>
      <w:numFmt w:val="bullet"/>
      <w:lvlText w:val=""/>
      <w:lvlJc w:val="left"/>
      <w:pPr>
        <w:tabs>
          <w:tab w:val="num" w:pos="2880"/>
        </w:tabs>
        <w:ind w:left="2880" w:hanging="360"/>
      </w:pPr>
      <w:rPr>
        <w:rFonts w:ascii="Wingdings 2" w:hAnsi="Wingdings 2" w:hint="default"/>
      </w:rPr>
    </w:lvl>
    <w:lvl w:ilvl="4" w:tplc="CB96DF80" w:tentative="1">
      <w:start w:val="1"/>
      <w:numFmt w:val="bullet"/>
      <w:lvlText w:val=""/>
      <w:lvlJc w:val="left"/>
      <w:pPr>
        <w:tabs>
          <w:tab w:val="num" w:pos="3600"/>
        </w:tabs>
        <w:ind w:left="3600" w:hanging="360"/>
      </w:pPr>
      <w:rPr>
        <w:rFonts w:ascii="Wingdings 2" w:hAnsi="Wingdings 2" w:hint="default"/>
      </w:rPr>
    </w:lvl>
    <w:lvl w:ilvl="5" w:tplc="DC04188A" w:tentative="1">
      <w:start w:val="1"/>
      <w:numFmt w:val="bullet"/>
      <w:lvlText w:val=""/>
      <w:lvlJc w:val="left"/>
      <w:pPr>
        <w:tabs>
          <w:tab w:val="num" w:pos="4320"/>
        </w:tabs>
        <w:ind w:left="4320" w:hanging="360"/>
      </w:pPr>
      <w:rPr>
        <w:rFonts w:ascii="Wingdings 2" w:hAnsi="Wingdings 2" w:hint="default"/>
      </w:rPr>
    </w:lvl>
    <w:lvl w:ilvl="6" w:tplc="E64699DA" w:tentative="1">
      <w:start w:val="1"/>
      <w:numFmt w:val="bullet"/>
      <w:lvlText w:val=""/>
      <w:lvlJc w:val="left"/>
      <w:pPr>
        <w:tabs>
          <w:tab w:val="num" w:pos="5040"/>
        </w:tabs>
        <w:ind w:left="5040" w:hanging="360"/>
      </w:pPr>
      <w:rPr>
        <w:rFonts w:ascii="Wingdings 2" w:hAnsi="Wingdings 2" w:hint="default"/>
      </w:rPr>
    </w:lvl>
    <w:lvl w:ilvl="7" w:tplc="B8EA614C" w:tentative="1">
      <w:start w:val="1"/>
      <w:numFmt w:val="bullet"/>
      <w:lvlText w:val=""/>
      <w:lvlJc w:val="left"/>
      <w:pPr>
        <w:tabs>
          <w:tab w:val="num" w:pos="5760"/>
        </w:tabs>
        <w:ind w:left="5760" w:hanging="360"/>
      </w:pPr>
      <w:rPr>
        <w:rFonts w:ascii="Wingdings 2" w:hAnsi="Wingdings 2" w:hint="default"/>
      </w:rPr>
    </w:lvl>
    <w:lvl w:ilvl="8" w:tplc="01D0EF72" w:tentative="1">
      <w:start w:val="1"/>
      <w:numFmt w:val="bullet"/>
      <w:lvlText w:val=""/>
      <w:lvlJc w:val="left"/>
      <w:pPr>
        <w:tabs>
          <w:tab w:val="num" w:pos="6480"/>
        </w:tabs>
        <w:ind w:left="6480" w:hanging="360"/>
      </w:pPr>
      <w:rPr>
        <w:rFonts w:ascii="Wingdings 2" w:hAnsi="Wingdings 2"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2"/>
  </w:compat>
  <w:rsids>
    <w:rsidRoot w:val="00810713"/>
    <w:rsid w:val="00346FCA"/>
    <w:rsid w:val="00810713"/>
    <w:rsid w:val="008A7BD1"/>
    <w:rsid w:val="00AE7504"/>
    <w:rsid w:val="00DF28BC"/>
    <w:rsid w:val="00E34F92"/>
    <w:rsid w:val="00F11042"/>
    <w:rsid w:val="00F324F4"/>
    <w:rsid w:val="00F61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F3D623F-E8F2-4195-9BD6-5E0716394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28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10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8971924">
      <w:bodyDiv w:val="1"/>
      <w:marLeft w:val="0"/>
      <w:marRight w:val="0"/>
      <w:marTop w:val="0"/>
      <w:marBottom w:val="0"/>
      <w:divBdr>
        <w:top w:val="none" w:sz="0" w:space="0" w:color="auto"/>
        <w:left w:val="none" w:sz="0" w:space="0" w:color="auto"/>
        <w:bottom w:val="none" w:sz="0" w:space="0" w:color="auto"/>
        <w:right w:val="none" w:sz="0" w:space="0" w:color="auto"/>
      </w:divBdr>
      <w:divsChild>
        <w:div w:id="1212570195">
          <w:marLeft w:val="0"/>
          <w:marRight w:val="0"/>
          <w:marTop w:val="0"/>
          <w:marBottom w:val="0"/>
          <w:divBdr>
            <w:top w:val="none" w:sz="0" w:space="0" w:color="auto"/>
            <w:left w:val="none" w:sz="0" w:space="0" w:color="auto"/>
            <w:bottom w:val="none" w:sz="0" w:space="0" w:color="auto"/>
            <w:right w:val="none" w:sz="0" w:space="0" w:color="auto"/>
          </w:divBdr>
          <w:divsChild>
            <w:div w:id="290987289">
              <w:marLeft w:val="0"/>
              <w:marRight w:val="0"/>
              <w:marTop w:val="0"/>
              <w:marBottom w:val="0"/>
              <w:divBdr>
                <w:top w:val="none" w:sz="0" w:space="0" w:color="auto"/>
                <w:left w:val="none" w:sz="0" w:space="0" w:color="auto"/>
                <w:bottom w:val="none" w:sz="0" w:space="0" w:color="auto"/>
                <w:right w:val="none" w:sz="0" w:space="0" w:color="auto"/>
              </w:divBdr>
              <w:divsChild>
                <w:div w:id="291403211">
                  <w:marLeft w:val="0"/>
                  <w:marRight w:val="0"/>
                  <w:marTop w:val="0"/>
                  <w:marBottom w:val="0"/>
                  <w:divBdr>
                    <w:top w:val="none" w:sz="0" w:space="0" w:color="auto"/>
                    <w:left w:val="none" w:sz="0" w:space="0" w:color="auto"/>
                    <w:bottom w:val="none" w:sz="0" w:space="0" w:color="auto"/>
                    <w:right w:val="none" w:sz="0" w:space="0" w:color="auto"/>
                  </w:divBdr>
                  <w:divsChild>
                    <w:div w:id="1067385216">
                      <w:marLeft w:val="0"/>
                      <w:marRight w:val="0"/>
                      <w:marTop w:val="0"/>
                      <w:marBottom w:val="0"/>
                      <w:divBdr>
                        <w:top w:val="none" w:sz="0" w:space="0" w:color="auto"/>
                        <w:left w:val="none" w:sz="0" w:space="0" w:color="auto"/>
                        <w:bottom w:val="none" w:sz="0" w:space="0" w:color="auto"/>
                        <w:right w:val="none" w:sz="0" w:space="0" w:color="auto"/>
                      </w:divBdr>
                      <w:divsChild>
                        <w:div w:id="1356886419">
                          <w:marLeft w:val="0"/>
                          <w:marRight w:val="0"/>
                          <w:marTop w:val="0"/>
                          <w:marBottom w:val="0"/>
                          <w:divBdr>
                            <w:top w:val="none" w:sz="0" w:space="0" w:color="auto"/>
                            <w:left w:val="none" w:sz="0" w:space="0" w:color="auto"/>
                            <w:bottom w:val="none" w:sz="0" w:space="0" w:color="auto"/>
                            <w:right w:val="none" w:sz="0" w:space="0" w:color="auto"/>
                          </w:divBdr>
                          <w:divsChild>
                            <w:div w:id="513226765">
                              <w:marLeft w:val="0"/>
                              <w:marRight w:val="0"/>
                              <w:marTop w:val="0"/>
                              <w:marBottom w:val="0"/>
                              <w:divBdr>
                                <w:top w:val="none" w:sz="0" w:space="0" w:color="auto"/>
                                <w:left w:val="none" w:sz="0" w:space="0" w:color="auto"/>
                                <w:bottom w:val="none" w:sz="0" w:space="0" w:color="auto"/>
                                <w:right w:val="none" w:sz="0" w:space="0" w:color="auto"/>
                              </w:divBdr>
                              <w:divsChild>
                                <w:div w:id="543831144">
                                  <w:marLeft w:val="0"/>
                                  <w:marRight w:val="0"/>
                                  <w:marTop w:val="0"/>
                                  <w:marBottom w:val="0"/>
                                  <w:divBdr>
                                    <w:top w:val="none" w:sz="0" w:space="0" w:color="auto"/>
                                    <w:left w:val="none" w:sz="0" w:space="0" w:color="auto"/>
                                    <w:bottom w:val="none" w:sz="0" w:space="0" w:color="auto"/>
                                    <w:right w:val="none" w:sz="0" w:space="0" w:color="auto"/>
                                  </w:divBdr>
                                  <w:divsChild>
                                    <w:div w:id="1772359345">
                                      <w:marLeft w:val="0"/>
                                      <w:marRight w:val="0"/>
                                      <w:marTop w:val="0"/>
                                      <w:marBottom w:val="0"/>
                                      <w:divBdr>
                                        <w:top w:val="none" w:sz="0" w:space="0" w:color="auto"/>
                                        <w:left w:val="none" w:sz="0" w:space="0" w:color="auto"/>
                                        <w:bottom w:val="none" w:sz="0" w:space="0" w:color="auto"/>
                                        <w:right w:val="none" w:sz="0" w:space="0" w:color="auto"/>
                                      </w:divBdr>
                                      <w:divsChild>
                                        <w:div w:id="1583180540">
                                          <w:marLeft w:val="0"/>
                                          <w:marRight w:val="0"/>
                                          <w:marTop w:val="0"/>
                                          <w:marBottom w:val="0"/>
                                          <w:divBdr>
                                            <w:top w:val="none" w:sz="0" w:space="0" w:color="auto"/>
                                            <w:left w:val="none" w:sz="0" w:space="0" w:color="auto"/>
                                            <w:bottom w:val="none" w:sz="0" w:space="0" w:color="auto"/>
                                            <w:right w:val="none" w:sz="0" w:space="0" w:color="auto"/>
                                          </w:divBdr>
                                          <w:divsChild>
                                            <w:div w:id="1503933546">
                                              <w:marLeft w:val="0"/>
                                              <w:marRight w:val="0"/>
                                              <w:marTop w:val="0"/>
                                              <w:marBottom w:val="0"/>
                                              <w:divBdr>
                                                <w:top w:val="none" w:sz="0" w:space="0" w:color="auto"/>
                                                <w:left w:val="none" w:sz="0" w:space="0" w:color="auto"/>
                                                <w:bottom w:val="none" w:sz="0" w:space="0" w:color="auto"/>
                                                <w:right w:val="none" w:sz="0" w:space="0" w:color="auto"/>
                                              </w:divBdr>
                                              <w:divsChild>
                                                <w:div w:id="1404109509">
                                                  <w:marLeft w:val="0"/>
                                                  <w:marRight w:val="0"/>
                                                  <w:marTop w:val="0"/>
                                                  <w:marBottom w:val="0"/>
                                                  <w:divBdr>
                                                    <w:top w:val="none" w:sz="0" w:space="0" w:color="auto"/>
                                                    <w:left w:val="none" w:sz="0" w:space="0" w:color="auto"/>
                                                    <w:bottom w:val="none" w:sz="0" w:space="0" w:color="auto"/>
                                                    <w:right w:val="none" w:sz="0" w:space="0" w:color="auto"/>
                                                  </w:divBdr>
                                                  <w:divsChild>
                                                    <w:div w:id="2138643810">
                                                      <w:marLeft w:val="0"/>
                                                      <w:marRight w:val="0"/>
                                                      <w:marTop w:val="0"/>
                                                      <w:marBottom w:val="0"/>
                                                      <w:divBdr>
                                                        <w:top w:val="none" w:sz="0" w:space="0" w:color="auto"/>
                                                        <w:left w:val="none" w:sz="0" w:space="0" w:color="auto"/>
                                                        <w:bottom w:val="none" w:sz="0" w:space="0" w:color="auto"/>
                                                        <w:right w:val="none" w:sz="0" w:space="0" w:color="auto"/>
                                                      </w:divBdr>
                                                      <w:divsChild>
                                                        <w:div w:id="1781101980">
                                                          <w:marLeft w:val="0"/>
                                                          <w:marRight w:val="0"/>
                                                          <w:marTop w:val="0"/>
                                                          <w:marBottom w:val="0"/>
                                                          <w:divBdr>
                                                            <w:top w:val="none" w:sz="0" w:space="0" w:color="auto"/>
                                                            <w:left w:val="none" w:sz="0" w:space="0" w:color="auto"/>
                                                            <w:bottom w:val="none" w:sz="0" w:space="0" w:color="auto"/>
                                                            <w:right w:val="none" w:sz="0" w:space="0" w:color="auto"/>
                                                          </w:divBdr>
                                                          <w:divsChild>
                                                            <w:div w:id="1927568883">
                                                              <w:marLeft w:val="0"/>
                                                              <w:marRight w:val="0"/>
                                                              <w:marTop w:val="0"/>
                                                              <w:marBottom w:val="0"/>
                                                              <w:divBdr>
                                                                <w:top w:val="none" w:sz="0" w:space="0" w:color="auto"/>
                                                                <w:left w:val="none" w:sz="0" w:space="0" w:color="auto"/>
                                                                <w:bottom w:val="none" w:sz="0" w:space="0" w:color="auto"/>
                                                                <w:right w:val="none" w:sz="0" w:space="0" w:color="auto"/>
                                                              </w:divBdr>
                                                              <w:divsChild>
                                                                <w:div w:id="43464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752660758">
      <w:bodyDiv w:val="1"/>
      <w:marLeft w:val="0"/>
      <w:marRight w:val="0"/>
      <w:marTop w:val="0"/>
      <w:marBottom w:val="0"/>
      <w:divBdr>
        <w:top w:val="none" w:sz="0" w:space="0" w:color="auto"/>
        <w:left w:val="none" w:sz="0" w:space="0" w:color="auto"/>
        <w:bottom w:val="none" w:sz="0" w:space="0" w:color="auto"/>
        <w:right w:val="none" w:sz="0" w:space="0" w:color="auto"/>
      </w:divBdr>
      <w:divsChild>
        <w:div w:id="46223041">
          <w:marLeft w:val="864"/>
          <w:marRight w:val="0"/>
          <w:marTop w:val="192"/>
          <w:marBottom w:val="0"/>
          <w:divBdr>
            <w:top w:val="none" w:sz="0" w:space="0" w:color="auto"/>
            <w:left w:val="none" w:sz="0" w:space="0" w:color="auto"/>
            <w:bottom w:val="none" w:sz="0" w:space="0" w:color="auto"/>
            <w:right w:val="none" w:sz="0" w:space="0" w:color="auto"/>
          </w:divBdr>
        </w:div>
      </w:divsChild>
    </w:div>
    <w:div w:id="2105371787">
      <w:bodyDiv w:val="1"/>
      <w:marLeft w:val="0"/>
      <w:marRight w:val="0"/>
      <w:marTop w:val="0"/>
      <w:marBottom w:val="0"/>
      <w:divBdr>
        <w:top w:val="none" w:sz="0" w:space="0" w:color="auto"/>
        <w:left w:val="none" w:sz="0" w:space="0" w:color="auto"/>
        <w:bottom w:val="none" w:sz="0" w:space="0" w:color="auto"/>
        <w:right w:val="none" w:sz="0" w:space="0" w:color="auto"/>
      </w:divBdr>
      <w:divsChild>
        <w:div w:id="866873739">
          <w:marLeft w:val="864"/>
          <w:marRight w:val="0"/>
          <w:marTop w:val="192"/>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ccountingtools.com/articles/2017/5/14/available-for-sale-securit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ccountingtools.com/articles/2017/5/10/bond" TargetMode="External"/><Relationship Id="rId5" Type="http://schemas.openxmlformats.org/officeDocument/2006/relationships/hyperlink" Target="https://www.accountingtools.com/articles/2017/5/7/amount-realized"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145</TotalTime>
  <Pages>2</Pages>
  <Words>378</Words>
  <Characters>2155</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2528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Richard Dunstan</cp:lastModifiedBy>
  <cp:revision>6</cp:revision>
  <dcterms:created xsi:type="dcterms:W3CDTF">2017-10-26T08:54:00Z</dcterms:created>
  <dcterms:modified xsi:type="dcterms:W3CDTF">2017-10-26T12:04:00Z</dcterms:modified>
</cp:coreProperties>
</file>