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FFB921" w14:textId="3EF5BD0F" w:rsidR="00857B78" w:rsidRPr="00C03342" w:rsidRDefault="00857B78" w:rsidP="0040109B">
      <w:pPr>
        <w:rPr>
          <w:b/>
          <w:bCs/>
          <w:sz w:val="36"/>
          <w:szCs w:val="36"/>
        </w:rPr>
      </w:pPr>
      <w:r w:rsidRPr="00C03342">
        <w:rPr>
          <w:b/>
          <w:bCs/>
          <w:sz w:val="36"/>
          <w:szCs w:val="36"/>
        </w:rPr>
        <w:t>Ocean Acidification</w:t>
      </w:r>
    </w:p>
    <w:p w14:paraId="2FA4F16B" w14:textId="0A7DC5BB" w:rsidR="0040109B" w:rsidRPr="0040109B" w:rsidRDefault="0040109B" w:rsidP="0040109B">
      <w:pPr>
        <w:rPr>
          <w:lang w:val="en-US"/>
        </w:rPr>
      </w:pPr>
      <w:r w:rsidRPr="0040109B">
        <w:t>Ocean acidification, caused by the uptake of carbon dioxide from the atmosphere, presents a serious risk to marine ecosystems across the globe. As ocean pH decreases, the fragile equilibrium of marine life is disturbed, threatening biodiversity and the vital resources that support human livelihoods</w:t>
      </w:r>
      <w:r w:rsidRPr="0040109B">
        <w:rPr>
          <w:lang w:val="en-US"/>
        </w:rPr>
        <w:t xml:space="preserve">. </w:t>
      </w:r>
      <w:r w:rsidRPr="0040109B">
        <w:t>Rayhan (2024)</w:t>
      </w:r>
      <w:r w:rsidR="00B233FE">
        <w:t xml:space="preserve"> </w:t>
      </w:r>
      <w:r w:rsidR="00B233FE" w:rsidRPr="00B233FE">
        <w:rPr>
          <w:lang w:val="en-US"/>
        </w:rPr>
        <w:t>As an island nation with a deep connection to the sea, the UK is particularly vulnerable to the far-reaching impacts of this growing crisis</w:t>
      </w:r>
      <w:r w:rsidRPr="0040109B">
        <w:rPr>
          <w:lang w:val="en-US"/>
        </w:rPr>
        <w:br/>
        <w:t xml:space="preserve">Since the start of the industrial revolution in 1750, the ocean has absorbed approximately 20%-30% of the CO2 emitted by human activities. </w:t>
      </w:r>
      <w:r w:rsidRPr="0040109B">
        <w:t xml:space="preserve">jiang, et al. (2023) </w:t>
      </w:r>
    </w:p>
    <w:p w14:paraId="199F2C83" w14:textId="7B5854E3" w:rsidR="00B233FE" w:rsidRDefault="00B233FE" w:rsidP="0040109B">
      <w:pPr>
        <w:rPr>
          <w:b/>
          <w:bCs/>
          <w:lang w:val="en-US"/>
        </w:rPr>
      </w:pPr>
      <w:r w:rsidRPr="00B233FE">
        <w:rPr>
          <w:b/>
          <w:bCs/>
          <w:lang w:val="en-US"/>
        </w:rPr>
        <w:t>The Chemistry of Acidification</w:t>
      </w:r>
    </w:p>
    <w:p w14:paraId="30F45113" w14:textId="5D8FAAEB" w:rsidR="00B233FE" w:rsidRPr="00B233FE" w:rsidRDefault="00B233FE" w:rsidP="0040109B">
      <w:r w:rsidRPr="00B233FE">
        <w:rPr>
          <w:lang w:val="en-US"/>
        </w:rPr>
        <w:t xml:space="preserve">Ocean acidification is fundamentally a chemistry problem. As atmospheric CO2 levels rise, the ocean absorbs a portion of this excess gas, initiating a chain of chemical reactions that ultimately lower the water's </w:t>
      </w:r>
      <w:proofErr w:type="spellStart"/>
      <w:r w:rsidRPr="00B233FE">
        <w:rPr>
          <w:lang w:val="en-US"/>
        </w:rPr>
        <w:t>pH.</w:t>
      </w:r>
      <w:proofErr w:type="spellEnd"/>
    </w:p>
    <w:p w14:paraId="0B0F6227" w14:textId="16175EDE" w:rsidR="0040109B" w:rsidRDefault="0040109B" w:rsidP="0040109B">
      <w:r w:rsidRPr="0040109B">
        <w:rPr>
          <w:lang w:val="en-US"/>
        </w:rPr>
        <w:t>The</w:t>
      </w:r>
      <w:r w:rsidR="00857B78">
        <w:rPr>
          <w:lang w:val="en-US"/>
        </w:rPr>
        <w:t xml:space="preserve"> chemical</w:t>
      </w:r>
      <w:r w:rsidRPr="0040109B">
        <w:rPr>
          <w:lang w:val="en-US"/>
        </w:rPr>
        <w:t xml:space="preserve"> process begins with CO2 dissolving in seawater (CO2 + H2O </w:t>
      </w:r>
      <w:r w:rsidRPr="0040109B">
        <w:rPr>
          <w:rFonts w:ascii="Cambria Math" w:hAnsi="Cambria Math" w:cs="Cambria Math"/>
          <w:lang w:val="en-US"/>
        </w:rPr>
        <w:t>⇌</w:t>
      </w:r>
      <w:r w:rsidRPr="0040109B">
        <w:rPr>
          <w:lang w:val="en-US"/>
        </w:rPr>
        <w:t xml:space="preserve"> H2CO3). This forms carbonic acid, which further dissociates into hydrogen ions (H+) and bicarbonate ions (HCO3-). The increased concentration of H+ ions reduces the availability of carbonate ions (CO32-), essential building blocks for shell-forming marine organisms. </w:t>
      </w:r>
      <w:proofErr w:type="spellStart"/>
      <w:r w:rsidRPr="0040109B">
        <w:t>Enviroliteracy</w:t>
      </w:r>
      <w:proofErr w:type="spellEnd"/>
      <w:r w:rsidRPr="0040109B">
        <w:t xml:space="preserve"> Team (2024)</w:t>
      </w:r>
    </w:p>
    <w:p w14:paraId="3F766C82" w14:textId="1617E263" w:rsidR="00857B78" w:rsidRDefault="00857B78" w:rsidP="0040109B">
      <w:r w:rsidRPr="0040109B">
        <w:rPr>
          <w:lang w:val="en-US"/>
        </w:rPr>
        <w:t>Pre-industrial ocean pH was approximately 8.2, but now it has dropped to around 8.1. Projections estimate a further decrease to 7.8 by 2100. This seemingly small change represents a substantial shift in ocean chemistry. (Davies 2022)</w:t>
      </w:r>
    </w:p>
    <w:tbl>
      <w:tblPr>
        <w:tblW w:w="5000" w:type="pct"/>
        <w:tblCellMar>
          <w:left w:w="0" w:type="dxa"/>
          <w:right w:w="0" w:type="dxa"/>
        </w:tblCellMar>
        <w:tblLook w:val="0420" w:firstRow="1" w:lastRow="0" w:firstColumn="0" w:lastColumn="0" w:noHBand="0" w:noVBand="1"/>
      </w:tblPr>
      <w:tblGrid>
        <w:gridCol w:w="4503"/>
        <w:gridCol w:w="4503"/>
      </w:tblGrid>
      <w:tr w:rsidR="00857B78" w:rsidRPr="00857B78" w14:paraId="130DCB45" w14:textId="77777777" w:rsidTr="00C03342">
        <w:trPr>
          <w:trHeight w:val="437"/>
        </w:trPr>
        <w:tc>
          <w:tcPr>
            <w:tcW w:w="2500" w:type="pct"/>
            <w:tcBorders>
              <w:top w:val="single" w:sz="8" w:space="0" w:color="FFFFFF"/>
              <w:left w:val="single" w:sz="8" w:space="0" w:color="FFFFFF"/>
              <w:bottom w:val="single" w:sz="24" w:space="0" w:color="FFFFFF"/>
              <w:right w:val="single" w:sz="8" w:space="0" w:color="FFFFFF"/>
            </w:tcBorders>
            <w:shd w:val="clear" w:color="auto" w:fill="1CADE4"/>
            <w:tcMar>
              <w:top w:w="72" w:type="dxa"/>
              <w:left w:w="144" w:type="dxa"/>
              <w:bottom w:w="72" w:type="dxa"/>
              <w:right w:w="144" w:type="dxa"/>
            </w:tcMar>
            <w:hideMark/>
          </w:tcPr>
          <w:p w14:paraId="5A3A98BC" w14:textId="77777777" w:rsidR="00857B78" w:rsidRPr="00857B78" w:rsidRDefault="00857B78" w:rsidP="00C03342">
            <w:pPr>
              <w:rPr>
                <w:b/>
                <w:bCs/>
              </w:rPr>
            </w:pPr>
            <w:r w:rsidRPr="00857B78">
              <w:rPr>
                <w:b/>
                <w:bCs/>
              </w:rPr>
              <w:t>Formula</w:t>
            </w:r>
          </w:p>
        </w:tc>
        <w:tc>
          <w:tcPr>
            <w:tcW w:w="2500" w:type="pct"/>
            <w:tcBorders>
              <w:top w:val="single" w:sz="8" w:space="0" w:color="FFFFFF"/>
              <w:left w:val="single" w:sz="8" w:space="0" w:color="FFFFFF"/>
              <w:bottom w:val="single" w:sz="24" w:space="0" w:color="FFFFFF"/>
              <w:right w:val="single" w:sz="8" w:space="0" w:color="FFFFFF"/>
            </w:tcBorders>
            <w:shd w:val="clear" w:color="auto" w:fill="1CADE4"/>
            <w:tcMar>
              <w:top w:w="72" w:type="dxa"/>
              <w:left w:w="144" w:type="dxa"/>
              <w:bottom w:w="72" w:type="dxa"/>
              <w:right w:w="144" w:type="dxa"/>
            </w:tcMar>
            <w:hideMark/>
          </w:tcPr>
          <w:p w14:paraId="15024495" w14:textId="77777777" w:rsidR="00857B78" w:rsidRPr="00857B78" w:rsidRDefault="00857B78" w:rsidP="00C03342">
            <w:pPr>
              <w:rPr>
                <w:b/>
                <w:bCs/>
              </w:rPr>
            </w:pPr>
            <w:r w:rsidRPr="00857B78">
              <w:rPr>
                <w:b/>
                <w:bCs/>
              </w:rPr>
              <w:t>pH Levels</w:t>
            </w:r>
          </w:p>
        </w:tc>
      </w:tr>
      <w:tr w:rsidR="00857B78" w:rsidRPr="00857B78" w14:paraId="6735A96F" w14:textId="77777777" w:rsidTr="00C03342">
        <w:trPr>
          <w:trHeight w:val="1049"/>
        </w:trPr>
        <w:tc>
          <w:tcPr>
            <w:tcW w:w="2500" w:type="pct"/>
            <w:tcBorders>
              <w:top w:val="single" w:sz="24" w:space="0" w:color="FFFFFF"/>
              <w:left w:val="single" w:sz="8" w:space="0" w:color="FFFFFF"/>
              <w:bottom w:val="single" w:sz="8" w:space="0" w:color="FFFFFF"/>
              <w:right w:val="single" w:sz="8" w:space="0" w:color="FFFFFF"/>
            </w:tcBorders>
            <w:shd w:val="clear" w:color="auto" w:fill="CCE3F5"/>
            <w:tcMar>
              <w:top w:w="72" w:type="dxa"/>
              <w:left w:w="144" w:type="dxa"/>
              <w:bottom w:w="72" w:type="dxa"/>
              <w:right w:w="144" w:type="dxa"/>
            </w:tcMar>
            <w:hideMark/>
          </w:tcPr>
          <w:p w14:paraId="133BBFF4" w14:textId="77777777" w:rsidR="00857B78" w:rsidRPr="00857B78" w:rsidRDefault="00857B78" w:rsidP="00C03342">
            <w:pPr>
              <w:rPr>
                <w:b/>
                <w:bCs/>
              </w:rPr>
            </w:pPr>
            <w:r w:rsidRPr="00857B78">
              <w:rPr>
                <w:b/>
                <w:bCs/>
              </w:rPr>
              <w:t xml:space="preserve">CO2 + H2O </w:t>
            </w:r>
            <w:r w:rsidRPr="00857B78">
              <w:rPr>
                <w:rFonts w:ascii="Cambria Math" w:hAnsi="Cambria Math" w:cs="Cambria Math"/>
                <w:b/>
                <w:bCs/>
              </w:rPr>
              <w:t>⇌</w:t>
            </w:r>
            <w:r w:rsidRPr="00857B78">
              <w:rPr>
                <w:b/>
                <w:bCs/>
              </w:rPr>
              <w:t xml:space="preserve"> H2CO3 </w:t>
            </w:r>
            <w:r w:rsidRPr="00857B78">
              <w:rPr>
                <w:rFonts w:ascii="Cambria Math" w:hAnsi="Cambria Math" w:cs="Cambria Math"/>
                <w:b/>
                <w:bCs/>
              </w:rPr>
              <w:t>⇌</w:t>
            </w:r>
            <w:r w:rsidRPr="00857B78">
              <w:rPr>
                <w:b/>
                <w:bCs/>
              </w:rPr>
              <w:t xml:space="preserve"> H+ + HCO3- </w:t>
            </w:r>
            <w:r w:rsidRPr="00857B78">
              <w:rPr>
                <w:rFonts w:ascii="Cambria Math" w:hAnsi="Cambria Math" w:cs="Cambria Math"/>
                <w:b/>
                <w:bCs/>
              </w:rPr>
              <w:t>⇌</w:t>
            </w:r>
            <w:r w:rsidRPr="00857B78">
              <w:rPr>
                <w:b/>
                <w:bCs/>
              </w:rPr>
              <w:t xml:space="preserve"> 2H+ + CO32-</w:t>
            </w:r>
          </w:p>
          <w:p w14:paraId="763FBBB8" w14:textId="77777777" w:rsidR="00857B78" w:rsidRPr="00857B78" w:rsidRDefault="00857B78" w:rsidP="00C03342">
            <w:pPr>
              <w:rPr>
                <w:b/>
                <w:bCs/>
              </w:rPr>
            </w:pPr>
            <w:proofErr w:type="spellStart"/>
            <w:r w:rsidRPr="00857B78">
              <w:rPr>
                <w:b/>
                <w:bCs/>
              </w:rPr>
              <w:t>Enviroliteracy</w:t>
            </w:r>
            <w:proofErr w:type="spellEnd"/>
            <w:r w:rsidRPr="00857B78">
              <w:rPr>
                <w:b/>
                <w:bCs/>
              </w:rPr>
              <w:t xml:space="preserve"> Team (2024)</w:t>
            </w:r>
          </w:p>
        </w:tc>
        <w:tc>
          <w:tcPr>
            <w:tcW w:w="2500" w:type="pct"/>
            <w:tcBorders>
              <w:top w:val="single" w:sz="24" w:space="0" w:color="FFFFFF"/>
              <w:left w:val="single" w:sz="8" w:space="0" w:color="FFFFFF"/>
              <w:bottom w:val="single" w:sz="8" w:space="0" w:color="FFFFFF"/>
              <w:right w:val="single" w:sz="8" w:space="0" w:color="FFFFFF"/>
            </w:tcBorders>
            <w:shd w:val="clear" w:color="auto" w:fill="CCE3F5"/>
            <w:tcMar>
              <w:top w:w="72" w:type="dxa"/>
              <w:left w:w="144" w:type="dxa"/>
              <w:bottom w:w="72" w:type="dxa"/>
              <w:right w:w="144" w:type="dxa"/>
            </w:tcMar>
            <w:hideMark/>
          </w:tcPr>
          <w:p w14:paraId="06117802" w14:textId="77777777" w:rsidR="00857B78" w:rsidRPr="00857B78" w:rsidRDefault="00857B78" w:rsidP="00C03342">
            <w:pPr>
              <w:rPr>
                <w:b/>
                <w:bCs/>
              </w:rPr>
            </w:pPr>
            <w:r w:rsidRPr="00857B78">
              <w:rPr>
                <w:b/>
                <w:bCs/>
              </w:rPr>
              <w:t>Pre-industrial ocean pH: ~8.2. Current pH: ~8.1. Projected pH by 2100: ~7.8. Davies (2022)</w:t>
            </w:r>
          </w:p>
        </w:tc>
      </w:tr>
    </w:tbl>
    <w:p w14:paraId="26285408" w14:textId="77777777" w:rsidR="00857B78" w:rsidRPr="00857B78" w:rsidRDefault="00857B78" w:rsidP="0040109B">
      <w:pPr>
        <w:rPr>
          <w:b/>
          <w:bCs/>
          <w:lang w:val="en-US"/>
        </w:rPr>
      </w:pPr>
    </w:p>
    <w:p w14:paraId="68EE2CC5" w14:textId="15F1AB2E" w:rsidR="00857B78" w:rsidRPr="00857B78" w:rsidRDefault="00857B78" w:rsidP="0040109B">
      <w:pPr>
        <w:rPr>
          <w:b/>
          <w:bCs/>
          <w:lang w:val="en-US"/>
        </w:rPr>
      </w:pPr>
      <w:r w:rsidRPr="00857B78">
        <w:rPr>
          <w:b/>
          <w:bCs/>
          <w:lang w:val="en-US"/>
        </w:rPr>
        <w:t>Impacts of Marne Life</w:t>
      </w:r>
    </w:p>
    <w:p w14:paraId="1D67AF3A" w14:textId="742C776B" w:rsidR="0040109B" w:rsidRPr="0040109B" w:rsidRDefault="0040109B" w:rsidP="0040109B">
      <w:r w:rsidRPr="0040109B">
        <w:rPr>
          <w:lang w:val="en-US"/>
        </w:rPr>
        <w:t xml:space="preserve">Ocean acidification has widespread consequences for marine life, particularly affecting shellfish and coral reefs, which play crucial roles in their respective ecosystems. </w:t>
      </w:r>
    </w:p>
    <w:p w14:paraId="2DBA0C14" w14:textId="44B46112" w:rsidR="0040109B" w:rsidRPr="0040109B" w:rsidRDefault="0040109B" w:rsidP="0040109B">
      <w:r w:rsidRPr="0040109B">
        <w:rPr>
          <w:lang w:val="en-US"/>
        </w:rPr>
        <w:t xml:space="preserve">Shellfish, including oysters, mussels, and crabs, struggle to maintain their shells in more acidic waters. </w:t>
      </w:r>
      <w:proofErr w:type="gramStart"/>
      <w:r w:rsidRPr="0040109B">
        <w:rPr>
          <w:lang w:val="en-US"/>
        </w:rPr>
        <w:t>EPA(</w:t>
      </w:r>
      <w:proofErr w:type="gramEnd"/>
      <w:r w:rsidRPr="0040109B">
        <w:rPr>
          <w:lang w:val="en-US"/>
        </w:rPr>
        <w:t xml:space="preserve">2025) This poses a significant threat to the global shellfish </w:t>
      </w:r>
      <w:proofErr w:type="gramStart"/>
      <w:r w:rsidRPr="0040109B">
        <w:rPr>
          <w:lang w:val="en-US"/>
        </w:rPr>
        <w:t>industry.</w:t>
      </w:r>
      <w:r w:rsidR="00B233FE">
        <w:rPr>
          <w:lang w:val="en-US"/>
        </w:rPr>
        <w:t xml:space="preserve">  </w:t>
      </w:r>
      <w:r w:rsidR="00B233FE" w:rsidRPr="00B233FE">
        <w:rPr>
          <w:lang w:val="en-US"/>
        </w:rPr>
        <w:t>.</w:t>
      </w:r>
      <w:proofErr w:type="gramEnd"/>
      <w:r w:rsidR="00B233FE" w:rsidRPr="00B233FE">
        <w:rPr>
          <w:lang w:val="en-US"/>
        </w:rPr>
        <w:t xml:space="preserve"> For example, the Scottish shellfish industry, a vital part of the UK's economy, is particularly vulnerable.</w:t>
      </w:r>
      <w:r w:rsidRPr="0040109B">
        <w:rPr>
          <w:lang w:val="en-US"/>
        </w:rPr>
        <w:br/>
      </w:r>
      <w:r w:rsidRPr="0040109B">
        <w:rPr>
          <w:lang w:val="en-US"/>
        </w:rPr>
        <w:lastRenderedPageBreak/>
        <w:br/>
        <w:t xml:space="preserve">Coral reefs, often called the "rainforests of the sea," face reduced calcification rates, leading to reef degradation and loss of biodiversity. </w:t>
      </w:r>
      <w:proofErr w:type="spellStart"/>
      <w:r w:rsidRPr="0040109B">
        <w:t>Saligumba</w:t>
      </w:r>
      <w:proofErr w:type="spellEnd"/>
      <w:r w:rsidRPr="0040109B">
        <w:t>, M.F. (2025</w:t>
      </w:r>
      <w:proofErr w:type="gramStart"/>
      <w:r w:rsidRPr="0040109B">
        <w:t>).</w:t>
      </w:r>
      <w:r w:rsidRPr="0040109B">
        <w:rPr>
          <w:lang w:val="en-US"/>
        </w:rPr>
        <w:t xml:space="preserve"> </w:t>
      </w:r>
      <w:r w:rsidR="00B233FE">
        <w:rPr>
          <w:lang w:val="en-US"/>
        </w:rPr>
        <w:t xml:space="preserve"> </w:t>
      </w:r>
      <w:r w:rsidR="00B233FE" w:rsidRPr="00B233FE">
        <w:rPr>
          <w:lang w:val="en-US"/>
        </w:rPr>
        <w:t>.</w:t>
      </w:r>
      <w:proofErr w:type="gramEnd"/>
      <w:r w:rsidR="00B233FE" w:rsidRPr="00B233FE">
        <w:rPr>
          <w:lang w:val="en-US"/>
        </w:rPr>
        <w:t xml:space="preserve"> The decline of coral reefs has far-reaching economic implications. The Great Barrier Reef generates billion</w:t>
      </w:r>
      <w:r w:rsidR="00B233FE">
        <w:rPr>
          <w:lang w:val="en-US"/>
        </w:rPr>
        <w:t>s</w:t>
      </w:r>
      <w:r w:rsidR="00B233FE" w:rsidRPr="00B233FE">
        <w:rPr>
          <w:lang w:val="en-US"/>
        </w:rPr>
        <w:t xml:space="preserve"> in tourism revenue annually, which would be at risk if it degraded.</w:t>
      </w:r>
    </w:p>
    <w:p w14:paraId="556E2418" w14:textId="77777777" w:rsidR="0040109B" w:rsidRDefault="0040109B" w:rsidP="0040109B">
      <w:r w:rsidRPr="0040109B">
        <w:br/>
      </w:r>
      <w:r w:rsidRPr="0040109B">
        <w:rPr>
          <w:lang w:val="en-US"/>
        </w:rPr>
        <w:t xml:space="preserve">The UK's island status and dependence on marine resources make it particularly vulnerable to ocean acidification. The UK fishing industry was worth over £970 million to the economy in 2024. </w:t>
      </w:r>
      <w:r w:rsidRPr="0040109B">
        <w:t xml:space="preserve">Fish Focus (2024) </w:t>
      </w:r>
    </w:p>
    <w:tbl>
      <w:tblPr>
        <w:tblW w:w="5000" w:type="pct"/>
        <w:tblCellMar>
          <w:left w:w="0" w:type="dxa"/>
          <w:right w:w="0" w:type="dxa"/>
        </w:tblCellMar>
        <w:tblLook w:val="0420" w:firstRow="1" w:lastRow="0" w:firstColumn="0" w:lastColumn="0" w:noHBand="0" w:noVBand="1"/>
      </w:tblPr>
      <w:tblGrid>
        <w:gridCol w:w="4503"/>
        <w:gridCol w:w="4503"/>
      </w:tblGrid>
      <w:tr w:rsidR="00857B78" w:rsidRPr="00857B78" w14:paraId="68641FED" w14:textId="77777777" w:rsidTr="00C03342">
        <w:trPr>
          <w:trHeight w:val="418"/>
        </w:trPr>
        <w:tc>
          <w:tcPr>
            <w:tcW w:w="2500" w:type="pct"/>
            <w:tcBorders>
              <w:top w:val="single" w:sz="8" w:space="0" w:color="FFFFFF"/>
              <w:left w:val="single" w:sz="8" w:space="0" w:color="FFFFFF"/>
              <w:bottom w:val="single" w:sz="24" w:space="0" w:color="FFFFFF"/>
              <w:right w:val="single" w:sz="8" w:space="0" w:color="FFFFFF"/>
            </w:tcBorders>
            <w:shd w:val="clear" w:color="auto" w:fill="1CADE4"/>
            <w:tcMar>
              <w:top w:w="72" w:type="dxa"/>
              <w:left w:w="144" w:type="dxa"/>
              <w:bottom w:w="72" w:type="dxa"/>
              <w:right w:w="144" w:type="dxa"/>
            </w:tcMar>
            <w:hideMark/>
          </w:tcPr>
          <w:p w14:paraId="7ECC889D" w14:textId="77777777" w:rsidR="00857B78" w:rsidRPr="00857B78" w:rsidRDefault="00857B78" w:rsidP="00857B78">
            <w:r w:rsidRPr="00857B78">
              <w:rPr>
                <w:b/>
                <w:bCs/>
              </w:rPr>
              <w:t>Shellfish</w:t>
            </w:r>
          </w:p>
        </w:tc>
        <w:tc>
          <w:tcPr>
            <w:tcW w:w="2500" w:type="pct"/>
            <w:tcBorders>
              <w:top w:val="single" w:sz="8" w:space="0" w:color="FFFFFF"/>
              <w:left w:val="single" w:sz="8" w:space="0" w:color="FFFFFF"/>
              <w:bottom w:val="single" w:sz="24" w:space="0" w:color="FFFFFF"/>
              <w:right w:val="single" w:sz="8" w:space="0" w:color="FFFFFF"/>
            </w:tcBorders>
            <w:shd w:val="clear" w:color="auto" w:fill="1CADE4"/>
            <w:tcMar>
              <w:top w:w="72" w:type="dxa"/>
              <w:left w:w="144" w:type="dxa"/>
              <w:bottom w:w="72" w:type="dxa"/>
              <w:right w:w="144" w:type="dxa"/>
            </w:tcMar>
            <w:hideMark/>
          </w:tcPr>
          <w:p w14:paraId="07A1E1E7" w14:textId="77777777" w:rsidR="00857B78" w:rsidRPr="00857B78" w:rsidRDefault="00857B78" w:rsidP="00857B78">
            <w:r w:rsidRPr="00857B78">
              <w:rPr>
                <w:b/>
                <w:bCs/>
              </w:rPr>
              <w:t>Cora Reefs</w:t>
            </w:r>
          </w:p>
        </w:tc>
      </w:tr>
      <w:tr w:rsidR="00857B78" w:rsidRPr="00857B78" w14:paraId="2860BB06" w14:textId="77777777" w:rsidTr="00857B78">
        <w:trPr>
          <w:trHeight w:val="1803"/>
        </w:trPr>
        <w:tc>
          <w:tcPr>
            <w:tcW w:w="2500" w:type="pct"/>
            <w:tcBorders>
              <w:top w:val="single" w:sz="24" w:space="0" w:color="FFFFFF"/>
              <w:left w:val="single" w:sz="8" w:space="0" w:color="FFFFFF"/>
              <w:bottom w:val="single" w:sz="8" w:space="0" w:color="FFFFFF"/>
              <w:right w:val="single" w:sz="8" w:space="0" w:color="FFFFFF"/>
            </w:tcBorders>
            <w:shd w:val="clear" w:color="auto" w:fill="CCE3F5"/>
            <w:tcMar>
              <w:top w:w="72" w:type="dxa"/>
              <w:left w:w="144" w:type="dxa"/>
              <w:bottom w:w="72" w:type="dxa"/>
              <w:right w:w="144" w:type="dxa"/>
            </w:tcMar>
            <w:hideMark/>
          </w:tcPr>
          <w:p w14:paraId="6429AC19" w14:textId="77777777" w:rsidR="00857B78" w:rsidRPr="00857B78" w:rsidRDefault="00857B78" w:rsidP="00857B78">
            <w:r w:rsidRPr="00857B78">
              <w:rPr>
                <w:lang w:val="en-US"/>
              </w:rPr>
              <w:t>Shellfish have difficulty building and maintaining shells.  Building can slow and extreme acidity can cause the shell to dissolve. EPA (2025)</w:t>
            </w:r>
          </w:p>
        </w:tc>
        <w:tc>
          <w:tcPr>
            <w:tcW w:w="2500" w:type="pct"/>
            <w:tcBorders>
              <w:top w:val="single" w:sz="24" w:space="0" w:color="FFFFFF"/>
              <w:left w:val="single" w:sz="8" w:space="0" w:color="FFFFFF"/>
              <w:bottom w:val="single" w:sz="8" w:space="0" w:color="FFFFFF"/>
              <w:right w:val="single" w:sz="8" w:space="0" w:color="FFFFFF"/>
            </w:tcBorders>
            <w:shd w:val="clear" w:color="auto" w:fill="CCE3F5"/>
            <w:tcMar>
              <w:top w:w="72" w:type="dxa"/>
              <w:left w:w="144" w:type="dxa"/>
              <w:bottom w:w="72" w:type="dxa"/>
              <w:right w:w="144" w:type="dxa"/>
            </w:tcMar>
            <w:hideMark/>
          </w:tcPr>
          <w:p w14:paraId="2DBC3597" w14:textId="77777777" w:rsidR="00857B78" w:rsidRPr="00857B78" w:rsidRDefault="00857B78" w:rsidP="00857B78">
            <w:r w:rsidRPr="00857B78">
              <w:rPr>
                <w:lang w:val="en-US"/>
              </w:rPr>
              <w:t xml:space="preserve">Reduced calcification rates lead to reef degradation and loss of biodiversity. </w:t>
            </w:r>
            <w:r w:rsidRPr="00857B78">
              <w:t>Davis. et al. (2021)</w:t>
            </w:r>
          </w:p>
        </w:tc>
      </w:tr>
    </w:tbl>
    <w:p w14:paraId="342A32D4" w14:textId="77777777" w:rsidR="00857B78" w:rsidRDefault="00857B78" w:rsidP="0040109B">
      <w:pPr>
        <w:rPr>
          <w:lang w:val="en-US"/>
        </w:rPr>
      </w:pPr>
    </w:p>
    <w:p w14:paraId="11BBB68E" w14:textId="75312F08" w:rsidR="00B233FE" w:rsidRDefault="00B233FE" w:rsidP="00B233FE">
      <w:pPr>
        <w:rPr>
          <w:lang w:val="en-US"/>
        </w:rPr>
      </w:pPr>
      <w:r w:rsidRPr="00B233FE">
        <w:rPr>
          <w:lang w:val="en-US"/>
        </w:rPr>
        <w:t>Iconic UK marine species, such as North Sea cod that rely on shellfish, are at risk. Changes in ocean chemistry threaten their habitats and food sources, potentially leading to population declines.</w:t>
      </w:r>
      <w:r w:rsidR="001E4131" w:rsidRPr="001E4131">
        <w:rPr>
          <w:lang w:val="en-US"/>
        </w:rPr>
        <w:t xml:space="preserve"> Cooper (2019)</w:t>
      </w:r>
    </w:p>
    <w:p w14:paraId="7AB8C550" w14:textId="17CCCB89" w:rsidR="001E4131" w:rsidRPr="001E4131" w:rsidRDefault="001E4131" w:rsidP="00B233FE">
      <w:pPr>
        <w:rPr>
          <w:lang w:val="en-US"/>
        </w:rPr>
      </w:pPr>
      <w:r w:rsidRPr="001E4131">
        <w:t>Similarly, seabird populations have suffered significant declines, with nearly 40% of UK breeding seabirds now red-listed, as changes in ocean chemistry and prey availability impact their survival</w:t>
      </w:r>
      <w:r>
        <w:t xml:space="preserve">. </w:t>
      </w:r>
      <w:r w:rsidR="009E4341">
        <w:t>UCL (2024)</w:t>
      </w:r>
    </w:p>
    <w:p w14:paraId="07297FF9" w14:textId="4EEAAE9C" w:rsidR="00B233FE" w:rsidRPr="00B233FE" w:rsidRDefault="00B233FE" w:rsidP="00B233FE">
      <w:r w:rsidRPr="00B233FE">
        <w:rPr>
          <w:lang w:val="en-US"/>
        </w:rPr>
        <w:t>Certain areas around the UK coast, such as the North Sea region, are more vulnerable to acidification due to high levels of industrial activity and agricultural runoff. For example, shellfish farms in Scotland are already facing challenges due to the changing ocean chemistry.</w:t>
      </w:r>
      <w:r w:rsidR="009E4341">
        <w:rPr>
          <w:lang w:val="en-US"/>
        </w:rPr>
        <w:t xml:space="preserve"> </w:t>
      </w:r>
      <w:r w:rsidR="009E4341" w:rsidRPr="00955D16">
        <w:t xml:space="preserve">Murray </w:t>
      </w:r>
      <w:r w:rsidR="009E4341" w:rsidRPr="00955D16">
        <w:rPr>
          <w:i/>
          <w:iCs/>
        </w:rPr>
        <w:t>et al.</w:t>
      </w:r>
      <w:r w:rsidR="009E4341" w:rsidRPr="00955D16">
        <w:t xml:space="preserve"> (2025)</w:t>
      </w:r>
    </w:p>
    <w:p w14:paraId="04FBFE8F" w14:textId="56FCDA29" w:rsidR="00857B78" w:rsidRPr="00857B78" w:rsidRDefault="00857B78" w:rsidP="0040109B">
      <w:pPr>
        <w:rPr>
          <w:b/>
          <w:bCs/>
          <w:lang w:val="en-US"/>
        </w:rPr>
      </w:pPr>
      <w:r w:rsidRPr="00857B78">
        <w:rPr>
          <w:b/>
          <w:bCs/>
          <w:lang w:val="en-US"/>
        </w:rPr>
        <w:t>Socio-Economic Consequences</w:t>
      </w:r>
    </w:p>
    <w:p w14:paraId="2D2EA402" w14:textId="51ECD032" w:rsidR="0040109B" w:rsidRPr="0040109B" w:rsidRDefault="0040109B" w:rsidP="0040109B">
      <w:r w:rsidRPr="0040109B">
        <w:rPr>
          <w:lang w:val="en-US"/>
        </w:rPr>
        <w:t xml:space="preserve">Ocean acidification poses significant socio-economic consequences for the UK, </w:t>
      </w:r>
      <w:proofErr w:type="gramStart"/>
      <w:r w:rsidRPr="0040109B">
        <w:rPr>
          <w:lang w:val="en-US"/>
        </w:rPr>
        <w:t>impacting</w:t>
      </w:r>
      <w:proofErr w:type="gramEnd"/>
      <w:r w:rsidRPr="0040109B">
        <w:rPr>
          <w:lang w:val="en-US"/>
        </w:rPr>
        <w:t xml:space="preserve"> the fishing industry, coastal communities, and the broader economy. Approximately 81% of seafood consumed in the UK in 2019 was imported. WWF (2022)</w:t>
      </w:r>
    </w:p>
    <w:p w14:paraId="7156BD1C" w14:textId="77777777" w:rsidR="0040109B" w:rsidRPr="0040109B" w:rsidRDefault="0040109B" w:rsidP="0040109B">
      <w:r w:rsidRPr="0040109B">
        <w:rPr>
          <w:lang w:val="en-US"/>
        </w:rPr>
        <w:t xml:space="preserve">Potential job losses in the fishing sectors, along with food security concerns, are major worries. </w:t>
      </w:r>
      <w:r w:rsidRPr="0040109B">
        <w:t xml:space="preserve">Mangi, </w:t>
      </w:r>
      <w:r w:rsidRPr="0040109B">
        <w:rPr>
          <w:i/>
          <w:iCs/>
        </w:rPr>
        <w:t>et al</w:t>
      </w:r>
      <w:r w:rsidRPr="0040109B">
        <w:t xml:space="preserve">. (2018).  </w:t>
      </w:r>
      <w:r w:rsidRPr="0040109B">
        <w:rPr>
          <w:lang w:val="en-US"/>
        </w:rPr>
        <w:t>In 2020 only 49% of UK's fish stocks are fished at sustainable levels, JNCC (2024)</w:t>
      </w:r>
    </w:p>
    <w:p w14:paraId="27A1D9F4" w14:textId="77777777" w:rsidR="0040109B" w:rsidRDefault="0040109B" w:rsidP="0040109B">
      <w:pPr>
        <w:rPr>
          <w:lang w:val="en-US"/>
        </w:rPr>
      </w:pPr>
      <w:r w:rsidRPr="0040109B">
        <w:rPr>
          <w:lang w:val="en-US"/>
        </w:rPr>
        <w:lastRenderedPageBreak/>
        <w:t xml:space="preserve">The economic cost of damage to marine ecosystems is substantial. Estimates suggest that inaction to ocean acidification could cost $1 trillion globally by 2100. </w:t>
      </w:r>
      <w:r w:rsidRPr="0040109B">
        <w:t>Bradbury, D. (2024).</w:t>
      </w:r>
      <w:r w:rsidRPr="0040109B">
        <w:rPr>
          <w:lang w:val="en-US"/>
        </w:rPr>
        <w:t xml:space="preserve"> </w:t>
      </w:r>
    </w:p>
    <w:p w14:paraId="2FA8D18C" w14:textId="05A7235B" w:rsidR="00B233FE" w:rsidRPr="0040109B" w:rsidRDefault="00B233FE" w:rsidP="0040109B">
      <w:pPr>
        <w:rPr>
          <w:b/>
          <w:bCs/>
        </w:rPr>
      </w:pPr>
      <w:r w:rsidRPr="00B233FE">
        <w:rPr>
          <w:b/>
          <w:bCs/>
          <w:lang w:val="en-US"/>
        </w:rPr>
        <w:t>What's Being Done: Global Efforts</w:t>
      </w:r>
    </w:p>
    <w:p w14:paraId="6C21A501" w14:textId="77777777" w:rsidR="0040109B" w:rsidRPr="0040109B" w:rsidRDefault="0040109B" w:rsidP="0040109B">
      <w:pPr>
        <w:numPr>
          <w:ilvl w:val="0"/>
          <w:numId w:val="1"/>
        </w:numPr>
      </w:pPr>
      <w:proofErr w:type="spellStart"/>
      <w:r w:rsidRPr="0040109B">
        <w:rPr>
          <w:lang w:val="en-US"/>
        </w:rPr>
        <w:t>Recognising</w:t>
      </w:r>
      <w:proofErr w:type="spellEnd"/>
      <w:r w:rsidRPr="0040109B">
        <w:rPr>
          <w:lang w:val="en-US"/>
        </w:rPr>
        <w:t xml:space="preserve"> the urgency of the crisis, the international community has launched various efforts to address ocean acidification. These include international agreements like the Paris Agreement and Sustainable Development Goals (SDG 14), focusing on life below water. </w:t>
      </w:r>
      <w:r w:rsidRPr="0040109B">
        <w:t>United Nations (2025)</w:t>
      </w:r>
    </w:p>
    <w:p w14:paraId="5D9DB184" w14:textId="77777777" w:rsidR="0040109B" w:rsidRPr="0040109B" w:rsidRDefault="0040109B" w:rsidP="0040109B">
      <w:pPr>
        <w:numPr>
          <w:ilvl w:val="0"/>
          <w:numId w:val="1"/>
        </w:numPr>
      </w:pPr>
      <w:r w:rsidRPr="0040109B">
        <w:rPr>
          <w:lang w:val="en-US"/>
        </w:rPr>
        <w:t xml:space="preserve">Monitoring and research programs, such as GOA-ON (Global Ocean Acidification Observing Network), play a crucial role in tracking changes in ocean chemistry and understanding their impacts. The UK contributes significantly to GOA-ON. </w:t>
      </w:r>
      <w:r w:rsidRPr="0040109B">
        <w:t xml:space="preserve">LNB News (2020) </w:t>
      </w:r>
    </w:p>
    <w:p w14:paraId="3FE8D7CE" w14:textId="77777777" w:rsidR="00B233FE" w:rsidRDefault="0040109B" w:rsidP="00B233FE">
      <w:pPr>
        <w:numPr>
          <w:ilvl w:val="0"/>
          <w:numId w:val="1"/>
        </w:numPr>
      </w:pPr>
      <w:r w:rsidRPr="0040109B">
        <w:rPr>
          <w:lang w:val="en-US"/>
        </w:rPr>
        <w:t xml:space="preserve">Carbon emission reduction strategies are essential to mitigating ocean acidification. The UK has committed to reducing emissions by 68% by 2030 and a further 10% by 2035, compared to 1990 levels, aligning with global targets. </w:t>
      </w:r>
      <w:r w:rsidRPr="0040109B">
        <w:t>Anderson (2025)</w:t>
      </w:r>
    </w:p>
    <w:p w14:paraId="45764DD5" w14:textId="6C52CF55" w:rsidR="00B233FE" w:rsidRPr="00B233FE" w:rsidRDefault="00B233FE" w:rsidP="00B233FE">
      <w:r w:rsidRPr="00B233FE">
        <w:rPr>
          <w:b/>
          <w:bCs/>
          <w:lang w:val="en-US"/>
        </w:rPr>
        <w:t>What's Being Done: UK Initiatives</w:t>
      </w:r>
    </w:p>
    <w:p w14:paraId="288632EE" w14:textId="77777777" w:rsidR="00B233FE" w:rsidRPr="00B233FE" w:rsidRDefault="00B233FE" w:rsidP="00FB0C2D">
      <w:r w:rsidRPr="00B233FE">
        <w:rPr>
          <w:lang w:val="en-US"/>
        </w:rPr>
        <w:t xml:space="preserve">The UK government is actively engaged in addressing ocean acidification through policies, </w:t>
      </w:r>
      <w:proofErr w:type="gramStart"/>
      <w:r w:rsidRPr="00B233FE">
        <w:rPr>
          <w:lang w:val="en-US"/>
        </w:rPr>
        <w:t>funding for</w:t>
      </w:r>
      <w:proofErr w:type="gramEnd"/>
      <w:r w:rsidRPr="00B233FE">
        <w:rPr>
          <w:lang w:val="en-US"/>
        </w:rPr>
        <w:t xml:space="preserve"> marine conservation and research, and initiatives like the UK Marine Strategy Framework Directive (MSFD).</w:t>
      </w:r>
    </w:p>
    <w:p w14:paraId="37CE9A22" w14:textId="0A0102AD" w:rsidR="00FB0C2D" w:rsidRPr="00FB0C2D" w:rsidRDefault="00FB0C2D" w:rsidP="00B233FE">
      <w:pPr>
        <w:numPr>
          <w:ilvl w:val="0"/>
          <w:numId w:val="1"/>
        </w:numPr>
      </w:pPr>
      <w:r w:rsidRPr="00FB0C2D">
        <w:t>The UK Marine Strategy provides a comprehensive framework for achieving Good Environmental Status (GES) in UK seas, encompassing objectives, monitoring programmes, and measures to protect marine environments.</w:t>
      </w:r>
      <w:r w:rsidRPr="00FB0C2D">
        <w:t xml:space="preserve"> DEFRA (2020)</w:t>
      </w:r>
      <w:r>
        <w:t xml:space="preserve"> </w:t>
      </w:r>
      <w:r w:rsidRPr="00FB0C2D">
        <w:t>In terms of funding, the Department for Environment, Food and Rural Affairs (Defra) has allocated £120,000 to support the Plymouth Marine Laboratory in becoming the secretariat for the Ocean Acidification Research for Sustainability (OARS) programme. This initiative aims to enhance research and understanding of ocean acidification and its effects on marine ecosystems</w:t>
      </w:r>
      <w:r>
        <w:t xml:space="preserve">. Plymouth Marine </w:t>
      </w:r>
      <w:r w:rsidR="00C03342">
        <w:t>Laboratory</w:t>
      </w:r>
      <w:r>
        <w:t xml:space="preserve"> </w:t>
      </w:r>
      <w:r w:rsidR="00C03342">
        <w:t>(</w:t>
      </w:r>
      <w:r>
        <w:t>2023)</w:t>
      </w:r>
    </w:p>
    <w:p w14:paraId="5136C432" w14:textId="24F0B91C" w:rsidR="0040109B" w:rsidRPr="0040109B" w:rsidRDefault="00B233FE" w:rsidP="00B233FE">
      <w:pPr>
        <w:ind w:left="360"/>
        <w:rPr>
          <w:b/>
          <w:bCs/>
        </w:rPr>
      </w:pPr>
      <w:r w:rsidRPr="00B233FE">
        <w:rPr>
          <w:b/>
          <w:bCs/>
          <w:lang w:val="en-US"/>
        </w:rPr>
        <w:t>The Future: Mitigation and Adaptation</w:t>
      </w:r>
    </w:p>
    <w:p w14:paraId="50C53B05" w14:textId="77777777" w:rsidR="0040109B" w:rsidRPr="0040109B" w:rsidRDefault="0040109B" w:rsidP="0040109B">
      <w:pPr>
        <w:numPr>
          <w:ilvl w:val="0"/>
          <w:numId w:val="1"/>
        </w:numPr>
      </w:pPr>
      <w:r w:rsidRPr="0040109B">
        <w:t>The most effective way to reduce ocean acidification is by tackling its main cause—rising carbon dioxide levels in the atmosphere. This can be achieved through global efforts to lower emissions, such as shifting to cleaner energy sources and adopting energy-efficient practices in daily life, transportation, and industry. These actions not only reduce carbon output but also help slow the rate of acidification in the oceans.</w:t>
      </w:r>
    </w:p>
    <w:p w14:paraId="0CFA13A5" w14:textId="77777777" w:rsidR="0040109B" w:rsidRPr="0040109B" w:rsidRDefault="0040109B" w:rsidP="0040109B">
      <w:pPr>
        <w:numPr>
          <w:ilvl w:val="0"/>
          <w:numId w:val="1"/>
        </w:numPr>
      </w:pPr>
      <w:r w:rsidRPr="0040109B">
        <w:lastRenderedPageBreak/>
        <w:t>Promoting sustainable fishing and farming practices can help reduce the drivers of ocean acidification and its impacts. Overfishing and destructive methods worsen acidification's effects on marine life, while sustainable approaches support ecosystem resilience. Similarly, reducing nitrogen runoff from agriculture - such as by limiting nitrogen-based fertilisers can lessen nutrient pollution and help protect coastal waters from further acidification</w:t>
      </w:r>
    </w:p>
    <w:p w14:paraId="48C76B6A" w14:textId="65263DE9" w:rsidR="0040109B" w:rsidRPr="0040109B" w:rsidRDefault="0040109B" w:rsidP="00C03342">
      <w:pPr>
        <w:numPr>
          <w:ilvl w:val="0"/>
          <w:numId w:val="1"/>
        </w:numPr>
      </w:pPr>
      <w:r w:rsidRPr="0040109B">
        <w:t>Protecting and restoring marine ecosystems can help them better withstand the effects of ocean acidification. Natural habitats such as mangroves, seagrasses, and coral reefs can absorb carbon dioxide from the atmosphere, reducing its impact on ocean chemistry. Efforts to maintain and rebuild these ecosystems also support marine life and contribute to overall ocean health.</w:t>
      </w:r>
      <w:r w:rsidR="00C03342">
        <w:t xml:space="preserve"> </w:t>
      </w:r>
      <w:r w:rsidR="00C03342" w:rsidRPr="00C03342">
        <w:t xml:space="preserve">Greenfield (2025) </w:t>
      </w:r>
    </w:p>
    <w:p w14:paraId="791355EB" w14:textId="77777777" w:rsidR="00C03342" w:rsidRDefault="00C03342">
      <w:pPr>
        <w:rPr>
          <w:b/>
          <w:bCs/>
        </w:rPr>
      </w:pPr>
    </w:p>
    <w:p w14:paraId="68047480" w14:textId="7155866F" w:rsidR="00254008" w:rsidRDefault="00C03342">
      <w:pPr>
        <w:rPr>
          <w:b/>
          <w:bCs/>
        </w:rPr>
      </w:pPr>
      <w:r w:rsidRPr="00C03342">
        <w:rPr>
          <w:b/>
          <w:bCs/>
        </w:rPr>
        <w:t>References:</w:t>
      </w:r>
    </w:p>
    <w:p w14:paraId="3FECECE5" w14:textId="77777777" w:rsidR="00C03342" w:rsidRDefault="00C03342" w:rsidP="00C03342">
      <w:r w:rsidRPr="00461E88">
        <w:t xml:space="preserve">Anderson. Kara (2025) </w:t>
      </w:r>
      <w:r w:rsidRPr="00461E88">
        <w:rPr>
          <w:i/>
          <w:iCs/>
        </w:rPr>
        <w:t>Understanding the UK Government’s Mandatory Net Zero Targets</w:t>
      </w:r>
      <w:r w:rsidRPr="00461E88">
        <w:t xml:space="preserve">, </w:t>
      </w:r>
      <w:proofErr w:type="gramStart"/>
      <w:r w:rsidRPr="00461E88">
        <w:rPr>
          <w:i/>
          <w:iCs/>
        </w:rPr>
        <w:t>Greenly</w:t>
      </w:r>
      <w:proofErr w:type="gramEnd"/>
      <w:r w:rsidRPr="00461E88">
        <w:t xml:space="preserve">. Available at: </w:t>
      </w:r>
      <w:hyperlink r:id="rId5" w:history="1">
        <w:r w:rsidRPr="007571C9">
          <w:rPr>
            <w:rStyle w:val="Hyperlink"/>
          </w:rPr>
          <w:t>https://greenly.earth/en-gb/blog/company-guide/understanding-the-uk-governments-mandatory-net-zero-targets</w:t>
        </w:r>
      </w:hyperlink>
      <w:r>
        <w:t xml:space="preserve"> </w:t>
      </w:r>
    </w:p>
    <w:p w14:paraId="7F48D0C6" w14:textId="77777777" w:rsidR="00C03342" w:rsidRDefault="00C03342" w:rsidP="00C03342">
      <w:r w:rsidRPr="00BA13DD">
        <w:t xml:space="preserve">Bradbury, D. (2024) </w:t>
      </w:r>
      <w:r w:rsidRPr="00BA13DD">
        <w:rPr>
          <w:i/>
          <w:iCs/>
        </w:rPr>
        <w:t>Ocean acidification will cost global economy $1 trillion by 2100</w:t>
      </w:r>
      <w:r w:rsidRPr="00BA13DD">
        <w:t xml:space="preserve">, </w:t>
      </w:r>
      <w:r w:rsidRPr="00BA13DD">
        <w:rPr>
          <w:i/>
          <w:iCs/>
        </w:rPr>
        <w:t>Trellis</w:t>
      </w:r>
      <w:r w:rsidRPr="00BA13DD">
        <w:t xml:space="preserve">. Available at: </w:t>
      </w:r>
      <w:hyperlink r:id="rId6" w:history="1">
        <w:r w:rsidRPr="00BA13DD">
          <w:rPr>
            <w:rStyle w:val="Hyperlink"/>
          </w:rPr>
          <w:t>https://trellis.net/article/ocean-acidification-will-cost-global-economy-1-trillion-2100/</w:t>
        </w:r>
      </w:hyperlink>
      <w:r>
        <w:t xml:space="preserve"> </w:t>
      </w:r>
    </w:p>
    <w:p w14:paraId="277E35FD" w14:textId="77777777" w:rsidR="00C03342" w:rsidRDefault="00C03342" w:rsidP="00C03342">
      <w:r w:rsidRPr="004F0F4C">
        <w:t xml:space="preserve">Cooper, R. (2019) </w:t>
      </w:r>
      <w:r w:rsidRPr="004F0F4C">
        <w:rPr>
          <w:i/>
          <w:iCs/>
        </w:rPr>
        <w:t xml:space="preserve">North Sea cod </w:t>
      </w:r>
      <w:proofErr w:type="gramStart"/>
      <w:r w:rsidRPr="004F0F4C">
        <w:rPr>
          <w:i/>
          <w:iCs/>
        </w:rPr>
        <w:t>loses</w:t>
      </w:r>
      <w:proofErr w:type="gramEnd"/>
      <w:r w:rsidRPr="004F0F4C">
        <w:rPr>
          <w:i/>
          <w:iCs/>
        </w:rPr>
        <w:t xml:space="preserve"> sustainability certification after fish population declines</w:t>
      </w:r>
      <w:r w:rsidRPr="004F0F4C">
        <w:t xml:space="preserve">, </w:t>
      </w:r>
      <w:r w:rsidRPr="004F0F4C">
        <w:rPr>
          <w:i/>
          <w:iCs/>
        </w:rPr>
        <w:t>Climate Action</w:t>
      </w:r>
      <w:r w:rsidRPr="004F0F4C">
        <w:t xml:space="preserve">. Available at: </w:t>
      </w:r>
      <w:hyperlink r:id="rId7" w:history="1">
        <w:r w:rsidRPr="004F0F4C">
          <w:rPr>
            <w:rStyle w:val="Hyperlink"/>
          </w:rPr>
          <w:t>https://www.climateaction.org/news/north-sea-cod-loses-sustainability-certification-after-fish-population-decl?utm_source=chatgpt.com</w:t>
        </w:r>
      </w:hyperlink>
      <w:r w:rsidRPr="004F0F4C">
        <w:t>.</w:t>
      </w:r>
      <w:r>
        <w:t xml:space="preserve"> </w:t>
      </w:r>
    </w:p>
    <w:p w14:paraId="2FEA00B4" w14:textId="77777777" w:rsidR="00C03342" w:rsidRDefault="00C03342" w:rsidP="00C03342">
      <w:r w:rsidRPr="00E04D36">
        <w:t xml:space="preserve">Davies, E. (2022) </w:t>
      </w:r>
      <w:r w:rsidRPr="00E04D36">
        <w:rPr>
          <w:i/>
          <w:iCs/>
        </w:rPr>
        <w:t>Scientists are investigating and fighting back against this serious risk to the marine environment</w:t>
      </w:r>
      <w:r w:rsidRPr="00E04D36">
        <w:t xml:space="preserve">, </w:t>
      </w:r>
      <w:r w:rsidRPr="00E04D36">
        <w:rPr>
          <w:i/>
          <w:iCs/>
        </w:rPr>
        <w:t>Acid in our oceans</w:t>
      </w:r>
      <w:r w:rsidRPr="00E04D36">
        <w:t xml:space="preserve">. Available at: </w:t>
      </w:r>
      <w:hyperlink r:id="rId8" w:history="1">
        <w:r w:rsidRPr="00E04D36">
          <w:rPr>
            <w:rStyle w:val="Hyperlink"/>
          </w:rPr>
          <w:t>https://edu.rsc.org/feature/ocean-acidification/4015135.article</w:t>
        </w:r>
      </w:hyperlink>
      <w:r>
        <w:t xml:space="preserve"> </w:t>
      </w:r>
    </w:p>
    <w:p w14:paraId="3F29D268" w14:textId="77777777" w:rsidR="00C03342" w:rsidRDefault="00C03342" w:rsidP="00C03342">
      <w:r w:rsidRPr="00C3586E">
        <w:t xml:space="preserve">Davis, K.L. </w:t>
      </w:r>
      <w:r w:rsidRPr="00C3586E">
        <w:rPr>
          <w:i/>
          <w:iCs/>
        </w:rPr>
        <w:t>et al.</w:t>
      </w:r>
      <w:r w:rsidRPr="00C3586E">
        <w:t xml:space="preserve"> (2021) “Global coral reef ecosystems exhibit declining calcification and increasing primary productivity,” </w:t>
      </w:r>
      <w:r w:rsidRPr="00C3586E">
        <w:rPr>
          <w:i/>
          <w:iCs/>
        </w:rPr>
        <w:t>Communications earth &amp; Environment</w:t>
      </w:r>
      <w:r w:rsidRPr="00C3586E">
        <w:t xml:space="preserve"> [Preprint]. Available at: </w:t>
      </w:r>
      <w:hyperlink r:id="rId9" w:history="1">
        <w:r w:rsidRPr="00C3586E">
          <w:rPr>
            <w:rStyle w:val="Hyperlink"/>
          </w:rPr>
          <w:t>https://www.nature.com/articles/s43247-021-00168-w</w:t>
        </w:r>
      </w:hyperlink>
      <w:r>
        <w:t xml:space="preserve"> </w:t>
      </w:r>
    </w:p>
    <w:p w14:paraId="4279B187" w14:textId="77777777" w:rsidR="00C03342" w:rsidRDefault="00C03342" w:rsidP="00C03342">
      <w:r w:rsidRPr="000E62E5">
        <w:t xml:space="preserve">DEFRA (2020) </w:t>
      </w:r>
      <w:r w:rsidRPr="000E62E5">
        <w:rPr>
          <w:i/>
          <w:iCs/>
        </w:rPr>
        <w:t xml:space="preserve">Marine Strategy Part Two:  UK updated monitoring </w:t>
      </w:r>
      <w:proofErr w:type="gramStart"/>
      <w:r w:rsidRPr="000E62E5">
        <w:rPr>
          <w:i/>
          <w:iCs/>
        </w:rPr>
        <w:t xml:space="preserve">programmes  </w:t>
      </w:r>
      <w:r w:rsidRPr="000E62E5">
        <w:t>.</w:t>
      </w:r>
      <w:proofErr w:type="gramEnd"/>
      <w:r w:rsidRPr="000E62E5">
        <w:t xml:space="preserve"> Available at: </w:t>
      </w:r>
      <w:hyperlink r:id="rId10" w:history="1">
        <w:r w:rsidRPr="000E62E5">
          <w:rPr>
            <w:rStyle w:val="Hyperlink"/>
          </w:rPr>
          <w:t>https://consult.defra.gov.uk/marine/updated-uk-marine-strategy-part-two-marine-monitor/supporting_documents/marinestrategyparttwoconsultationdocument.pdf?utm_source=chatgpt.com</w:t>
        </w:r>
      </w:hyperlink>
      <w:r w:rsidRPr="000E62E5">
        <w:t>.</w:t>
      </w:r>
      <w:r>
        <w:t xml:space="preserve"> </w:t>
      </w:r>
    </w:p>
    <w:p w14:paraId="519C6866" w14:textId="77777777" w:rsidR="00C03342" w:rsidRDefault="00C03342" w:rsidP="00C03342">
      <w:proofErr w:type="spellStart"/>
      <w:r w:rsidRPr="00E04D36">
        <w:t>Enviroliteracy</w:t>
      </w:r>
      <w:proofErr w:type="spellEnd"/>
      <w:r w:rsidRPr="00E04D36">
        <w:t xml:space="preserve"> Team (2024) </w:t>
      </w:r>
      <w:r w:rsidRPr="00E04D36">
        <w:rPr>
          <w:i/>
          <w:iCs/>
        </w:rPr>
        <w:t xml:space="preserve">How Does the Ocean Soak Up </w:t>
      </w:r>
      <w:proofErr w:type="gramStart"/>
      <w:r w:rsidRPr="00E04D36">
        <w:rPr>
          <w:i/>
          <w:iCs/>
        </w:rPr>
        <w:t>CO2?</w:t>
      </w:r>
      <w:r w:rsidRPr="00E04D36">
        <w:t>,</w:t>
      </w:r>
      <w:proofErr w:type="gramEnd"/>
      <w:r w:rsidRPr="00E04D36">
        <w:t xml:space="preserve"> </w:t>
      </w:r>
      <w:proofErr w:type="spellStart"/>
      <w:r w:rsidRPr="00E04D36">
        <w:rPr>
          <w:i/>
          <w:iCs/>
        </w:rPr>
        <w:t>Enviroliteracy</w:t>
      </w:r>
      <w:proofErr w:type="spellEnd"/>
      <w:r w:rsidRPr="00E04D36">
        <w:rPr>
          <w:i/>
          <w:iCs/>
        </w:rPr>
        <w:t xml:space="preserve"> org</w:t>
      </w:r>
      <w:r w:rsidRPr="00E04D36">
        <w:t>. Available at: https://enviroliteracy.org/how-does-the-ocean-soak-up-</w:t>
      </w:r>
      <w:r w:rsidRPr="00E04D36">
        <w:lastRenderedPageBreak/>
        <w:t xml:space="preserve">co2/#:~:text=This%20process%2C%20often%20referred%20to%20as%20the%20ocean,to%20sequester%20massive%20amounts%20of%20this%20greenhouse%20gas. </w:t>
      </w:r>
      <w:r>
        <w:br/>
      </w:r>
      <w:r w:rsidRPr="0000244B">
        <w:t xml:space="preserve">EPA (2025) </w:t>
      </w:r>
      <w:r w:rsidRPr="0000244B">
        <w:rPr>
          <w:i/>
          <w:iCs/>
        </w:rPr>
        <w:t>Effects of Ocean and Coastal Acidification on Marine Life</w:t>
      </w:r>
      <w:r w:rsidRPr="0000244B">
        <w:t xml:space="preserve">, </w:t>
      </w:r>
      <w:r w:rsidRPr="0000244B">
        <w:rPr>
          <w:i/>
          <w:iCs/>
        </w:rPr>
        <w:t>Effects on Marine Life</w:t>
      </w:r>
      <w:r w:rsidRPr="0000244B">
        <w:t xml:space="preserve">. Available at: </w:t>
      </w:r>
      <w:hyperlink r:id="rId11" w:history="1">
        <w:r w:rsidRPr="007571C9">
          <w:rPr>
            <w:rStyle w:val="Hyperlink"/>
          </w:rPr>
          <w:t>https://www.epa.gov/ocean-acidification/effects-ocean-and-coastal-acidification-marine-life</w:t>
        </w:r>
      </w:hyperlink>
      <w:r>
        <w:t xml:space="preserve"> </w:t>
      </w:r>
    </w:p>
    <w:p w14:paraId="785E0185" w14:textId="77777777" w:rsidR="00C03342" w:rsidRDefault="00C03342" w:rsidP="00C03342">
      <w:r w:rsidRPr="00847884">
        <w:t xml:space="preserve">Fish Focus (2024) </w:t>
      </w:r>
      <w:r w:rsidRPr="00847884">
        <w:rPr>
          <w:i/>
          <w:iCs/>
        </w:rPr>
        <w:t>UK FISHING OPPORTUNITIES WORTH OVER £970 MILLION SECURED FOR 2024</w:t>
      </w:r>
      <w:r w:rsidRPr="00847884">
        <w:t xml:space="preserve">, </w:t>
      </w:r>
      <w:r w:rsidRPr="00847884">
        <w:rPr>
          <w:i/>
          <w:iCs/>
        </w:rPr>
        <w:t>Fish Focus</w:t>
      </w:r>
      <w:r w:rsidRPr="00847884">
        <w:t xml:space="preserve">. Available at: </w:t>
      </w:r>
      <w:hyperlink r:id="rId12" w:history="1">
        <w:r w:rsidRPr="007571C9">
          <w:rPr>
            <w:rStyle w:val="Hyperlink"/>
          </w:rPr>
          <w:t>https://fishfocus.co.uk/uk-fishing-opportunities-worth-over-970m-secured-for-2024/#:~:text=Fishing%20opportunities%20worth%20over%20%C2%A3970%20million%20were%20secured,the%20government%20yesterday%20%28Wednesday%2010%20April%29%20has%20revealed</w:t>
        </w:r>
      </w:hyperlink>
      <w:r w:rsidRPr="00847884">
        <w:t>.</w:t>
      </w:r>
    </w:p>
    <w:p w14:paraId="496D3DCE" w14:textId="77777777" w:rsidR="00C03342" w:rsidRPr="00C353EE" w:rsidRDefault="00C03342" w:rsidP="00C03342">
      <w:r w:rsidRPr="00C353EE">
        <w:t xml:space="preserve">Greenfield, E. (2025) </w:t>
      </w:r>
      <w:r w:rsidRPr="00C353EE">
        <w:rPr>
          <w:i/>
          <w:iCs/>
        </w:rPr>
        <w:t xml:space="preserve">What Can Be Done </w:t>
      </w:r>
      <w:proofErr w:type="gramStart"/>
      <w:r w:rsidRPr="00C353EE">
        <w:rPr>
          <w:i/>
          <w:iCs/>
        </w:rPr>
        <w:t>To</w:t>
      </w:r>
      <w:proofErr w:type="gramEnd"/>
      <w:r w:rsidRPr="00C353EE">
        <w:rPr>
          <w:i/>
          <w:iCs/>
        </w:rPr>
        <w:t xml:space="preserve"> Reduce Ocean </w:t>
      </w:r>
      <w:proofErr w:type="gramStart"/>
      <w:r w:rsidRPr="00C353EE">
        <w:rPr>
          <w:i/>
          <w:iCs/>
        </w:rPr>
        <w:t>Acidification?</w:t>
      </w:r>
      <w:r w:rsidRPr="00C353EE">
        <w:t>,</w:t>
      </w:r>
      <w:proofErr w:type="gramEnd"/>
      <w:r w:rsidRPr="00C353EE">
        <w:t xml:space="preserve"> </w:t>
      </w:r>
      <w:proofErr w:type="spellStart"/>
      <w:r w:rsidRPr="00C353EE">
        <w:rPr>
          <w:i/>
          <w:iCs/>
        </w:rPr>
        <w:t>Sigmaearth</w:t>
      </w:r>
      <w:proofErr w:type="spellEnd"/>
      <w:r w:rsidRPr="00C353EE">
        <w:t xml:space="preserve">. Available at: </w:t>
      </w:r>
      <w:hyperlink r:id="rId13" w:history="1">
        <w:r w:rsidRPr="00C353EE">
          <w:rPr>
            <w:rStyle w:val="Hyperlink"/>
          </w:rPr>
          <w:t>https://sigmaearth.com/what-can-be-done-to-reduce-ocean-acidification/</w:t>
        </w:r>
      </w:hyperlink>
      <w:r>
        <w:t xml:space="preserve"> </w:t>
      </w:r>
    </w:p>
    <w:p w14:paraId="7EE8F6A7" w14:textId="77777777" w:rsidR="00C03342" w:rsidRDefault="00C03342" w:rsidP="00C03342">
      <w:r w:rsidRPr="00FA5E31">
        <w:t xml:space="preserve">jiang, L.-Q. </w:t>
      </w:r>
      <w:r w:rsidRPr="00FA5E31">
        <w:rPr>
          <w:i/>
          <w:iCs/>
        </w:rPr>
        <w:t>et al.</w:t>
      </w:r>
      <w:r w:rsidRPr="00FA5E31">
        <w:t xml:space="preserve"> (2023) “Global Surface Ocean Acidification Indicators From 1750 to 2100,” </w:t>
      </w:r>
      <w:r w:rsidRPr="00FA5E31">
        <w:rPr>
          <w:i/>
          <w:iCs/>
        </w:rPr>
        <w:t>Advances in modelling earth systems</w:t>
      </w:r>
      <w:r w:rsidRPr="00FA5E31">
        <w:t xml:space="preserve">, 15(3). Available at: </w:t>
      </w:r>
      <w:hyperlink r:id="rId14" w:history="1">
        <w:r w:rsidRPr="007571C9">
          <w:rPr>
            <w:rStyle w:val="Hyperlink"/>
          </w:rPr>
          <w:t>https://agupubs.onlinelibrary.wiley.com/doi/10.1029/2022MS003563</w:t>
        </w:r>
      </w:hyperlink>
      <w:r w:rsidRPr="00FA5E31">
        <w:t>.</w:t>
      </w:r>
      <w:r>
        <w:t xml:space="preserve"> </w:t>
      </w:r>
    </w:p>
    <w:p w14:paraId="4A4B574F" w14:textId="77777777" w:rsidR="00C03342" w:rsidRDefault="00C03342" w:rsidP="00C03342">
      <w:r w:rsidRPr="00BA13DD">
        <w:t xml:space="preserve">JNCC (2024) </w:t>
      </w:r>
      <w:r w:rsidRPr="00BA13DD">
        <w:rPr>
          <w:i/>
          <w:iCs/>
        </w:rPr>
        <w:t>Sustainable fisheries: fish stocks harvested within safe limits</w:t>
      </w:r>
      <w:r w:rsidRPr="00BA13DD">
        <w:t xml:space="preserve">, </w:t>
      </w:r>
      <w:r w:rsidRPr="00BA13DD">
        <w:rPr>
          <w:i/>
          <w:iCs/>
        </w:rPr>
        <w:t>Sustainable fisheries</w:t>
      </w:r>
      <w:r w:rsidRPr="00BA13DD">
        <w:t xml:space="preserve">. Available at: </w:t>
      </w:r>
      <w:hyperlink r:id="rId15" w:history="1">
        <w:r w:rsidRPr="00BA13DD">
          <w:rPr>
            <w:rStyle w:val="Hyperlink"/>
          </w:rPr>
          <w:t>https://jncc.gov.uk/our-work/ukbi-sustainable-fisheries/#:~:text=Estimates%20show%20that%20the%20percentage%20of%20UK%20quota-fish,UK%20quota-fish%20stocks%20were%20harvested%20unsustainably%20%28Figure%201%29</w:t>
        </w:r>
      </w:hyperlink>
      <w:r w:rsidRPr="00BA13DD">
        <w:t>.</w:t>
      </w:r>
      <w:r>
        <w:t xml:space="preserve"> </w:t>
      </w:r>
    </w:p>
    <w:p w14:paraId="4761483E" w14:textId="77777777" w:rsidR="00C03342" w:rsidRDefault="00C03342" w:rsidP="00C03342">
      <w:r w:rsidRPr="00461E88">
        <w:t xml:space="preserve">LNB News (2020) </w:t>
      </w:r>
      <w:r w:rsidRPr="00461E88">
        <w:rPr>
          <w:i/>
          <w:iCs/>
        </w:rPr>
        <w:t>Government confirms 30 countries have joined Global Ocean Alliance</w:t>
      </w:r>
      <w:r w:rsidRPr="00461E88">
        <w:t xml:space="preserve">, </w:t>
      </w:r>
      <w:r w:rsidRPr="00461E88">
        <w:rPr>
          <w:i/>
          <w:iCs/>
        </w:rPr>
        <w:t>LexisNexis</w:t>
      </w:r>
      <w:r w:rsidRPr="00461E88">
        <w:t xml:space="preserve">. Available at: </w:t>
      </w:r>
      <w:hyperlink r:id="rId16" w:history="1">
        <w:r w:rsidRPr="00461E88">
          <w:rPr>
            <w:rStyle w:val="Hyperlink"/>
          </w:rPr>
          <w:t>https://www.lexisnexis.co.uk/lexis-sidebar/handler.html?utm_source=news_pages&amp;utm_medium=on_site_advert</w:t>
        </w:r>
      </w:hyperlink>
      <w:r w:rsidRPr="00461E88">
        <w:t>.</w:t>
      </w:r>
    </w:p>
    <w:p w14:paraId="7A1D447E" w14:textId="77777777" w:rsidR="00C03342" w:rsidRDefault="00C03342" w:rsidP="00C03342">
      <w:r w:rsidRPr="00BD250A">
        <w:t xml:space="preserve">Mangi, S.C. </w:t>
      </w:r>
      <w:r w:rsidRPr="00BD250A">
        <w:rPr>
          <w:i/>
          <w:iCs/>
        </w:rPr>
        <w:t>et al.</w:t>
      </w:r>
      <w:r w:rsidRPr="00BD250A">
        <w:t xml:space="preserve"> (2018) “The economic impacts of ocean acidification on shellfish fisheries and aquaculture in the United Kingdom,” </w:t>
      </w:r>
      <w:r w:rsidRPr="00BD250A">
        <w:rPr>
          <w:i/>
          <w:iCs/>
        </w:rPr>
        <w:t>Environmental Science and Policy</w:t>
      </w:r>
      <w:r w:rsidRPr="00BD250A">
        <w:t>,</w:t>
      </w:r>
      <w:r>
        <w:t xml:space="preserve"> </w:t>
      </w:r>
      <w:r w:rsidRPr="00BD250A">
        <w:t xml:space="preserve">86. Available at: </w:t>
      </w:r>
      <w:hyperlink r:id="rId17" w:history="1">
        <w:r w:rsidRPr="00BD250A">
          <w:rPr>
            <w:rStyle w:val="Hyperlink"/>
          </w:rPr>
          <w:t>https://www.sciencedirect.com/science/article/abs/pii/S1462901117311528</w:t>
        </w:r>
      </w:hyperlink>
      <w:r w:rsidRPr="00BD250A">
        <w:t xml:space="preserve"> </w:t>
      </w:r>
    </w:p>
    <w:p w14:paraId="4FD98B09" w14:textId="77777777" w:rsidR="00C03342" w:rsidRDefault="00C03342" w:rsidP="00C03342">
      <w:r w:rsidRPr="00955D16">
        <w:t xml:space="preserve">Murray, A.G. </w:t>
      </w:r>
      <w:r w:rsidRPr="00955D16">
        <w:rPr>
          <w:i/>
          <w:iCs/>
        </w:rPr>
        <w:t>et al.</w:t>
      </w:r>
      <w:r w:rsidRPr="00955D16">
        <w:t xml:space="preserve"> (2025) “Climate change impacts on </w:t>
      </w:r>
      <w:proofErr w:type="gramStart"/>
      <w:r w:rsidRPr="00955D16">
        <w:t>marine  aquaculture</w:t>
      </w:r>
      <w:proofErr w:type="gramEnd"/>
      <w:r w:rsidRPr="00955D16">
        <w:t xml:space="preserve"> relevant to the </w:t>
      </w:r>
      <w:proofErr w:type="gramStart"/>
      <w:r w:rsidRPr="00955D16">
        <w:t>UK ,</w:t>
      </w:r>
      <w:proofErr w:type="gramEnd"/>
      <w:r w:rsidRPr="00955D16">
        <w:t xml:space="preserve">” </w:t>
      </w:r>
      <w:r w:rsidRPr="00955D16">
        <w:rPr>
          <w:i/>
          <w:iCs/>
        </w:rPr>
        <w:t>MCCIP</w:t>
      </w:r>
      <w:r w:rsidRPr="00955D16">
        <w:t xml:space="preserve"> [Preprint]. Available at: </w:t>
      </w:r>
      <w:hyperlink r:id="rId18" w:history="1">
        <w:r w:rsidRPr="00955D16">
          <w:rPr>
            <w:rStyle w:val="Hyperlink"/>
          </w:rPr>
          <w:t>https://www.mccip.org.uk/sites/default/files/2025-02/Aquaculture%20update_Feb%202025.pdf</w:t>
        </w:r>
      </w:hyperlink>
      <w:r w:rsidRPr="00955D16">
        <w:t>.</w:t>
      </w:r>
      <w:r>
        <w:t xml:space="preserve"> </w:t>
      </w:r>
    </w:p>
    <w:p w14:paraId="67B7BC72" w14:textId="77777777" w:rsidR="00C03342" w:rsidRPr="000E62E5" w:rsidRDefault="00C03342" w:rsidP="00C03342">
      <w:r w:rsidRPr="000E62E5">
        <w:t xml:space="preserve">Plymouth Marine Laboratory (2023) </w:t>
      </w:r>
      <w:r w:rsidRPr="000E62E5">
        <w:rPr>
          <w:i/>
          <w:iCs/>
        </w:rPr>
        <w:t>Defra boost for ocean acidification research: PML funded to become Secretariat for the UN-endorsed “OARS” programme</w:t>
      </w:r>
      <w:r w:rsidRPr="000E62E5">
        <w:t xml:space="preserve">, </w:t>
      </w:r>
      <w:r w:rsidRPr="000E62E5">
        <w:rPr>
          <w:i/>
          <w:iCs/>
        </w:rPr>
        <w:t>Plymouth Marine Laboratory</w:t>
      </w:r>
      <w:r w:rsidRPr="000E62E5">
        <w:t xml:space="preserve">. Available at: </w:t>
      </w:r>
      <w:hyperlink r:id="rId19" w:history="1">
        <w:r w:rsidRPr="000E62E5">
          <w:rPr>
            <w:rStyle w:val="Hyperlink"/>
          </w:rPr>
          <w:t>https://pml.ac.uk/news/defra-boost-for-ocean-acidification-research-pml-f/?utm_source=chatgpt.com</w:t>
        </w:r>
      </w:hyperlink>
      <w:r w:rsidRPr="000E62E5">
        <w:t>.</w:t>
      </w:r>
      <w:r>
        <w:t xml:space="preserve"> </w:t>
      </w:r>
    </w:p>
    <w:p w14:paraId="0EC55C00" w14:textId="77777777" w:rsidR="00C03342" w:rsidRDefault="00C03342" w:rsidP="00C03342">
      <w:r w:rsidRPr="004C53BA">
        <w:lastRenderedPageBreak/>
        <w:t xml:space="preserve">Rayhan, A. (2024) “Ocean Acidification: Consequences and Solutions in the Face of Climate Change,” </w:t>
      </w:r>
      <w:r w:rsidRPr="004C53BA">
        <w:rPr>
          <w:i/>
          <w:iCs/>
        </w:rPr>
        <w:t>ResearchGate</w:t>
      </w:r>
      <w:r w:rsidRPr="004C53BA">
        <w:t xml:space="preserve"> [Preprint]. Available at: </w:t>
      </w:r>
      <w:hyperlink r:id="rId20" w:history="1">
        <w:r w:rsidRPr="004C53BA">
          <w:rPr>
            <w:rStyle w:val="Hyperlink"/>
          </w:rPr>
          <w:t>https://www.researchgate.net/publication/380434313_Ocean_Acidification_Consequences_and_Solutions_in_the_Face_of_Climate_Change</w:t>
        </w:r>
      </w:hyperlink>
      <w:r>
        <w:t xml:space="preserve"> </w:t>
      </w:r>
      <w:r w:rsidRPr="004C53BA">
        <w:t xml:space="preserve"> </w:t>
      </w:r>
    </w:p>
    <w:p w14:paraId="446725C5" w14:textId="77777777" w:rsidR="00C03342" w:rsidRDefault="00C03342" w:rsidP="00C03342">
      <w:proofErr w:type="spellStart"/>
      <w:r w:rsidRPr="004903F6">
        <w:t>Saligumba</w:t>
      </w:r>
      <w:proofErr w:type="spellEnd"/>
      <w:r w:rsidRPr="004903F6">
        <w:t xml:space="preserve">, M.F. (2025) </w:t>
      </w:r>
      <w:r w:rsidRPr="004903F6">
        <w:rPr>
          <w:i/>
          <w:iCs/>
        </w:rPr>
        <w:t xml:space="preserve">Coral Reefs </w:t>
      </w:r>
      <w:proofErr w:type="gramStart"/>
      <w:r w:rsidRPr="004903F6">
        <w:rPr>
          <w:i/>
          <w:iCs/>
        </w:rPr>
        <w:t>The</w:t>
      </w:r>
      <w:proofErr w:type="gramEnd"/>
      <w:r w:rsidRPr="004903F6">
        <w:rPr>
          <w:i/>
          <w:iCs/>
        </w:rPr>
        <w:t xml:space="preserve"> Rainforests of the Ocean and Their Struggle for Survival</w:t>
      </w:r>
      <w:r w:rsidRPr="004903F6">
        <w:t xml:space="preserve">, </w:t>
      </w:r>
      <w:r w:rsidRPr="004903F6">
        <w:rPr>
          <w:i/>
          <w:iCs/>
        </w:rPr>
        <w:t>Discover Wild Science</w:t>
      </w:r>
      <w:r w:rsidRPr="004903F6">
        <w:t xml:space="preserve">. Available at: </w:t>
      </w:r>
      <w:hyperlink r:id="rId21" w:history="1">
        <w:r w:rsidRPr="004903F6">
          <w:rPr>
            <w:rStyle w:val="Hyperlink"/>
          </w:rPr>
          <w:t>https://discoverwildscience.com/coral-reefs-the-rainforests-of-the-ocean-and-their-struggle-for-survival-2-266157/</w:t>
        </w:r>
      </w:hyperlink>
      <w:r>
        <w:t xml:space="preserve"> </w:t>
      </w:r>
    </w:p>
    <w:p w14:paraId="4420D221" w14:textId="77777777" w:rsidR="00C03342" w:rsidRDefault="00C03342" w:rsidP="00C03342">
      <w:r w:rsidRPr="004F0F4C">
        <w:t xml:space="preserve">UCL (2024) </w:t>
      </w:r>
      <w:r w:rsidRPr="004F0F4C">
        <w:rPr>
          <w:i/>
          <w:iCs/>
        </w:rPr>
        <w:t>Seabirds: 40% of UK species in trouble – bird flu, climate change and overfishing to blame</w:t>
      </w:r>
      <w:r w:rsidRPr="004F0F4C">
        <w:t xml:space="preserve">, </w:t>
      </w:r>
      <w:r w:rsidRPr="004F0F4C">
        <w:rPr>
          <w:i/>
          <w:iCs/>
        </w:rPr>
        <w:t xml:space="preserve">UCL </w:t>
      </w:r>
      <w:proofErr w:type="spellStart"/>
      <w:r w:rsidRPr="004F0F4C">
        <w:rPr>
          <w:i/>
          <w:iCs/>
        </w:rPr>
        <w:t>Newa</w:t>
      </w:r>
      <w:proofErr w:type="spellEnd"/>
      <w:r w:rsidRPr="004F0F4C">
        <w:t xml:space="preserve">. Available at: </w:t>
      </w:r>
      <w:hyperlink r:id="rId22" w:history="1">
        <w:r w:rsidRPr="004F0F4C">
          <w:rPr>
            <w:rStyle w:val="Hyperlink"/>
          </w:rPr>
          <w:t>https://www.ucl.ac.uk/news/2024/sep/comment-seabirds-40-uk-species-trouble-bird-flu-climate-change-and-overfishing-blame?utm_source=chatgpt.com</w:t>
        </w:r>
      </w:hyperlink>
      <w:r w:rsidRPr="004F0F4C">
        <w:t>.</w:t>
      </w:r>
      <w:r>
        <w:t xml:space="preserve"> </w:t>
      </w:r>
    </w:p>
    <w:p w14:paraId="3A2A147B" w14:textId="77777777" w:rsidR="00C03342" w:rsidRDefault="00C03342" w:rsidP="00C03342">
      <w:r w:rsidRPr="00461E88">
        <w:t xml:space="preserve">United Nations (2025) </w:t>
      </w:r>
      <w:r w:rsidRPr="00461E88">
        <w:rPr>
          <w:i/>
          <w:iCs/>
        </w:rPr>
        <w:t>Goal 14: Conserve and sustainably use the oceans, seas and marine resources</w:t>
      </w:r>
      <w:r w:rsidRPr="00461E88">
        <w:t xml:space="preserve">, </w:t>
      </w:r>
      <w:proofErr w:type="gramStart"/>
      <w:r w:rsidRPr="00461E88">
        <w:rPr>
          <w:i/>
          <w:iCs/>
        </w:rPr>
        <w:t>Regional</w:t>
      </w:r>
      <w:proofErr w:type="gramEnd"/>
      <w:r w:rsidRPr="00461E88">
        <w:rPr>
          <w:i/>
          <w:iCs/>
        </w:rPr>
        <w:t xml:space="preserve"> information centre for western </w:t>
      </w:r>
      <w:proofErr w:type="spellStart"/>
      <w:r w:rsidRPr="00461E88">
        <w:rPr>
          <w:i/>
          <w:iCs/>
        </w:rPr>
        <w:t>Eurpoe</w:t>
      </w:r>
      <w:proofErr w:type="spellEnd"/>
      <w:r w:rsidRPr="00461E88">
        <w:t xml:space="preserve">. Available at: </w:t>
      </w:r>
      <w:hyperlink r:id="rId23" w:history="1">
        <w:r w:rsidRPr="00461E88">
          <w:rPr>
            <w:rStyle w:val="Hyperlink"/>
          </w:rPr>
          <w:t>https://unric.org/en/sdg-14/</w:t>
        </w:r>
      </w:hyperlink>
      <w:r>
        <w:t xml:space="preserve"> </w:t>
      </w:r>
    </w:p>
    <w:p w14:paraId="7B607A03" w14:textId="77777777" w:rsidR="00C03342" w:rsidRDefault="00C03342" w:rsidP="00C03342">
      <w:r w:rsidRPr="00BD250A">
        <w:t xml:space="preserve">WWF (2022) </w:t>
      </w:r>
      <w:r w:rsidRPr="00BD250A">
        <w:rPr>
          <w:i/>
          <w:iCs/>
        </w:rPr>
        <w:t>Ignore global impacts of UK seafood consumption “at our peril,”</w:t>
      </w:r>
      <w:r w:rsidRPr="00BD250A">
        <w:t xml:space="preserve"> </w:t>
      </w:r>
      <w:r w:rsidRPr="00BD250A">
        <w:rPr>
          <w:i/>
          <w:iCs/>
        </w:rPr>
        <w:t>WWF</w:t>
      </w:r>
      <w:r w:rsidRPr="00BD250A">
        <w:t xml:space="preserve">. Available at: </w:t>
      </w:r>
      <w:hyperlink r:id="rId24" w:history="1">
        <w:r w:rsidRPr="00BD250A">
          <w:rPr>
            <w:rStyle w:val="Hyperlink"/>
          </w:rPr>
          <w:t>https://www.wwf.org.uk/press-release/impacts-uk-seafood-consumption</w:t>
        </w:r>
      </w:hyperlink>
      <w:r>
        <w:t xml:space="preserve"> </w:t>
      </w:r>
    </w:p>
    <w:p w14:paraId="316662E6" w14:textId="77777777" w:rsidR="00C03342" w:rsidRPr="00C03342" w:rsidRDefault="00C03342"/>
    <w:sectPr w:rsidR="00C03342" w:rsidRPr="00C033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D2735A"/>
    <w:multiLevelType w:val="hybridMultilevel"/>
    <w:tmpl w:val="3990AA1C"/>
    <w:lvl w:ilvl="0" w:tplc="76A8A72C">
      <w:start w:val="1"/>
      <w:numFmt w:val="bullet"/>
      <w:lvlText w:val="•"/>
      <w:lvlJc w:val="left"/>
      <w:pPr>
        <w:tabs>
          <w:tab w:val="num" w:pos="720"/>
        </w:tabs>
        <w:ind w:left="720" w:hanging="360"/>
      </w:pPr>
      <w:rPr>
        <w:rFonts w:ascii="Times New Roman" w:hAnsi="Times New Roman" w:hint="default"/>
      </w:rPr>
    </w:lvl>
    <w:lvl w:ilvl="1" w:tplc="BD10C054" w:tentative="1">
      <w:start w:val="1"/>
      <w:numFmt w:val="bullet"/>
      <w:lvlText w:val="•"/>
      <w:lvlJc w:val="left"/>
      <w:pPr>
        <w:tabs>
          <w:tab w:val="num" w:pos="1440"/>
        </w:tabs>
        <w:ind w:left="1440" w:hanging="360"/>
      </w:pPr>
      <w:rPr>
        <w:rFonts w:ascii="Times New Roman" w:hAnsi="Times New Roman" w:hint="default"/>
      </w:rPr>
    </w:lvl>
    <w:lvl w:ilvl="2" w:tplc="F25C4B6A" w:tentative="1">
      <w:start w:val="1"/>
      <w:numFmt w:val="bullet"/>
      <w:lvlText w:val="•"/>
      <w:lvlJc w:val="left"/>
      <w:pPr>
        <w:tabs>
          <w:tab w:val="num" w:pos="2160"/>
        </w:tabs>
        <w:ind w:left="2160" w:hanging="360"/>
      </w:pPr>
      <w:rPr>
        <w:rFonts w:ascii="Times New Roman" w:hAnsi="Times New Roman" w:hint="default"/>
      </w:rPr>
    </w:lvl>
    <w:lvl w:ilvl="3" w:tplc="9C8C5704" w:tentative="1">
      <w:start w:val="1"/>
      <w:numFmt w:val="bullet"/>
      <w:lvlText w:val="•"/>
      <w:lvlJc w:val="left"/>
      <w:pPr>
        <w:tabs>
          <w:tab w:val="num" w:pos="2880"/>
        </w:tabs>
        <w:ind w:left="2880" w:hanging="360"/>
      </w:pPr>
      <w:rPr>
        <w:rFonts w:ascii="Times New Roman" w:hAnsi="Times New Roman" w:hint="default"/>
      </w:rPr>
    </w:lvl>
    <w:lvl w:ilvl="4" w:tplc="8BE2E0EE" w:tentative="1">
      <w:start w:val="1"/>
      <w:numFmt w:val="bullet"/>
      <w:lvlText w:val="•"/>
      <w:lvlJc w:val="left"/>
      <w:pPr>
        <w:tabs>
          <w:tab w:val="num" w:pos="3600"/>
        </w:tabs>
        <w:ind w:left="3600" w:hanging="360"/>
      </w:pPr>
      <w:rPr>
        <w:rFonts w:ascii="Times New Roman" w:hAnsi="Times New Roman" w:hint="default"/>
      </w:rPr>
    </w:lvl>
    <w:lvl w:ilvl="5" w:tplc="A1DADAB6" w:tentative="1">
      <w:start w:val="1"/>
      <w:numFmt w:val="bullet"/>
      <w:lvlText w:val="•"/>
      <w:lvlJc w:val="left"/>
      <w:pPr>
        <w:tabs>
          <w:tab w:val="num" w:pos="4320"/>
        </w:tabs>
        <w:ind w:left="4320" w:hanging="360"/>
      </w:pPr>
      <w:rPr>
        <w:rFonts w:ascii="Times New Roman" w:hAnsi="Times New Roman" w:hint="default"/>
      </w:rPr>
    </w:lvl>
    <w:lvl w:ilvl="6" w:tplc="0DB42138" w:tentative="1">
      <w:start w:val="1"/>
      <w:numFmt w:val="bullet"/>
      <w:lvlText w:val="•"/>
      <w:lvlJc w:val="left"/>
      <w:pPr>
        <w:tabs>
          <w:tab w:val="num" w:pos="5040"/>
        </w:tabs>
        <w:ind w:left="5040" w:hanging="360"/>
      </w:pPr>
      <w:rPr>
        <w:rFonts w:ascii="Times New Roman" w:hAnsi="Times New Roman" w:hint="default"/>
      </w:rPr>
    </w:lvl>
    <w:lvl w:ilvl="7" w:tplc="C53C4200" w:tentative="1">
      <w:start w:val="1"/>
      <w:numFmt w:val="bullet"/>
      <w:lvlText w:val="•"/>
      <w:lvlJc w:val="left"/>
      <w:pPr>
        <w:tabs>
          <w:tab w:val="num" w:pos="5760"/>
        </w:tabs>
        <w:ind w:left="5760" w:hanging="360"/>
      </w:pPr>
      <w:rPr>
        <w:rFonts w:ascii="Times New Roman" w:hAnsi="Times New Roman" w:hint="default"/>
      </w:rPr>
    </w:lvl>
    <w:lvl w:ilvl="8" w:tplc="72769C38"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2133498F"/>
    <w:multiLevelType w:val="hybridMultilevel"/>
    <w:tmpl w:val="6366C4BA"/>
    <w:lvl w:ilvl="0" w:tplc="9DFE7FCA">
      <w:start w:val="1"/>
      <w:numFmt w:val="bullet"/>
      <w:lvlText w:val="•"/>
      <w:lvlJc w:val="left"/>
      <w:pPr>
        <w:tabs>
          <w:tab w:val="num" w:pos="720"/>
        </w:tabs>
        <w:ind w:left="720" w:hanging="360"/>
      </w:pPr>
      <w:rPr>
        <w:rFonts w:ascii="Times New Roman" w:hAnsi="Times New Roman" w:hint="default"/>
      </w:rPr>
    </w:lvl>
    <w:lvl w:ilvl="1" w:tplc="D6948A0A" w:tentative="1">
      <w:start w:val="1"/>
      <w:numFmt w:val="bullet"/>
      <w:lvlText w:val="•"/>
      <w:lvlJc w:val="left"/>
      <w:pPr>
        <w:tabs>
          <w:tab w:val="num" w:pos="1440"/>
        </w:tabs>
        <w:ind w:left="1440" w:hanging="360"/>
      </w:pPr>
      <w:rPr>
        <w:rFonts w:ascii="Times New Roman" w:hAnsi="Times New Roman" w:hint="default"/>
      </w:rPr>
    </w:lvl>
    <w:lvl w:ilvl="2" w:tplc="377AB5DA" w:tentative="1">
      <w:start w:val="1"/>
      <w:numFmt w:val="bullet"/>
      <w:lvlText w:val="•"/>
      <w:lvlJc w:val="left"/>
      <w:pPr>
        <w:tabs>
          <w:tab w:val="num" w:pos="2160"/>
        </w:tabs>
        <w:ind w:left="2160" w:hanging="360"/>
      </w:pPr>
      <w:rPr>
        <w:rFonts w:ascii="Times New Roman" w:hAnsi="Times New Roman" w:hint="default"/>
      </w:rPr>
    </w:lvl>
    <w:lvl w:ilvl="3" w:tplc="10108E0A" w:tentative="1">
      <w:start w:val="1"/>
      <w:numFmt w:val="bullet"/>
      <w:lvlText w:val="•"/>
      <w:lvlJc w:val="left"/>
      <w:pPr>
        <w:tabs>
          <w:tab w:val="num" w:pos="2880"/>
        </w:tabs>
        <w:ind w:left="2880" w:hanging="360"/>
      </w:pPr>
      <w:rPr>
        <w:rFonts w:ascii="Times New Roman" w:hAnsi="Times New Roman" w:hint="default"/>
      </w:rPr>
    </w:lvl>
    <w:lvl w:ilvl="4" w:tplc="7A9AEB84" w:tentative="1">
      <w:start w:val="1"/>
      <w:numFmt w:val="bullet"/>
      <w:lvlText w:val="•"/>
      <w:lvlJc w:val="left"/>
      <w:pPr>
        <w:tabs>
          <w:tab w:val="num" w:pos="3600"/>
        </w:tabs>
        <w:ind w:left="3600" w:hanging="360"/>
      </w:pPr>
      <w:rPr>
        <w:rFonts w:ascii="Times New Roman" w:hAnsi="Times New Roman" w:hint="default"/>
      </w:rPr>
    </w:lvl>
    <w:lvl w:ilvl="5" w:tplc="C30635FE" w:tentative="1">
      <w:start w:val="1"/>
      <w:numFmt w:val="bullet"/>
      <w:lvlText w:val="•"/>
      <w:lvlJc w:val="left"/>
      <w:pPr>
        <w:tabs>
          <w:tab w:val="num" w:pos="4320"/>
        </w:tabs>
        <w:ind w:left="4320" w:hanging="360"/>
      </w:pPr>
      <w:rPr>
        <w:rFonts w:ascii="Times New Roman" w:hAnsi="Times New Roman" w:hint="default"/>
      </w:rPr>
    </w:lvl>
    <w:lvl w:ilvl="6" w:tplc="CE10F80E" w:tentative="1">
      <w:start w:val="1"/>
      <w:numFmt w:val="bullet"/>
      <w:lvlText w:val="•"/>
      <w:lvlJc w:val="left"/>
      <w:pPr>
        <w:tabs>
          <w:tab w:val="num" w:pos="5040"/>
        </w:tabs>
        <w:ind w:left="5040" w:hanging="360"/>
      </w:pPr>
      <w:rPr>
        <w:rFonts w:ascii="Times New Roman" w:hAnsi="Times New Roman" w:hint="default"/>
      </w:rPr>
    </w:lvl>
    <w:lvl w:ilvl="7" w:tplc="D3B44FDC" w:tentative="1">
      <w:start w:val="1"/>
      <w:numFmt w:val="bullet"/>
      <w:lvlText w:val="•"/>
      <w:lvlJc w:val="left"/>
      <w:pPr>
        <w:tabs>
          <w:tab w:val="num" w:pos="5760"/>
        </w:tabs>
        <w:ind w:left="5760" w:hanging="360"/>
      </w:pPr>
      <w:rPr>
        <w:rFonts w:ascii="Times New Roman" w:hAnsi="Times New Roman" w:hint="default"/>
      </w:rPr>
    </w:lvl>
    <w:lvl w:ilvl="8" w:tplc="3BC0A334" w:tentative="1">
      <w:start w:val="1"/>
      <w:numFmt w:val="bullet"/>
      <w:lvlText w:val="•"/>
      <w:lvlJc w:val="left"/>
      <w:pPr>
        <w:tabs>
          <w:tab w:val="num" w:pos="6480"/>
        </w:tabs>
        <w:ind w:left="6480" w:hanging="360"/>
      </w:pPr>
      <w:rPr>
        <w:rFonts w:ascii="Times New Roman" w:hAnsi="Times New Roman" w:hint="default"/>
      </w:rPr>
    </w:lvl>
  </w:abstractNum>
  <w:abstractNum w:abstractNumId="2" w15:restartNumberingAfterBreak="0">
    <w:nsid w:val="21F30DF5"/>
    <w:multiLevelType w:val="hybridMultilevel"/>
    <w:tmpl w:val="499C3BB4"/>
    <w:lvl w:ilvl="0" w:tplc="EBD87846">
      <w:start w:val="1"/>
      <w:numFmt w:val="bullet"/>
      <w:lvlText w:val="•"/>
      <w:lvlJc w:val="left"/>
      <w:pPr>
        <w:tabs>
          <w:tab w:val="num" w:pos="720"/>
        </w:tabs>
        <w:ind w:left="720" w:hanging="360"/>
      </w:pPr>
      <w:rPr>
        <w:rFonts w:ascii="Times New Roman" w:hAnsi="Times New Roman" w:hint="default"/>
      </w:rPr>
    </w:lvl>
    <w:lvl w:ilvl="1" w:tplc="A5821BBC" w:tentative="1">
      <w:start w:val="1"/>
      <w:numFmt w:val="bullet"/>
      <w:lvlText w:val="•"/>
      <w:lvlJc w:val="left"/>
      <w:pPr>
        <w:tabs>
          <w:tab w:val="num" w:pos="1440"/>
        </w:tabs>
        <w:ind w:left="1440" w:hanging="360"/>
      </w:pPr>
      <w:rPr>
        <w:rFonts w:ascii="Times New Roman" w:hAnsi="Times New Roman" w:hint="default"/>
      </w:rPr>
    </w:lvl>
    <w:lvl w:ilvl="2" w:tplc="721E70AE" w:tentative="1">
      <w:start w:val="1"/>
      <w:numFmt w:val="bullet"/>
      <w:lvlText w:val="•"/>
      <w:lvlJc w:val="left"/>
      <w:pPr>
        <w:tabs>
          <w:tab w:val="num" w:pos="2160"/>
        </w:tabs>
        <w:ind w:left="2160" w:hanging="360"/>
      </w:pPr>
      <w:rPr>
        <w:rFonts w:ascii="Times New Roman" w:hAnsi="Times New Roman" w:hint="default"/>
      </w:rPr>
    </w:lvl>
    <w:lvl w:ilvl="3" w:tplc="29A88AD0" w:tentative="1">
      <w:start w:val="1"/>
      <w:numFmt w:val="bullet"/>
      <w:lvlText w:val="•"/>
      <w:lvlJc w:val="left"/>
      <w:pPr>
        <w:tabs>
          <w:tab w:val="num" w:pos="2880"/>
        </w:tabs>
        <w:ind w:left="2880" w:hanging="360"/>
      </w:pPr>
      <w:rPr>
        <w:rFonts w:ascii="Times New Roman" w:hAnsi="Times New Roman" w:hint="default"/>
      </w:rPr>
    </w:lvl>
    <w:lvl w:ilvl="4" w:tplc="EF5AE17E" w:tentative="1">
      <w:start w:val="1"/>
      <w:numFmt w:val="bullet"/>
      <w:lvlText w:val="•"/>
      <w:lvlJc w:val="left"/>
      <w:pPr>
        <w:tabs>
          <w:tab w:val="num" w:pos="3600"/>
        </w:tabs>
        <w:ind w:left="3600" w:hanging="360"/>
      </w:pPr>
      <w:rPr>
        <w:rFonts w:ascii="Times New Roman" w:hAnsi="Times New Roman" w:hint="default"/>
      </w:rPr>
    </w:lvl>
    <w:lvl w:ilvl="5" w:tplc="1C46E922" w:tentative="1">
      <w:start w:val="1"/>
      <w:numFmt w:val="bullet"/>
      <w:lvlText w:val="•"/>
      <w:lvlJc w:val="left"/>
      <w:pPr>
        <w:tabs>
          <w:tab w:val="num" w:pos="4320"/>
        </w:tabs>
        <w:ind w:left="4320" w:hanging="360"/>
      </w:pPr>
      <w:rPr>
        <w:rFonts w:ascii="Times New Roman" w:hAnsi="Times New Roman" w:hint="default"/>
      </w:rPr>
    </w:lvl>
    <w:lvl w:ilvl="6" w:tplc="6882D7CA" w:tentative="1">
      <w:start w:val="1"/>
      <w:numFmt w:val="bullet"/>
      <w:lvlText w:val="•"/>
      <w:lvlJc w:val="left"/>
      <w:pPr>
        <w:tabs>
          <w:tab w:val="num" w:pos="5040"/>
        </w:tabs>
        <w:ind w:left="5040" w:hanging="360"/>
      </w:pPr>
      <w:rPr>
        <w:rFonts w:ascii="Times New Roman" w:hAnsi="Times New Roman" w:hint="default"/>
      </w:rPr>
    </w:lvl>
    <w:lvl w:ilvl="7" w:tplc="E528F24C" w:tentative="1">
      <w:start w:val="1"/>
      <w:numFmt w:val="bullet"/>
      <w:lvlText w:val="•"/>
      <w:lvlJc w:val="left"/>
      <w:pPr>
        <w:tabs>
          <w:tab w:val="num" w:pos="5760"/>
        </w:tabs>
        <w:ind w:left="5760" w:hanging="360"/>
      </w:pPr>
      <w:rPr>
        <w:rFonts w:ascii="Times New Roman" w:hAnsi="Times New Roman" w:hint="default"/>
      </w:rPr>
    </w:lvl>
    <w:lvl w:ilvl="8" w:tplc="E788E7EA" w:tentative="1">
      <w:start w:val="1"/>
      <w:numFmt w:val="bullet"/>
      <w:lvlText w:val="•"/>
      <w:lvlJc w:val="left"/>
      <w:pPr>
        <w:tabs>
          <w:tab w:val="num" w:pos="6480"/>
        </w:tabs>
        <w:ind w:left="6480" w:hanging="360"/>
      </w:pPr>
      <w:rPr>
        <w:rFonts w:ascii="Times New Roman" w:hAnsi="Times New Roman" w:hint="default"/>
      </w:rPr>
    </w:lvl>
  </w:abstractNum>
  <w:abstractNum w:abstractNumId="3" w15:restartNumberingAfterBreak="0">
    <w:nsid w:val="296D759F"/>
    <w:multiLevelType w:val="hybridMultilevel"/>
    <w:tmpl w:val="4CEA13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3340ABF"/>
    <w:multiLevelType w:val="hybridMultilevel"/>
    <w:tmpl w:val="02D29C6C"/>
    <w:lvl w:ilvl="0" w:tplc="72E4077E">
      <w:start w:val="1"/>
      <w:numFmt w:val="bullet"/>
      <w:lvlText w:val="•"/>
      <w:lvlJc w:val="left"/>
      <w:pPr>
        <w:tabs>
          <w:tab w:val="num" w:pos="720"/>
        </w:tabs>
        <w:ind w:left="720" w:hanging="360"/>
      </w:pPr>
      <w:rPr>
        <w:rFonts w:ascii="Times New Roman" w:hAnsi="Times New Roman" w:hint="default"/>
      </w:rPr>
    </w:lvl>
    <w:lvl w:ilvl="1" w:tplc="E932B868" w:tentative="1">
      <w:start w:val="1"/>
      <w:numFmt w:val="bullet"/>
      <w:lvlText w:val="•"/>
      <w:lvlJc w:val="left"/>
      <w:pPr>
        <w:tabs>
          <w:tab w:val="num" w:pos="1440"/>
        </w:tabs>
        <w:ind w:left="1440" w:hanging="360"/>
      </w:pPr>
      <w:rPr>
        <w:rFonts w:ascii="Times New Roman" w:hAnsi="Times New Roman" w:hint="default"/>
      </w:rPr>
    </w:lvl>
    <w:lvl w:ilvl="2" w:tplc="F390865C" w:tentative="1">
      <w:start w:val="1"/>
      <w:numFmt w:val="bullet"/>
      <w:lvlText w:val="•"/>
      <w:lvlJc w:val="left"/>
      <w:pPr>
        <w:tabs>
          <w:tab w:val="num" w:pos="2160"/>
        </w:tabs>
        <w:ind w:left="2160" w:hanging="360"/>
      </w:pPr>
      <w:rPr>
        <w:rFonts w:ascii="Times New Roman" w:hAnsi="Times New Roman" w:hint="default"/>
      </w:rPr>
    </w:lvl>
    <w:lvl w:ilvl="3" w:tplc="D82A3AF8" w:tentative="1">
      <w:start w:val="1"/>
      <w:numFmt w:val="bullet"/>
      <w:lvlText w:val="•"/>
      <w:lvlJc w:val="left"/>
      <w:pPr>
        <w:tabs>
          <w:tab w:val="num" w:pos="2880"/>
        </w:tabs>
        <w:ind w:left="2880" w:hanging="360"/>
      </w:pPr>
      <w:rPr>
        <w:rFonts w:ascii="Times New Roman" w:hAnsi="Times New Roman" w:hint="default"/>
      </w:rPr>
    </w:lvl>
    <w:lvl w:ilvl="4" w:tplc="CAC2EAD2" w:tentative="1">
      <w:start w:val="1"/>
      <w:numFmt w:val="bullet"/>
      <w:lvlText w:val="•"/>
      <w:lvlJc w:val="left"/>
      <w:pPr>
        <w:tabs>
          <w:tab w:val="num" w:pos="3600"/>
        </w:tabs>
        <w:ind w:left="3600" w:hanging="360"/>
      </w:pPr>
      <w:rPr>
        <w:rFonts w:ascii="Times New Roman" w:hAnsi="Times New Roman" w:hint="default"/>
      </w:rPr>
    </w:lvl>
    <w:lvl w:ilvl="5" w:tplc="12F45D1A" w:tentative="1">
      <w:start w:val="1"/>
      <w:numFmt w:val="bullet"/>
      <w:lvlText w:val="•"/>
      <w:lvlJc w:val="left"/>
      <w:pPr>
        <w:tabs>
          <w:tab w:val="num" w:pos="4320"/>
        </w:tabs>
        <w:ind w:left="4320" w:hanging="360"/>
      </w:pPr>
      <w:rPr>
        <w:rFonts w:ascii="Times New Roman" w:hAnsi="Times New Roman" w:hint="default"/>
      </w:rPr>
    </w:lvl>
    <w:lvl w:ilvl="6" w:tplc="2BC0D358" w:tentative="1">
      <w:start w:val="1"/>
      <w:numFmt w:val="bullet"/>
      <w:lvlText w:val="•"/>
      <w:lvlJc w:val="left"/>
      <w:pPr>
        <w:tabs>
          <w:tab w:val="num" w:pos="5040"/>
        </w:tabs>
        <w:ind w:left="5040" w:hanging="360"/>
      </w:pPr>
      <w:rPr>
        <w:rFonts w:ascii="Times New Roman" w:hAnsi="Times New Roman" w:hint="default"/>
      </w:rPr>
    </w:lvl>
    <w:lvl w:ilvl="7" w:tplc="7FCEA03E" w:tentative="1">
      <w:start w:val="1"/>
      <w:numFmt w:val="bullet"/>
      <w:lvlText w:val="•"/>
      <w:lvlJc w:val="left"/>
      <w:pPr>
        <w:tabs>
          <w:tab w:val="num" w:pos="5760"/>
        </w:tabs>
        <w:ind w:left="5760" w:hanging="360"/>
      </w:pPr>
      <w:rPr>
        <w:rFonts w:ascii="Times New Roman" w:hAnsi="Times New Roman" w:hint="default"/>
      </w:rPr>
    </w:lvl>
    <w:lvl w:ilvl="8" w:tplc="E78682D6"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A8825F8"/>
    <w:multiLevelType w:val="hybridMultilevel"/>
    <w:tmpl w:val="AA8EAAAA"/>
    <w:lvl w:ilvl="0" w:tplc="AD3454A8">
      <w:start w:val="1"/>
      <w:numFmt w:val="bullet"/>
      <w:lvlText w:val="•"/>
      <w:lvlJc w:val="left"/>
      <w:pPr>
        <w:tabs>
          <w:tab w:val="num" w:pos="720"/>
        </w:tabs>
        <w:ind w:left="720" w:hanging="360"/>
      </w:pPr>
      <w:rPr>
        <w:rFonts w:ascii="Times New Roman" w:hAnsi="Times New Roman" w:hint="default"/>
      </w:rPr>
    </w:lvl>
    <w:lvl w:ilvl="1" w:tplc="1C4CFA98" w:tentative="1">
      <w:start w:val="1"/>
      <w:numFmt w:val="bullet"/>
      <w:lvlText w:val="•"/>
      <w:lvlJc w:val="left"/>
      <w:pPr>
        <w:tabs>
          <w:tab w:val="num" w:pos="1440"/>
        </w:tabs>
        <w:ind w:left="1440" w:hanging="360"/>
      </w:pPr>
      <w:rPr>
        <w:rFonts w:ascii="Times New Roman" w:hAnsi="Times New Roman" w:hint="default"/>
      </w:rPr>
    </w:lvl>
    <w:lvl w:ilvl="2" w:tplc="31226A18" w:tentative="1">
      <w:start w:val="1"/>
      <w:numFmt w:val="bullet"/>
      <w:lvlText w:val="•"/>
      <w:lvlJc w:val="left"/>
      <w:pPr>
        <w:tabs>
          <w:tab w:val="num" w:pos="2160"/>
        </w:tabs>
        <w:ind w:left="2160" w:hanging="360"/>
      </w:pPr>
      <w:rPr>
        <w:rFonts w:ascii="Times New Roman" w:hAnsi="Times New Roman" w:hint="default"/>
      </w:rPr>
    </w:lvl>
    <w:lvl w:ilvl="3" w:tplc="BAE434BE" w:tentative="1">
      <w:start w:val="1"/>
      <w:numFmt w:val="bullet"/>
      <w:lvlText w:val="•"/>
      <w:lvlJc w:val="left"/>
      <w:pPr>
        <w:tabs>
          <w:tab w:val="num" w:pos="2880"/>
        </w:tabs>
        <w:ind w:left="2880" w:hanging="360"/>
      </w:pPr>
      <w:rPr>
        <w:rFonts w:ascii="Times New Roman" w:hAnsi="Times New Roman" w:hint="default"/>
      </w:rPr>
    </w:lvl>
    <w:lvl w:ilvl="4" w:tplc="B342890E" w:tentative="1">
      <w:start w:val="1"/>
      <w:numFmt w:val="bullet"/>
      <w:lvlText w:val="•"/>
      <w:lvlJc w:val="left"/>
      <w:pPr>
        <w:tabs>
          <w:tab w:val="num" w:pos="3600"/>
        </w:tabs>
        <w:ind w:left="3600" w:hanging="360"/>
      </w:pPr>
      <w:rPr>
        <w:rFonts w:ascii="Times New Roman" w:hAnsi="Times New Roman" w:hint="default"/>
      </w:rPr>
    </w:lvl>
    <w:lvl w:ilvl="5" w:tplc="6AE0B430" w:tentative="1">
      <w:start w:val="1"/>
      <w:numFmt w:val="bullet"/>
      <w:lvlText w:val="•"/>
      <w:lvlJc w:val="left"/>
      <w:pPr>
        <w:tabs>
          <w:tab w:val="num" w:pos="4320"/>
        </w:tabs>
        <w:ind w:left="4320" w:hanging="360"/>
      </w:pPr>
      <w:rPr>
        <w:rFonts w:ascii="Times New Roman" w:hAnsi="Times New Roman" w:hint="default"/>
      </w:rPr>
    </w:lvl>
    <w:lvl w:ilvl="6" w:tplc="2714A7FC" w:tentative="1">
      <w:start w:val="1"/>
      <w:numFmt w:val="bullet"/>
      <w:lvlText w:val="•"/>
      <w:lvlJc w:val="left"/>
      <w:pPr>
        <w:tabs>
          <w:tab w:val="num" w:pos="5040"/>
        </w:tabs>
        <w:ind w:left="5040" w:hanging="360"/>
      </w:pPr>
      <w:rPr>
        <w:rFonts w:ascii="Times New Roman" w:hAnsi="Times New Roman" w:hint="default"/>
      </w:rPr>
    </w:lvl>
    <w:lvl w:ilvl="7" w:tplc="E8E412B0" w:tentative="1">
      <w:start w:val="1"/>
      <w:numFmt w:val="bullet"/>
      <w:lvlText w:val="•"/>
      <w:lvlJc w:val="left"/>
      <w:pPr>
        <w:tabs>
          <w:tab w:val="num" w:pos="5760"/>
        </w:tabs>
        <w:ind w:left="5760" w:hanging="360"/>
      </w:pPr>
      <w:rPr>
        <w:rFonts w:ascii="Times New Roman" w:hAnsi="Times New Roman" w:hint="default"/>
      </w:rPr>
    </w:lvl>
    <w:lvl w:ilvl="8" w:tplc="5C9E8556" w:tentative="1">
      <w:start w:val="1"/>
      <w:numFmt w:val="bullet"/>
      <w:lvlText w:val="•"/>
      <w:lvlJc w:val="left"/>
      <w:pPr>
        <w:tabs>
          <w:tab w:val="num" w:pos="6480"/>
        </w:tabs>
        <w:ind w:left="6480" w:hanging="360"/>
      </w:pPr>
      <w:rPr>
        <w:rFonts w:ascii="Times New Roman" w:hAnsi="Times New Roman" w:hint="default"/>
      </w:rPr>
    </w:lvl>
  </w:abstractNum>
  <w:abstractNum w:abstractNumId="6" w15:restartNumberingAfterBreak="0">
    <w:nsid w:val="6C066139"/>
    <w:multiLevelType w:val="hybridMultilevel"/>
    <w:tmpl w:val="244260C8"/>
    <w:lvl w:ilvl="0" w:tplc="748E00AE">
      <w:start w:val="1"/>
      <w:numFmt w:val="bullet"/>
      <w:lvlText w:val="•"/>
      <w:lvlJc w:val="left"/>
      <w:pPr>
        <w:tabs>
          <w:tab w:val="num" w:pos="720"/>
        </w:tabs>
        <w:ind w:left="720" w:hanging="360"/>
      </w:pPr>
      <w:rPr>
        <w:rFonts w:ascii="Times New Roman" w:hAnsi="Times New Roman" w:hint="default"/>
      </w:rPr>
    </w:lvl>
    <w:lvl w:ilvl="1" w:tplc="7034E970" w:tentative="1">
      <w:start w:val="1"/>
      <w:numFmt w:val="bullet"/>
      <w:lvlText w:val="•"/>
      <w:lvlJc w:val="left"/>
      <w:pPr>
        <w:tabs>
          <w:tab w:val="num" w:pos="1440"/>
        </w:tabs>
        <w:ind w:left="1440" w:hanging="360"/>
      </w:pPr>
      <w:rPr>
        <w:rFonts w:ascii="Times New Roman" w:hAnsi="Times New Roman" w:hint="default"/>
      </w:rPr>
    </w:lvl>
    <w:lvl w:ilvl="2" w:tplc="30D235D0" w:tentative="1">
      <w:start w:val="1"/>
      <w:numFmt w:val="bullet"/>
      <w:lvlText w:val="•"/>
      <w:lvlJc w:val="left"/>
      <w:pPr>
        <w:tabs>
          <w:tab w:val="num" w:pos="2160"/>
        </w:tabs>
        <w:ind w:left="2160" w:hanging="360"/>
      </w:pPr>
      <w:rPr>
        <w:rFonts w:ascii="Times New Roman" w:hAnsi="Times New Roman" w:hint="default"/>
      </w:rPr>
    </w:lvl>
    <w:lvl w:ilvl="3" w:tplc="D5F6F4F4" w:tentative="1">
      <w:start w:val="1"/>
      <w:numFmt w:val="bullet"/>
      <w:lvlText w:val="•"/>
      <w:lvlJc w:val="left"/>
      <w:pPr>
        <w:tabs>
          <w:tab w:val="num" w:pos="2880"/>
        </w:tabs>
        <w:ind w:left="2880" w:hanging="360"/>
      </w:pPr>
      <w:rPr>
        <w:rFonts w:ascii="Times New Roman" w:hAnsi="Times New Roman" w:hint="default"/>
      </w:rPr>
    </w:lvl>
    <w:lvl w:ilvl="4" w:tplc="C7BC114C" w:tentative="1">
      <w:start w:val="1"/>
      <w:numFmt w:val="bullet"/>
      <w:lvlText w:val="•"/>
      <w:lvlJc w:val="left"/>
      <w:pPr>
        <w:tabs>
          <w:tab w:val="num" w:pos="3600"/>
        </w:tabs>
        <w:ind w:left="3600" w:hanging="360"/>
      </w:pPr>
      <w:rPr>
        <w:rFonts w:ascii="Times New Roman" w:hAnsi="Times New Roman" w:hint="default"/>
      </w:rPr>
    </w:lvl>
    <w:lvl w:ilvl="5" w:tplc="076E5848" w:tentative="1">
      <w:start w:val="1"/>
      <w:numFmt w:val="bullet"/>
      <w:lvlText w:val="•"/>
      <w:lvlJc w:val="left"/>
      <w:pPr>
        <w:tabs>
          <w:tab w:val="num" w:pos="4320"/>
        </w:tabs>
        <w:ind w:left="4320" w:hanging="360"/>
      </w:pPr>
      <w:rPr>
        <w:rFonts w:ascii="Times New Roman" w:hAnsi="Times New Roman" w:hint="default"/>
      </w:rPr>
    </w:lvl>
    <w:lvl w:ilvl="6" w:tplc="4376799A" w:tentative="1">
      <w:start w:val="1"/>
      <w:numFmt w:val="bullet"/>
      <w:lvlText w:val="•"/>
      <w:lvlJc w:val="left"/>
      <w:pPr>
        <w:tabs>
          <w:tab w:val="num" w:pos="5040"/>
        </w:tabs>
        <w:ind w:left="5040" w:hanging="360"/>
      </w:pPr>
      <w:rPr>
        <w:rFonts w:ascii="Times New Roman" w:hAnsi="Times New Roman" w:hint="default"/>
      </w:rPr>
    </w:lvl>
    <w:lvl w:ilvl="7" w:tplc="727A3B2E" w:tentative="1">
      <w:start w:val="1"/>
      <w:numFmt w:val="bullet"/>
      <w:lvlText w:val="•"/>
      <w:lvlJc w:val="left"/>
      <w:pPr>
        <w:tabs>
          <w:tab w:val="num" w:pos="5760"/>
        </w:tabs>
        <w:ind w:left="5760" w:hanging="360"/>
      </w:pPr>
      <w:rPr>
        <w:rFonts w:ascii="Times New Roman" w:hAnsi="Times New Roman" w:hint="default"/>
      </w:rPr>
    </w:lvl>
    <w:lvl w:ilvl="8" w:tplc="E1F4C9AC" w:tentative="1">
      <w:start w:val="1"/>
      <w:numFmt w:val="bullet"/>
      <w:lvlText w:val="•"/>
      <w:lvlJc w:val="left"/>
      <w:pPr>
        <w:tabs>
          <w:tab w:val="num" w:pos="6480"/>
        </w:tabs>
        <w:ind w:left="6480" w:hanging="360"/>
      </w:pPr>
      <w:rPr>
        <w:rFonts w:ascii="Times New Roman" w:hAnsi="Times New Roman" w:hint="default"/>
      </w:rPr>
    </w:lvl>
  </w:abstractNum>
  <w:num w:numId="1" w16cid:durableId="1634212434">
    <w:abstractNumId w:val="4"/>
  </w:num>
  <w:num w:numId="2" w16cid:durableId="1396658601">
    <w:abstractNumId w:val="5"/>
  </w:num>
  <w:num w:numId="3" w16cid:durableId="1250314764">
    <w:abstractNumId w:val="2"/>
  </w:num>
  <w:num w:numId="4" w16cid:durableId="1328286760">
    <w:abstractNumId w:val="0"/>
  </w:num>
  <w:num w:numId="5" w16cid:durableId="1426337816">
    <w:abstractNumId w:val="1"/>
  </w:num>
  <w:num w:numId="6" w16cid:durableId="1130200572">
    <w:abstractNumId w:val="6"/>
  </w:num>
  <w:num w:numId="7" w16cid:durableId="36302585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109B"/>
    <w:rsid w:val="001E4131"/>
    <w:rsid w:val="00254008"/>
    <w:rsid w:val="00275DF7"/>
    <w:rsid w:val="0040109B"/>
    <w:rsid w:val="0066547F"/>
    <w:rsid w:val="00857B78"/>
    <w:rsid w:val="009E4341"/>
    <w:rsid w:val="00A125FF"/>
    <w:rsid w:val="00B233FE"/>
    <w:rsid w:val="00C03342"/>
    <w:rsid w:val="00FB0C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866581D"/>
  <w15:chartTrackingRefBased/>
  <w15:docId w15:val="{D6C5B1F9-8184-4BF2-A354-CEE0EF98A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109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0109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0109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109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109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109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109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109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109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109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0109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0109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109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109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109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109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109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109B"/>
    <w:rPr>
      <w:rFonts w:eastAsiaTheme="majorEastAsia" w:cstheme="majorBidi"/>
      <w:color w:val="272727" w:themeColor="text1" w:themeTint="D8"/>
    </w:rPr>
  </w:style>
  <w:style w:type="paragraph" w:styleId="Title">
    <w:name w:val="Title"/>
    <w:basedOn w:val="Normal"/>
    <w:next w:val="Normal"/>
    <w:link w:val="TitleChar"/>
    <w:uiPriority w:val="10"/>
    <w:qFormat/>
    <w:rsid w:val="0040109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109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109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109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109B"/>
    <w:pPr>
      <w:spacing w:before="160"/>
      <w:jc w:val="center"/>
    </w:pPr>
    <w:rPr>
      <w:i/>
      <w:iCs/>
      <w:color w:val="404040" w:themeColor="text1" w:themeTint="BF"/>
    </w:rPr>
  </w:style>
  <w:style w:type="character" w:customStyle="1" w:styleId="QuoteChar">
    <w:name w:val="Quote Char"/>
    <w:basedOn w:val="DefaultParagraphFont"/>
    <w:link w:val="Quote"/>
    <w:uiPriority w:val="29"/>
    <w:rsid w:val="0040109B"/>
    <w:rPr>
      <w:i/>
      <w:iCs/>
      <w:color w:val="404040" w:themeColor="text1" w:themeTint="BF"/>
    </w:rPr>
  </w:style>
  <w:style w:type="paragraph" w:styleId="ListParagraph">
    <w:name w:val="List Paragraph"/>
    <w:basedOn w:val="Normal"/>
    <w:uiPriority w:val="34"/>
    <w:qFormat/>
    <w:rsid w:val="0040109B"/>
    <w:pPr>
      <w:ind w:left="720"/>
      <w:contextualSpacing/>
    </w:pPr>
  </w:style>
  <w:style w:type="character" w:styleId="IntenseEmphasis">
    <w:name w:val="Intense Emphasis"/>
    <w:basedOn w:val="DefaultParagraphFont"/>
    <w:uiPriority w:val="21"/>
    <w:qFormat/>
    <w:rsid w:val="0040109B"/>
    <w:rPr>
      <w:i/>
      <w:iCs/>
      <w:color w:val="0F4761" w:themeColor="accent1" w:themeShade="BF"/>
    </w:rPr>
  </w:style>
  <w:style w:type="paragraph" w:styleId="IntenseQuote">
    <w:name w:val="Intense Quote"/>
    <w:basedOn w:val="Normal"/>
    <w:next w:val="Normal"/>
    <w:link w:val="IntenseQuoteChar"/>
    <w:uiPriority w:val="30"/>
    <w:qFormat/>
    <w:rsid w:val="0040109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109B"/>
    <w:rPr>
      <w:i/>
      <w:iCs/>
      <w:color w:val="0F4761" w:themeColor="accent1" w:themeShade="BF"/>
    </w:rPr>
  </w:style>
  <w:style w:type="character" w:styleId="IntenseReference">
    <w:name w:val="Intense Reference"/>
    <w:basedOn w:val="DefaultParagraphFont"/>
    <w:uiPriority w:val="32"/>
    <w:qFormat/>
    <w:rsid w:val="0040109B"/>
    <w:rPr>
      <w:b/>
      <w:bCs/>
      <w:smallCaps/>
      <w:color w:val="0F4761" w:themeColor="accent1" w:themeShade="BF"/>
      <w:spacing w:val="5"/>
    </w:rPr>
  </w:style>
  <w:style w:type="paragraph" w:styleId="NormalWeb">
    <w:name w:val="Normal (Web)"/>
    <w:basedOn w:val="Normal"/>
    <w:uiPriority w:val="99"/>
    <w:semiHidden/>
    <w:unhideWhenUsed/>
    <w:rsid w:val="00857B78"/>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Hyperlink">
    <w:name w:val="Hyperlink"/>
    <w:basedOn w:val="DefaultParagraphFont"/>
    <w:uiPriority w:val="99"/>
    <w:unhideWhenUsed/>
    <w:rsid w:val="00C0334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3505526">
      <w:bodyDiv w:val="1"/>
      <w:marLeft w:val="0"/>
      <w:marRight w:val="0"/>
      <w:marTop w:val="0"/>
      <w:marBottom w:val="0"/>
      <w:divBdr>
        <w:top w:val="none" w:sz="0" w:space="0" w:color="auto"/>
        <w:left w:val="none" w:sz="0" w:space="0" w:color="auto"/>
        <w:bottom w:val="none" w:sz="0" w:space="0" w:color="auto"/>
        <w:right w:val="none" w:sz="0" w:space="0" w:color="auto"/>
      </w:divBdr>
    </w:div>
    <w:div w:id="49961123">
      <w:bodyDiv w:val="1"/>
      <w:marLeft w:val="0"/>
      <w:marRight w:val="0"/>
      <w:marTop w:val="0"/>
      <w:marBottom w:val="0"/>
      <w:divBdr>
        <w:top w:val="none" w:sz="0" w:space="0" w:color="auto"/>
        <w:left w:val="none" w:sz="0" w:space="0" w:color="auto"/>
        <w:bottom w:val="none" w:sz="0" w:space="0" w:color="auto"/>
        <w:right w:val="none" w:sz="0" w:space="0" w:color="auto"/>
      </w:divBdr>
      <w:divsChild>
        <w:div w:id="1676348277">
          <w:marLeft w:val="547"/>
          <w:marRight w:val="0"/>
          <w:marTop w:val="0"/>
          <w:marBottom w:val="0"/>
          <w:divBdr>
            <w:top w:val="none" w:sz="0" w:space="0" w:color="auto"/>
            <w:left w:val="none" w:sz="0" w:space="0" w:color="auto"/>
            <w:bottom w:val="none" w:sz="0" w:space="0" w:color="auto"/>
            <w:right w:val="none" w:sz="0" w:space="0" w:color="auto"/>
          </w:divBdr>
        </w:div>
      </w:divsChild>
    </w:div>
    <w:div w:id="164831397">
      <w:bodyDiv w:val="1"/>
      <w:marLeft w:val="0"/>
      <w:marRight w:val="0"/>
      <w:marTop w:val="0"/>
      <w:marBottom w:val="0"/>
      <w:divBdr>
        <w:top w:val="none" w:sz="0" w:space="0" w:color="auto"/>
        <w:left w:val="none" w:sz="0" w:space="0" w:color="auto"/>
        <w:bottom w:val="none" w:sz="0" w:space="0" w:color="auto"/>
        <w:right w:val="none" w:sz="0" w:space="0" w:color="auto"/>
      </w:divBdr>
    </w:div>
    <w:div w:id="217398585">
      <w:bodyDiv w:val="1"/>
      <w:marLeft w:val="0"/>
      <w:marRight w:val="0"/>
      <w:marTop w:val="0"/>
      <w:marBottom w:val="0"/>
      <w:divBdr>
        <w:top w:val="none" w:sz="0" w:space="0" w:color="auto"/>
        <w:left w:val="none" w:sz="0" w:space="0" w:color="auto"/>
        <w:bottom w:val="none" w:sz="0" w:space="0" w:color="auto"/>
        <w:right w:val="none" w:sz="0" w:space="0" w:color="auto"/>
      </w:divBdr>
    </w:div>
    <w:div w:id="308291996">
      <w:bodyDiv w:val="1"/>
      <w:marLeft w:val="0"/>
      <w:marRight w:val="0"/>
      <w:marTop w:val="0"/>
      <w:marBottom w:val="0"/>
      <w:divBdr>
        <w:top w:val="none" w:sz="0" w:space="0" w:color="auto"/>
        <w:left w:val="none" w:sz="0" w:space="0" w:color="auto"/>
        <w:bottom w:val="none" w:sz="0" w:space="0" w:color="auto"/>
        <w:right w:val="none" w:sz="0" w:space="0" w:color="auto"/>
      </w:divBdr>
    </w:div>
    <w:div w:id="454452142">
      <w:bodyDiv w:val="1"/>
      <w:marLeft w:val="0"/>
      <w:marRight w:val="0"/>
      <w:marTop w:val="0"/>
      <w:marBottom w:val="0"/>
      <w:divBdr>
        <w:top w:val="none" w:sz="0" w:space="0" w:color="auto"/>
        <w:left w:val="none" w:sz="0" w:space="0" w:color="auto"/>
        <w:bottom w:val="none" w:sz="0" w:space="0" w:color="auto"/>
        <w:right w:val="none" w:sz="0" w:space="0" w:color="auto"/>
      </w:divBdr>
    </w:div>
    <w:div w:id="468868149">
      <w:bodyDiv w:val="1"/>
      <w:marLeft w:val="0"/>
      <w:marRight w:val="0"/>
      <w:marTop w:val="0"/>
      <w:marBottom w:val="0"/>
      <w:divBdr>
        <w:top w:val="none" w:sz="0" w:space="0" w:color="auto"/>
        <w:left w:val="none" w:sz="0" w:space="0" w:color="auto"/>
        <w:bottom w:val="none" w:sz="0" w:space="0" w:color="auto"/>
        <w:right w:val="none" w:sz="0" w:space="0" w:color="auto"/>
      </w:divBdr>
    </w:div>
    <w:div w:id="474182391">
      <w:bodyDiv w:val="1"/>
      <w:marLeft w:val="0"/>
      <w:marRight w:val="0"/>
      <w:marTop w:val="0"/>
      <w:marBottom w:val="0"/>
      <w:divBdr>
        <w:top w:val="none" w:sz="0" w:space="0" w:color="auto"/>
        <w:left w:val="none" w:sz="0" w:space="0" w:color="auto"/>
        <w:bottom w:val="none" w:sz="0" w:space="0" w:color="auto"/>
        <w:right w:val="none" w:sz="0" w:space="0" w:color="auto"/>
      </w:divBdr>
    </w:div>
    <w:div w:id="665868218">
      <w:bodyDiv w:val="1"/>
      <w:marLeft w:val="0"/>
      <w:marRight w:val="0"/>
      <w:marTop w:val="0"/>
      <w:marBottom w:val="0"/>
      <w:divBdr>
        <w:top w:val="none" w:sz="0" w:space="0" w:color="auto"/>
        <w:left w:val="none" w:sz="0" w:space="0" w:color="auto"/>
        <w:bottom w:val="none" w:sz="0" w:space="0" w:color="auto"/>
        <w:right w:val="none" w:sz="0" w:space="0" w:color="auto"/>
      </w:divBdr>
    </w:div>
    <w:div w:id="740296895">
      <w:bodyDiv w:val="1"/>
      <w:marLeft w:val="0"/>
      <w:marRight w:val="0"/>
      <w:marTop w:val="0"/>
      <w:marBottom w:val="0"/>
      <w:divBdr>
        <w:top w:val="none" w:sz="0" w:space="0" w:color="auto"/>
        <w:left w:val="none" w:sz="0" w:space="0" w:color="auto"/>
        <w:bottom w:val="none" w:sz="0" w:space="0" w:color="auto"/>
        <w:right w:val="none" w:sz="0" w:space="0" w:color="auto"/>
      </w:divBdr>
      <w:divsChild>
        <w:div w:id="1284464161">
          <w:marLeft w:val="547"/>
          <w:marRight w:val="0"/>
          <w:marTop w:val="0"/>
          <w:marBottom w:val="0"/>
          <w:divBdr>
            <w:top w:val="none" w:sz="0" w:space="0" w:color="auto"/>
            <w:left w:val="none" w:sz="0" w:space="0" w:color="auto"/>
            <w:bottom w:val="none" w:sz="0" w:space="0" w:color="auto"/>
            <w:right w:val="none" w:sz="0" w:space="0" w:color="auto"/>
          </w:divBdr>
        </w:div>
      </w:divsChild>
    </w:div>
    <w:div w:id="835264924">
      <w:bodyDiv w:val="1"/>
      <w:marLeft w:val="0"/>
      <w:marRight w:val="0"/>
      <w:marTop w:val="0"/>
      <w:marBottom w:val="0"/>
      <w:divBdr>
        <w:top w:val="none" w:sz="0" w:space="0" w:color="auto"/>
        <w:left w:val="none" w:sz="0" w:space="0" w:color="auto"/>
        <w:bottom w:val="none" w:sz="0" w:space="0" w:color="auto"/>
        <w:right w:val="none" w:sz="0" w:space="0" w:color="auto"/>
      </w:divBdr>
    </w:div>
    <w:div w:id="858196560">
      <w:bodyDiv w:val="1"/>
      <w:marLeft w:val="0"/>
      <w:marRight w:val="0"/>
      <w:marTop w:val="0"/>
      <w:marBottom w:val="0"/>
      <w:divBdr>
        <w:top w:val="none" w:sz="0" w:space="0" w:color="auto"/>
        <w:left w:val="none" w:sz="0" w:space="0" w:color="auto"/>
        <w:bottom w:val="none" w:sz="0" w:space="0" w:color="auto"/>
        <w:right w:val="none" w:sz="0" w:space="0" w:color="auto"/>
      </w:divBdr>
    </w:div>
    <w:div w:id="860512152">
      <w:bodyDiv w:val="1"/>
      <w:marLeft w:val="0"/>
      <w:marRight w:val="0"/>
      <w:marTop w:val="0"/>
      <w:marBottom w:val="0"/>
      <w:divBdr>
        <w:top w:val="none" w:sz="0" w:space="0" w:color="auto"/>
        <w:left w:val="none" w:sz="0" w:space="0" w:color="auto"/>
        <w:bottom w:val="none" w:sz="0" w:space="0" w:color="auto"/>
        <w:right w:val="none" w:sz="0" w:space="0" w:color="auto"/>
      </w:divBdr>
      <w:divsChild>
        <w:div w:id="1867674323">
          <w:marLeft w:val="547"/>
          <w:marRight w:val="0"/>
          <w:marTop w:val="0"/>
          <w:marBottom w:val="0"/>
          <w:divBdr>
            <w:top w:val="none" w:sz="0" w:space="0" w:color="auto"/>
            <w:left w:val="none" w:sz="0" w:space="0" w:color="auto"/>
            <w:bottom w:val="none" w:sz="0" w:space="0" w:color="auto"/>
            <w:right w:val="none" w:sz="0" w:space="0" w:color="auto"/>
          </w:divBdr>
        </w:div>
      </w:divsChild>
    </w:div>
    <w:div w:id="1049458729">
      <w:bodyDiv w:val="1"/>
      <w:marLeft w:val="0"/>
      <w:marRight w:val="0"/>
      <w:marTop w:val="0"/>
      <w:marBottom w:val="0"/>
      <w:divBdr>
        <w:top w:val="none" w:sz="0" w:space="0" w:color="auto"/>
        <w:left w:val="none" w:sz="0" w:space="0" w:color="auto"/>
        <w:bottom w:val="none" w:sz="0" w:space="0" w:color="auto"/>
        <w:right w:val="none" w:sz="0" w:space="0" w:color="auto"/>
      </w:divBdr>
    </w:div>
    <w:div w:id="1211647710">
      <w:bodyDiv w:val="1"/>
      <w:marLeft w:val="0"/>
      <w:marRight w:val="0"/>
      <w:marTop w:val="0"/>
      <w:marBottom w:val="0"/>
      <w:divBdr>
        <w:top w:val="none" w:sz="0" w:space="0" w:color="auto"/>
        <w:left w:val="none" w:sz="0" w:space="0" w:color="auto"/>
        <w:bottom w:val="none" w:sz="0" w:space="0" w:color="auto"/>
        <w:right w:val="none" w:sz="0" w:space="0" w:color="auto"/>
      </w:divBdr>
      <w:divsChild>
        <w:div w:id="1276598974">
          <w:marLeft w:val="547"/>
          <w:marRight w:val="0"/>
          <w:marTop w:val="0"/>
          <w:marBottom w:val="0"/>
          <w:divBdr>
            <w:top w:val="none" w:sz="0" w:space="0" w:color="auto"/>
            <w:left w:val="none" w:sz="0" w:space="0" w:color="auto"/>
            <w:bottom w:val="none" w:sz="0" w:space="0" w:color="auto"/>
            <w:right w:val="none" w:sz="0" w:space="0" w:color="auto"/>
          </w:divBdr>
        </w:div>
      </w:divsChild>
    </w:div>
    <w:div w:id="1369335742">
      <w:bodyDiv w:val="1"/>
      <w:marLeft w:val="0"/>
      <w:marRight w:val="0"/>
      <w:marTop w:val="0"/>
      <w:marBottom w:val="0"/>
      <w:divBdr>
        <w:top w:val="none" w:sz="0" w:space="0" w:color="auto"/>
        <w:left w:val="none" w:sz="0" w:space="0" w:color="auto"/>
        <w:bottom w:val="none" w:sz="0" w:space="0" w:color="auto"/>
        <w:right w:val="none" w:sz="0" w:space="0" w:color="auto"/>
      </w:divBdr>
    </w:div>
    <w:div w:id="1600529135">
      <w:bodyDiv w:val="1"/>
      <w:marLeft w:val="0"/>
      <w:marRight w:val="0"/>
      <w:marTop w:val="0"/>
      <w:marBottom w:val="0"/>
      <w:divBdr>
        <w:top w:val="none" w:sz="0" w:space="0" w:color="auto"/>
        <w:left w:val="none" w:sz="0" w:space="0" w:color="auto"/>
        <w:bottom w:val="none" w:sz="0" w:space="0" w:color="auto"/>
        <w:right w:val="none" w:sz="0" w:space="0" w:color="auto"/>
      </w:divBdr>
    </w:div>
    <w:div w:id="1659724237">
      <w:bodyDiv w:val="1"/>
      <w:marLeft w:val="0"/>
      <w:marRight w:val="0"/>
      <w:marTop w:val="0"/>
      <w:marBottom w:val="0"/>
      <w:divBdr>
        <w:top w:val="none" w:sz="0" w:space="0" w:color="auto"/>
        <w:left w:val="none" w:sz="0" w:space="0" w:color="auto"/>
        <w:bottom w:val="none" w:sz="0" w:space="0" w:color="auto"/>
        <w:right w:val="none" w:sz="0" w:space="0" w:color="auto"/>
      </w:divBdr>
    </w:div>
    <w:div w:id="1847596984">
      <w:bodyDiv w:val="1"/>
      <w:marLeft w:val="0"/>
      <w:marRight w:val="0"/>
      <w:marTop w:val="0"/>
      <w:marBottom w:val="0"/>
      <w:divBdr>
        <w:top w:val="none" w:sz="0" w:space="0" w:color="auto"/>
        <w:left w:val="none" w:sz="0" w:space="0" w:color="auto"/>
        <w:bottom w:val="none" w:sz="0" w:space="0" w:color="auto"/>
        <w:right w:val="none" w:sz="0" w:space="0" w:color="auto"/>
      </w:divBdr>
      <w:divsChild>
        <w:div w:id="143548439">
          <w:marLeft w:val="547"/>
          <w:marRight w:val="0"/>
          <w:marTop w:val="0"/>
          <w:marBottom w:val="0"/>
          <w:divBdr>
            <w:top w:val="none" w:sz="0" w:space="0" w:color="auto"/>
            <w:left w:val="none" w:sz="0" w:space="0" w:color="auto"/>
            <w:bottom w:val="none" w:sz="0" w:space="0" w:color="auto"/>
            <w:right w:val="none" w:sz="0" w:space="0" w:color="auto"/>
          </w:divBdr>
        </w:div>
      </w:divsChild>
    </w:div>
    <w:div w:id="1936547068">
      <w:bodyDiv w:val="1"/>
      <w:marLeft w:val="0"/>
      <w:marRight w:val="0"/>
      <w:marTop w:val="0"/>
      <w:marBottom w:val="0"/>
      <w:divBdr>
        <w:top w:val="none" w:sz="0" w:space="0" w:color="auto"/>
        <w:left w:val="none" w:sz="0" w:space="0" w:color="auto"/>
        <w:bottom w:val="none" w:sz="0" w:space="0" w:color="auto"/>
        <w:right w:val="none" w:sz="0" w:space="0" w:color="auto"/>
      </w:divBdr>
    </w:div>
    <w:div w:id="2018262775">
      <w:bodyDiv w:val="1"/>
      <w:marLeft w:val="0"/>
      <w:marRight w:val="0"/>
      <w:marTop w:val="0"/>
      <w:marBottom w:val="0"/>
      <w:divBdr>
        <w:top w:val="none" w:sz="0" w:space="0" w:color="auto"/>
        <w:left w:val="none" w:sz="0" w:space="0" w:color="auto"/>
        <w:bottom w:val="none" w:sz="0" w:space="0" w:color="auto"/>
        <w:right w:val="none" w:sz="0" w:space="0" w:color="auto"/>
      </w:divBdr>
    </w:div>
    <w:div w:id="2055932967">
      <w:bodyDiv w:val="1"/>
      <w:marLeft w:val="0"/>
      <w:marRight w:val="0"/>
      <w:marTop w:val="0"/>
      <w:marBottom w:val="0"/>
      <w:divBdr>
        <w:top w:val="none" w:sz="0" w:space="0" w:color="auto"/>
        <w:left w:val="none" w:sz="0" w:space="0" w:color="auto"/>
        <w:bottom w:val="none" w:sz="0" w:space="0" w:color="auto"/>
        <w:right w:val="none" w:sz="0" w:space="0" w:color="auto"/>
      </w:divBdr>
    </w:div>
    <w:div w:id="2131048559">
      <w:bodyDiv w:val="1"/>
      <w:marLeft w:val="0"/>
      <w:marRight w:val="0"/>
      <w:marTop w:val="0"/>
      <w:marBottom w:val="0"/>
      <w:divBdr>
        <w:top w:val="none" w:sz="0" w:space="0" w:color="auto"/>
        <w:left w:val="none" w:sz="0" w:space="0" w:color="auto"/>
        <w:bottom w:val="none" w:sz="0" w:space="0" w:color="auto"/>
        <w:right w:val="none" w:sz="0" w:space="0" w:color="auto"/>
      </w:divBdr>
      <w:divsChild>
        <w:div w:id="2107269046">
          <w:marLeft w:val="547"/>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du.rsc.org/feature/ocean-acidification/4015135.article" TargetMode="External"/><Relationship Id="rId13" Type="http://schemas.openxmlformats.org/officeDocument/2006/relationships/hyperlink" Target="https://sigmaearth.com/what-can-be-done-to-reduce-ocean-acidification/" TargetMode="External"/><Relationship Id="rId18" Type="http://schemas.openxmlformats.org/officeDocument/2006/relationships/hyperlink" Target="https://www.mccip.org.uk/sites/default/files/2025-02/Aquaculture%20update_Feb%202025.pdf"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discoverwildscience.com/coral-reefs-the-rainforests-of-the-ocean-and-their-struggle-for-survival-2-266157/" TargetMode="External"/><Relationship Id="rId7" Type="http://schemas.openxmlformats.org/officeDocument/2006/relationships/hyperlink" Target="https://www.climateaction.org/news/north-sea-cod-loses-sustainability-certification-after-fish-population-decl?utm_source=chatgpt.com" TargetMode="External"/><Relationship Id="rId12" Type="http://schemas.openxmlformats.org/officeDocument/2006/relationships/hyperlink" Target="https://fishfocus.co.uk/uk-fishing-opportunities-worth-over-970m-secured-for-2024/#:~:text=Fishing%20opportunities%20worth%20over%20%C2%A3970%20million%20were%20secured,the%20government%20yesterday%20%28Wednesday%2010%20April%29%20has%20revealed" TargetMode="External"/><Relationship Id="rId17" Type="http://schemas.openxmlformats.org/officeDocument/2006/relationships/hyperlink" Target="https://www.sciencedirect.com/science/article/abs/pii/S1462901117311528"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exisnexis.co.uk/lexis-sidebar/handler.html?utm_source=news_pages&amp;utm_medium=on_site_advert" TargetMode="External"/><Relationship Id="rId20" Type="http://schemas.openxmlformats.org/officeDocument/2006/relationships/hyperlink" Target="https://www.researchgate.net/publication/380434313_Ocean_Acidification_Consequences_and_Solutions_in_the_Face_of_Climate_Change" TargetMode="External"/><Relationship Id="rId1" Type="http://schemas.openxmlformats.org/officeDocument/2006/relationships/numbering" Target="numbering.xml"/><Relationship Id="rId6" Type="http://schemas.openxmlformats.org/officeDocument/2006/relationships/hyperlink" Target="https://trellis.net/article/ocean-acidification-will-cost-global-economy-1-trillion-2100/" TargetMode="External"/><Relationship Id="rId11" Type="http://schemas.openxmlformats.org/officeDocument/2006/relationships/hyperlink" Target="https://www.epa.gov/ocean-acidification/effects-ocean-and-coastal-acidification-marine-life" TargetMode="External"/><Relationship Id="rId24" Type="http://schemas.openxmlformats.org/officeDocument/2006/relationships/hyperlink" Target="https://www.wwf.org.uk/press-release/impacts-uk-seafood-consumption" TargetMode="External"/><Relationship Id="rId5" Type="http://schemas.openxmlformats.org/officeDocument/2006/relationships/hyperlink" Target="https://greenly.earth/en-gb/blog/company-guide/understanding-the-uk-governments-mandatory-net-zero-targets" TargetMode="External"/><Relationship Id="rId15" Type="http://schemas.openxmlformats.org/officeDocument/2006/relationships/hyperlink" Target="https://jncc.gov.uk/our-work/ukbi-sustainable-fisheries/#:~:text=Estimates%20show%20that%20the%20percentage%20of%20UK%20quota-fish,UK%20quota-fish%20stocks%20were%20harvested%20unsustainably%20%28Figure%201%29" TargetMode="External"/><Relationship Id="rId23" Type="http://schemas.openxmlformats.org/officeDocument/2006/relationships/hyperlink" Target="https://unric.org/en/sdg-14/" TargetMode="External"/><Relationship Id="rId10" Type="http://schemas.openxmlformats.org/officeDocument/2006/relationships/hyperlink" Target="https://consult.defra.gov.uk/marine/updated-uk-marine-strategy-part-two-marine-monitor/supporting_documents/marinestrategyparttwoconsultationdocument.pdf?utm_source=chatgpt.com" TargetMode="External"/><Relationship Id="rId19" Type="http://schemas.openxmlformats.org/officeDocument/2006/relationships/hyperlink" Target="https://pml.ac.uk/news/defra-boost-for-ocean-acidification-research-pml-f/?utm_source=chatgpt.com" TargetMode="External"/><Relationship Id="rId4" Type="http://schemas.openxmlformats.org/officeDocument/2006/relationships/webSettings" Target="webSettings.xml"/><Relationship Id="rId9" Type="http://schemas.openxmlformats.org/officeDocument/2006/relationships/hyperlink" Target="https://www.nature.com/articles/s43247-021-00168-w" TargetMode="External"/><Relationship Id="rId14" Type="http://schemas.openxmlformats.org/officeDocument/2006/relationships/hyperlink" Target="https://agupubs.onlinelibrary.wiley.com/doi/10.1029/2022MS003563" TargetMode="External"/><Relationship Id="rId22" Type="http://schemas.openxmlformats.org/officeDocument/2006/relationships/hyperlink" Target="https://www.ucl.ac.uk/news/2024/sep/comment-seabirds-40-uk-species-trouble-bird-flu-climate-change-and-overfishing-blame?utm_source=chatgpt.co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64</TotalTime>
  <Pages>6</Pages>
  <Words>2223</Words>
  <Characters>12674</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Broadhurst</dc:creator>
  <cp:keywords/>
  <dc:description/>
  <cp:lastModifiedBy>Natalie Broadhurst</cp:lastModifiedBy>
  <cp:revision>1</cp:revision>
  <dcterms:created xsi:type="dcterms:W3CDTF">2025-05-19T13:20:00Z</dcterms:created>
  <dcterms:modified xsi:type="dcterms:W3CDTF">2025-05-19T22:12:00Z</dcterms:modified>
</cp:coreProperties>
</file>